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9375" w14:textId="77777777" w:rsidR="00A77B3E" w:rsidRDefault="00EA0C74">
      <w:pPr>
        <w:keepNext/>
        <w:spacing w:before="120" w:after="120" w:line="276" w:lineRule="auto"/>
        <w:ind w:left="5178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do uchwały nr 3142/2026</w:t>
      </w:r>
      <w:r>
        <w:br/>
        <w:t>Zarządu Województwa Wielkopolskiego</w:t>
      </w:r>
      <w:r>
        <w:br/>
        <w:t>z dnia 6 lutego 2026 r.</w:t>
      </w:r>
    </w:p>
    <w:p w14:paraId="5AFEE66A" w14:textId="77777777" w:rsidR="00A77B3E" w:rsidRDefault="00EA0C74">
      <w:pPr>
        <w:keepNext/>
        <w:spacing w:after="480" w:line="276" w:lineRule="auto"/>
        <w:jc w:val="center"/>
      </w:pPr>
      <w:r>
        <w:rPr>
          <w:b/>
        </w:rPr>
        <w:t>Ogłoszenie</w:t>
      </w:r>
    </w:p>
    <w:p w14:paraId="7FDA5475" w14:textId="77777777" w:rsidR="00A77B3E" w:rsidRDefault="00EA0C74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</w:rPr>
        <w:t xml:space="preserve">konkursu ofert na realizację zadania publicznego województwa wielkopolskiego </w:t>
      </w:r>
      <w:r>
        <w:rPr>
          <w:b/>
        </w:rPr>
        <w:br/>
        <w:t xml:space="preserve">z zakresu zdrowia publicznego wynikającego z Polityki Zdrowotnej Województwa Wielkopolskiego w Zakresie Zdrowia Publicznego, Promocji i Profilaktyki Zdrowotnej </w:t>
      </w:r>
      <w:r>
        <w:rPr>
          <w:b/>
        </w:rPr>
        <w:br/>
        <w:t xml:space="preserve">na lata 2021 – 2030 oraz Wojewódzkiego Programu Profilaktyki i Rozwiązywania Problemów Alkoholowych oraz Przeciwdziałania Narkomanii dla Województwa Wielkopolskiego na lata 2022–2026 pn.: „Program wsparcia osób wymagających specjalistycznej opieki zdrowotnej </w:t>
      </w:r>
      <w:r>
        <w:rPr>
          <w:b/>
        </w:rPr>
        <w:br/>
        <w:t xml:space="preserve">i rozwojowej, a także ich rodzin i opiekunów” w 2026 roku. </w:t>
      </w:r>
    </w:p>
    <w:p w14:paraId="75E7188B" w14:textId="77777777" w:rsidR="00A77B3E" w:rsidRDefault="00EA0C74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Podstawa prawna:</w:t>
      </w:r>
    </w:p>
    <w:p w14:paraId="3DA57911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Art. 14 ust. 1, w związku z art. 13 pkt 3 ustawy z dnia 11 września 2015 r. o zdrowiu publicznym (Dz. U. z 2024 r., poz. 1670 ze zm.).</w:t>
      </w:r>
    </w:p>
    <w:p w14:paraId="102262A9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Polityka zdrowotna Województwa Wielkopolskiego w zakresie zdrowia publicznego, promocji i profilaktyki zdrowotnej na lata 2021 – 2030.</w:t>
      </w:r>
    </w:p>
    <w:p w14:paraId="122FACF0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Wojewódzki Program Profilaktyki i Rozwiązywania Problemów Alkoholowych oraz Przeciwdziałania Narkomanii dla Województwa Wielkopolskiego na lata 2022 – 2026.</w:t>
      </w:r>
    </w:p>
    <w:p w14:paraId="4A0A27DD" w14:textId="77777777" w:rsidR="00A77B3E" w:rsidRDefault="00EA0C74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 xml:space="preserve"> Tytuł konkursu: </w:t>
      </w:r>
    </w:p>
    <w:p w14:paraId="02A8175D" w14:textId="77777777" w:rsidR="00A77B3E" w:rsidRDefault="00EA0C74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Program wsparcia osób wymagających specjalistycznej opieki zdrowotnej i rozwojowej, a także ich rodzin i opiekunów.</w:t>
      </w:r>
    </w:p>
    <w:p w14:paraId="0595089B" w14:textId="77777777" w:rsidR="00A77B3E" w:rsidRDefault="00EA0C74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Opis zadania będącego przedmiotem konkursu:</w:t>
      </w:r>
    </w:p>
    <w:p w14:paraId="4177D02B" w14:textId="77777777" w:rsidR="00A77B3E" w:rsidRDefault="00EA0C74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Cel zadania</w:t>
      </w:r>
    </w:p>
    <w:p w14:paraId="2C79D263" w14:textId="77777777" w:rsidR="00A77B3E" w:rsidRDefault="00EA0C74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Zapewnienie wsparcia systemowego dla osób zmagających się z chorobami przewlekłymi/różnymi dysfunkcjami rozwojowymi i/lub problemami zdrowotnymi, w tym nowotworowymi oraz ich rodzin/rodziców i opiekunów prawnych.</w:t>
      </w:r>
    </w:p>
    <w:p w14:paraId="5888E32D" w14:textId="77777777" w:rsidR="00A77B3E" w:rsidRDefault="00EA0C74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W ramach konkursu dopuszcza się również realizację działań ukierunkowanych na przeciwdziałanie negatywnym skutkom używania alkoholu oraz narkotyków i innych substancji psychoaktywnych, w szczególności w kontekście funkcjonowania rodziny, opieki nad dzieckiem oraz zdrowia psychicznego opiekunów.</w:t>
      </w:r>
    </w:p>
    <w:p w14:paraId="16800C91" w14:textId="77777777" w:rsidR="00A77B3E" w:rsidRDefault="00EA0C74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W ramach konkursu nie przewiduje się finansowania działań stanowiących świadczenia zdrowotne w rozumieniu przepisów o działalności leczniczej, w tym leczenia uzależnień realizowanego w formie indywidualnej terapii pacjenta.</w:t>
      </w:r>
    </w:p>
    <w:p w14:paraId="496EDAA3" w14:textId="77777777" w:rsidR="00A77B3E" w:rsidRDefault="00EA0C74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Łączna wartość środków finansowych przeznaczonych na zadanie:</w:t>
      </w:r>
    </w:p>
    <w:p w14:paraId="3CC66F63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 działania, o których mowa w części III ogłoszenia, przeznacza się środki finansowe w łącznej wysokości 850 000,00 zł, które zabezpieczone zostały w dziale 851 (Ochrona zdrowia):</w:t>
      </w:r>
    </w:p>
    <w:p w14:paraId="23AC1071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w rozdziale 85149 (Programy polityki zdrowotnej): 550 000,00</w:t>
      </w:r>
      <w:r>
        <w:rPr>
          <w:color w:val="000000"/>
          <w:u w:color="000000"/>
        </w:rPr>
        <w:t>‬ zł (§2560, §2800, §2810, §2820, §2830)</w:t>
      </w:r>
    </w:p>
    <w:p w14:paraId="1AFF92F9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rozdziale 85153 (Zwalczanie narkomanii): 150 000,00 zł (§2560,§2800, §2810, §2820, §2830),</w:t>
      </w:r>
    </w:p>
    <w:p w14:paraId="59B61EB7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rozdziale 85154 (Przeciwdziałanie alkoholizmowi): 150 000,00 zł (§2560, §2800, §2810, §2820, § 2830)</w:t>
      </w:r>
    </w:p>
    <w:p w14:paraId="3AC53E87" w14:textId="77777777" w:rsidR="00A77B3E" w:rsidRDefault="00EA0C7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Środki finansowe w rozdziałach 85153 i 85154 przeznacza się na realizację działań określonych w części III ogłoszenia, w zakresie przeciwdziałania negatywnym skutkom używania substancji psychoaktywnych</w:t>
      </w:r>
    </w:p>
    <w:p w14:paraId="3BFC9809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Maksymalna kwota o </w:t>
      </w:r>
      <w:r>
        <w:rPr>
          <w:color w:val="000000"/>
          <w:u w:color="000000"/>
        </w:rPr>
        <w:t>jaką mogą ubiegać się realizatorzy to 100 000 zł.</w:t>
      </w:r>
    </w:p>
    <w:p w14:paraId="646166B0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Dopuszcza się możliwość przesuwania środków pomiędzy paragrafami, na których zabezpieczone zostały środki finansowe przeznaczone na konkurs, zgodnie z klasyfikacją budżetową wskazaną w uzasadnieniu do uchwały według zasad określonych w punkcie X.</w:t>
      </w:r>
    </w:p>
    <w:p w14:paraId="07AD4A7A" w14:textId="77777777" w:rsidR="00A77B3E" w:rsidRDefault="00EA0C74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Termin realizacji zadania</w:t>
      </w:r>
    </w:p>
    <w:p w14:paraId="1E0EEA50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Nie wcześniej niż od </w:t>
      </w:r>
      <w:r>
        <w:rPr>
          <w:b/>
          <w:color w:val="000000"/>
          <w:u w:color="000000"/>
        </w:rPr>
        <w:t>20 kwietnia 2026 r. i nie później niż do 31 grudnia 2026 r.</w:t>
      </w:r>
    </w:p>
    <w:p w14:paraId="3D3FB72F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uzasadnionych przypadkach dopuszcza się możliwość skrócenia terminu przewidzianego</w:t>
      </w:r>
      <w:r>
        <w:rPr>
          <w:color w:val="000000"/>
          <w:u w:color="000000"/>
        </w:rPr>
        <w:br/>
        <w:t>na rozpoczęcie realizacji zadania, po akceptacji dyrektora Departamentu Zdrowia Urzędu Marszałkowskiego Województwa Wielkopolskiego.</w:t>
      </w:r>
    </w:p>
    <w:p w14:paraId="506361C9" w14:textId="77777777" w:rsidR="00A77B3E" w:rsidRDefault="00EA0C74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Podmioty uprawnione do składania ofert:</w:t>
      </w:r>
    </w:p>
    <w:p w14:paraId="0FAB4273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Jednostki zaliczane do sektora finansów publicznych np. SPZOZ.</w:t>
      </w:r>
    </w:p>
    <w:p w14:paraId="3820F4DE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Fundacje, stowarzyszenia, których cele statutowe lub przedmiot działalności dotyczą spraw objętych zadaniami z zakresu zdrowia publicznego określonymi w art. 2 ustawy o zdrowiu publicznym.</w:t>
      </w:r>
    </w:p>
    <w:p w14:paraId="635EC03D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Inne podmioty niezaliczane do sektora finansów publicznych np. NZOZ.</w:t>
      </w:r>
    </w:p>
    <w:p w14:paraId="4501CAF6" w14:textId="77777777" w:rsidR="00A77B3E" w:rsidRDefault="00EA0C74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Warunki realizacji zadania (wymogi formalne)</w:t>
      </w:r>
    </w:p>
    <w:p w14:paraId="70D4214C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Warunki kwalifikowalności kosztów.</w:t>
      </w:r>
    </w:p>
    <w:p w14:paraId="150E49F6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Koszty powinny być bezpośrednio związane z realizowanym zadaniem i znajdować swoje uzasadnienie w toku jego realizacji, ujęte w budżecie projektu, a następnie faktycznie poniesione w okresie wskazanym w umowie i udokumentowane.</w:t>
      </w:r>
    </w:p>
    <w:p w14:paraId="603824D4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Kosztorys powinien być skalkulowany rzetelnie, wyłącznie w odniesieniu do zakresu planowanego zadania. W przypadku przyjęcia oferty do realizacji, zadeklarowany wkład będzie mógł podlegać analizie merytorycznej i finansowej na każdym etapie jego realizacji.</w:t>
      </w:r>
    </w:p>
    <w:p w14:paraId="64E9B746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val="single" w:color="000000"/>
        </w:rPr>
        <w:t xml:space="preserve">Koszty wykazane w ofercie </w:t>
      </w:r>
      <w:r>
        <w:rPr>
          <w:color w:val="000000"/>
          <w:u w:color="000000"/>
        </w:rPr>
        <w:t xml:space="preserve">muszą być kosztami bezpośrednio związanymi z celami konkursu, o których mowa w pkt III ogłoszenia </w:t>
      </w:r>
    </w:p>
    <w:p w14:paraId="7528E599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Wsparcie finansowe może objąć wszelkie koszty związane z realizacją działań, mających na celu m.in.:</w:t>
      </w:r>
    </w:p>
    <w:p w14:paraId="3CFD115F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wsparcie diagnostyczne,</w:t>
      </w:r>
    </w:p>
    <w:p w14:paraId="53904DD7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wsparcie psychologiczne,</w:t>
      </w:r>
    </w:p>
    <w:p w14:paraId="62071343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wsparcie terapeuty uzależnień,</w:t>
      </w:r>
    </w:p>
    <w:p w14:paraId="447AC93B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budowę sieci wsparcia, która zapewni dostęp do kluczowych zasobów niezbędnych do efektywnego przeciwdziałania wyzwaniom w sferze emocjonalnej, organizacyjnej, edukacyjnej, społecznej, finansowej oraz zdrowotnej.</w:t>
      </w:r>
    </w:p>
    <w:p w14:paraId="3586B8BF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Koszty merytoryczne są kosztami bezpośrednio związanymi z celem i przedmiotem konkursu,</w:t>
      </w:r>
      <w:r>
        <w:rPr>
          <w:color w:val="000000"/>
          <w:u w:color="000000"/>
        </w:rPr>
        <w:br/>
        <w:t>o których mowa w części III ogłoszenia, w tym z działaniami ukierunkowanymi na przeciwdziałanie negatywnym skutkom używania alkoholu oraz narkotyków i innych substancji psychoaktywnych do których zaliczyć można m.in.:</w:t>
      </w:r>
    </w:p>
    <w:p w14:paraId="0C6A48D6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prowadzenie punktu konsultacyjnego,</w:t>
      </w:r>
    </w:p>
    <w:p w14:paraId="6478FE3A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wsparcie telefoniczne (telefon zaufania), online,</w:t>
      </w:r>
    </w:p>
    <w:p w14:paraId="10BDD1A9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tworzenie materiałów edukacyjnych i informacyjnych,</w:t>
      </w:r>
    </w:p>
    <w:p w14:paraId="5D210B06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redakcja, aktualizacja oraz oprawa graficzna materiałów promocyjnych,</w:t>
      </w:r>
    </w:p>
    <w:p w14:paraId="57B0BBB9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punkty wsparcia,</w:t>
      </w:r>
    </w:p>
    <w:p w14:paraId="321E7A2E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szkolenia informacyjne.</w:t>
      </w:r>
    </w:p>
    <w:p w14:paraId="5642059C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val="single" w:color="000000"/>
        </w:rPr>
        <w:t xml:space="preserve">Koszty administracyjne (do 10% wartości projektu) </w:t>
      </w:r>
      <w:r>
        <w:rPr>
          <w:color w:val="000000"/>
          <w:u w:color="000000"/>
        </w:rPr>
        <w:t>są to koszty bezpośrednio związane z obsługą i administracją realizowanego zadania, i związane są z wykonywaniem działań o charakterze administracyjnym do których zaliczyć można m.in.:</w:t>
      </w:r>
    </w:p>
    <w:p w14:paraId="3DDE15C7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koszt wynajmu lokalu w zakresie niezbędnym do realizacji zadania,</w:t>
      </w:r>
    </w:p>
    <w:p w14:paraId="0BF6408C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koszt obsługi księgowej,</w:t>
      </w:r>
    </w:p>
    <w:p w14:paraId="0116F8C1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koszty obsługi koordynatorskiej.</w:t>
      </w:r>
    </w:p>
    <w:p w14:paraId="6951B8EF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Preferowane formy realizacji działań:</w:t>
      </w:r>
    </w:p>
    <w:p w14:paraId="7F30AB32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punkty konsultacyjne,</w:t>
      </w:r>
    </w:p>
    <w:p w14:paraId="0924AAEF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grupy wsparcia,</w:t>
      </w:r>
    </w:p>
    <w:p w14:paraId="5EBE3969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współpraca z mediami, wydawanie materiałów informacyjno-edukacyjnych, prowadzenie stron internetowych (portali informacyjnych), telefonów zaufania, itp.,</w:t>
      </w:r>
    </w:p>
    <w:p w14:paraId="42AD5FE4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poradnictwo psychologiczne, terapeutyczne, informacyjne, prawne,</w:t>
      </w:r>
    </w:p>
    <w:p w14:paraId="10447324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szkolenia, konferencje, warsztaty publikacji poradników, ulotek, audiowizualnych środków komunikacji elektronicznej, itp.</w:t>
      </w:r>
    </w:p>
    <w:p w14:paraId="2D01E03B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Miejsca realizacji działań</w:t>
      </w:r>
    </w:p>
    <w:p w14:paraId="3C03FB18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przestrzeń publiczna,</w:t>
      </w:r>
    </w:p>
    <w:p w14:paraId="7FC4A261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tradycyjne i elektroniczne media,</w:t>
      </w:r>
    </w:p>
    <w:p w14:paraId="35965B33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media społecznościowe,</w:t>
      </w:r>
    </w:p>
    <w:p w14:paraId="64358606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jednostki ochrony zdrowia.</w:t>
      </w:r>
    </w:p>
    <w:p w14:paraId="74636D7E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Zastrzega się możliwość wyboru więcej niż jednego realizatora zadania.</w:t>
      </w:r>
    </w:p>
    <w:p w14:paraId="256C6865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Podatek od towarów i usług (VAT)</w:t>
      </w:r>
    </w:p>
    <w:p w14:paraId="4AEDBAA4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 kosztorysie zadania należy uwzględnić wyłącznie koszty niezbędne dla realizacji tego zadania. Wydatki w ramach realizacji wniosku mogą obejmować koszty podatku od towarów i usług (VAT) </w:t>
      </w:r>
      <w:r>
        <w:rPr>
          <w:b/>
          <w:color w:val="000000"/>
          <w:u w:val="single" w:color="000000"/>
        </w:rPr>
        <w:t xml:space="preserve">tylko wtedy, gdy realizator zadania ich nie odzyska. </w:t>
      </w:r>
    </w:p>
    <w:p w14:paraId="1D1DF827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Oferent jest zobowiązany, na etapie składania oferty, do złożenia oświadczenia o kwalifikowalności VAT zgodnie ze wzorem określonym w załączniku do ogłoszenia. Oświadczenie o kwalifikowalności VAT podpisane przez oferenta będzie stanowić załącznik do zawieranej umowy na realizację zadania. Nie może w nim być uwzględniony podatek od towarów i usług (VAT) w wysokości, w której podatnikowi przysługuje prawo do jego odzyskania lub rozliczenia w deklaracjach składanych do Urzędu Skarbowego, przy czym:</w:t>
      </w:r>
    </w:p>
    <w:p w14:paraId="21C5AA17" w14:textId="77777777" w:rsidR="00A77B3E" w:rsidRDefault="00EA0C74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podmioty, które nie mają prawnej możliwości odzyskania lub rozliczenia podatku VAT od towarów i usług związanych z </w:t>
      </w:r>
      <w:r>
        <w:rPr>
          <w:color w:val="000000"/>
          <w:u w:color="000000"/>
        </w:rPr>
        <w:t>realizacją zadania (dla których podatek VAT jest kosztem), sporządzają kosztorysy w kwotach brutto (łącznie z podatkiem VAT);</w:t>
      </w:r>
    </w:p>
    <w:p w14:paraId="371AF77E" w14:textId="77777777" w:rsidR="00A77B3E" w:rsidRDefault="00EA0C74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podmioty, które mają możliwość odzyskania lub rozliczenia podatku VAT od towarów i usług związanych z realizacją zadania (w całości lub w części) — sporządzają kosztorysy w kwotach netto (tj. nie uwzględniają w nich kwot podatku VAT, które będą podlegały odzyskaniu lub rozliczeniu).</w:t>
      </w:r>
    </w:p>
    <w:p w14:paraId="20956D06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Możliwość odzyskania podatku VAT rozpatruje się w świetle przepisów ustawy z dnia 11 marca 2004 r. o podatku od towarów i usług. Badanie możliwości odzyskania podatku VAT należy wyłącznie do obowiązków oferenta.</w:t>
      </w:r>
    </w:p>
    <w:p w14:paraId="1F844743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Art. 4 ust. 1 pkt. 2 ustawy z 27 sierpnia 2009 r. o finansach publicznych (Dz.U. z 2025 r., poz. 483 ze zm.)  nakłada obowiązek stosowania przepisów tej ustawy na podmioty spoza sektora finansów publicznych w zakresie, w jakim wykorzystują środki publiczne lub dysponują tymi środkami. Zgodnie z art. 44 ust. 3 ustawy o finansach publicznych, wydatki publiczne powinny być dokonywane:</w:t>
      </w:r>
    </w:p>
    <w:p w14:paraId="30AEA524" w14:textId="77777777" w:rsidR="00A77B3E" w:rsidRDefault="00EA0C74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 sposób celowy i oszczędny, z zachowaniem zasad:</w:t>
      </w:r>
    </w:p>
    <w:p w14:paraId="37021AB7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uzyskiwania najlepszych efektów z danych nakładów;</w:t>
      </w:r>
    </w:p>
    <w:p w14:paraId="66C7A0A4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optymalnego doboru metod i </w:t>
      </w:r>
      <w:r>
        <w:rPr>
          <w:color w:val="000000"/>
          <w:u w:color="000000"/>
        </w:rPr>
        <w:t>środków służących osiągnięciu założonych celów;</w:t>
      </w:r>
    </w:p>
    <w:p w14:paraId="136A9C55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w sposób umożliwiający terminową realizację zadań;</w:t>
      </w:r>
    </w:p>
    <w:p w14:paraId="7BFC19CE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w wysokości i terminach wynikających z wcześniej zaciągniętych zobowiązań.</w:t>
      </w:r>
    </w:p>
    <w:p w14:paraId="1176E521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Osoby wchodzące w skład organu zarządzającego podmiotu niezaliczanego do sektora finansów publicznych, któremu przekazano do wykorzystania lub dysponowania środki publiczne</w:t>
      </w:r>
      <w:r>
        <w:rPr>
          <w:color w:val="000000"/>
          <w:u w:color="000000"/>
        </w:rPr>
        <w:br/>
        <w:t>lub zarządzającego mieniem tych podmiotów podlegają odpowiedzialności za naruszenie dyscypliny finansów publicznych (art. 4 ust. 1 pkt 1 ustawy z dnia 17 grudnia 2004 r.</w:t>
      </w:r>
      <w:r>
        <w:rPr>
          <w:color w:val="000000"/>
          <w:u w:color="000000"/>
        </w:rPr>
        <w:br/>
        <w:t>o odpowiedzialności za naruszenie dyscypliny finansów publicznych [Dz.U. z 2025 r., poz. 104</w:t>
      </w:r>
      <w:r>
        <w:rPr>
          <w:color w:val="000000"/>
          <w:u w:color="000000"/>
        </w:rPr>
        <w:br/>
        <w:t>ze zm.]).</w:t>
      </w:r>
    </w:p>
    <w:p w14:paraId="1940EF0B" w14:textId="77777777" w:rsidR="00A77B3E" w:rsidRDefault="00EA0C74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lastRenderedPageBreak/>
        <w:t>VIII. </w:t>
      </w:r>
      <w:r>
        <w:rPr>
          <w:b/>
          <w:color w:val="000000"/>
          <w:u w:color="000000"/>
        </w:rPr>
        <w:t> Wymagane dokumenty</w:t>
      </w:r>
    </w:p>
    <w:p w14:paraId="6B1F3A7B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Wypełniony druk oferty sporządzony na Formularzu ofertowym, stanowiącym załącznik do ogłoszenia.</w:t>
      </w:r>
    </w:p>
    <w:p w14:paraId="28137772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Aktualny odpis z odpowiedniego rejestru lub inne dokumenty informujące o statusie prawnym podmiotu składającego ofertę i umocowaniu osób go reprezentujących, natomiast w przypadku ofert składanych przez jednostki samorządu terytorialnego należy dołączyć odpowiednio: zaświadczenie</w:t>
      </w:r>
      <w:r>
        <w:rPr>
          <w:color w:val="000000"/>
          <w:u w:color="000000"/>
        </w:rPr>
        <w:br/>
        <w:t>o wyborze wójta/burmistrza/prezydenta miasta lub uchwałę Rady Powiatu o wyborze starosty.</w:t>
      </w:r>
    </w:p>
    <w:p w14:paraId="0DDA2683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Oświadczenie potwierdzające, że w stosunku do podmiotu składającego ofertę, nie stwierdzono niezgodnego z przeznaczeniem wykorzystania środków publicznych.</w:t>
      </w:r>
    </w:p>
    <w:p w14:paraId="050417C1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Oświadczenie osoby uprawnionej do reprezentowania podmiotu składającego ofertę</w:t>
      </w:r>
      <w:r>
        <w:rPr>
          <w:color w:val="000000"/>
          <w:u w:color="000000"/>
        </w:rPr>
        <w:br/>
        <w:t>o niekaralności zakazem pełnienia funkcji związanych z dysponowaniem środkami publicznymi</w:t>
      </w:r>
      <w:r>
        <w:rPr>
          <w:color w:val="000000"/>
          <w:u w:color="000000"/>
        </w:rPr>
        <w:br/>
        <w:t>oraz niekaralności za umyślne przestępstwo lub umyślne przestępstwo skarbowe.</w:t>
      </w:r>
    </w:p>
    <w:p w14:paraId="09100861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Oświadczenie, że podmiot składający ofertę jest jedynym posiadaczem rachunku, na który zostaną przekazane środki i zobowiązuje się go utrzymywać do chwili zaakceptowania rozliczenia tych środków pod względem finansowym i rzeczowym.</w:t>
      </w:r>
    </w:p>
    <w:p w14:paraId="471E2CBB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Oświadczenie osoby upoważnionej do reprezentacji podmiotu składającego ofertę wskazujące,</w:t>
      </w:r>
      <w:r>
        <w:rPr>
          <w:color w:val="000000"/>
          <w:u w:color="000000"/>
        </w:rPr>
        <w:br/>
        <w:t>że kwota środków przeznaczona zostanie na realizację zadania zgodnie z ofertą i że, w tym zakresie, zadanie nie będzie finansowane z innych źródeł.</w:t>
      </w:r>
    </w:p>
    <w:p w14:paraId="6BA6E450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Oświadczenie, że cele statutowe lub przedmiot działalności podmiotu składającego ofertę dotyczy spraw objętych zadaniami określonymi w art. 2 ustawy o zdrowiu publicznym.</w:t>
      </w:r>
    </w:p>
    <w:p w14:paraId="7C91BDDB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Oświadczenie o kwalifikowalności VAT zgodnie ze wzorem określonym w załączniku do ogłoszenia.</w:t>
      </w:r>
    </w:p>
    <w:p w14:paraId="7E2D70DE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Klauzula informacyjna dotycząca przetwarzania danych osobowych wskazanych w ofercie, uzupełniona odrębnie przez wszystkie osoby biorące udział w zadaniu (tj. osoby podpisujące ofertę, realizujące zadania ujęte w ofercie, wykonujące rozliczenie oferty).</w:t>
      </w:r>
    </w:p>
    <w:p w14:paraId="304FEDA9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Oświadczenie oferenta o posiadaniu dokumentów potwierdzających realizację obowiązków określonych w art. 21 ust. 2 – 8 ustawy z dnia 13 maja 2016 r. o </w:t>
      </w:r>
      <w:r>
        <w:rPr>
          <w:color w:val="000000"/>
          <w:u w:color="000000"/>
        </w:rPr>
        <w:t>przeciwdziałaniu zagrożeniom przestępczością na tle seksualnym i ochronie małoletnich (Dz. U. z 2024 r. poz. 1802) – w przypadku adresowania działań opisanych w ofercie do osób małoletnich.</w:t>
      </w:r>
    </w:p>
    <w:p w14:paraId="055D2D5C" w14:textId="77777777" w:rsidR="00A77B3E" w:rsidRDefault="00EA0C74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Przed nawiązaniem stosunku pracy z osobami realizującymi zadanie publiczne, obejmujące działalność określoną w art. 21 ust. 1 powołanej wyżej ustawy,  lub przed dopuszczeniem ich do innej działalności w związku z realizacją takiego zadania publicznego, oferent zobowiązany jest do:</w:t>
      </w:r>
    </w:p>
    <w:p w14:paraId="62A1E867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uzyskania informacji, czy dane tych osób są zamieszczone w Rejestrze z dostępem ograniczonym lub w rejestrze osób, w stosunku do których Państwowa Komisja do spraw przeciwdziałania wykorzystaniu seksualnemu małoletnich poniżej lat 15 wydała postanowienie o wpisie w Rejestrze;</w:t>
      </w:r>
    </w:p>
    <w:p w14:paraId="785DAA48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uzyskania od takiej osoby informacji z Krajowego Rejestru Karnego w zakresie przestępstw określonych w rozdziale XIX i XXV Kodeksu karnego, w art. 189a i art. 207 Kodeksu karnego oraz w ustawie z dnia 29 lipca 2005 r. o przeciwdziałaniu narkomanii (Dz.U. z 2023 r., poz. 1939 ze zm.), lub za odpowiadające tym przestępstwom czyny zabronione określone w przepisach prawa obcego.</w:t>
      </w:r>
    </w:p>
    <w:p w14:paraId="3C5A7774" w14:textId="77777777" w:rsidR="00A77B3E" w:rsidRDefault="00EA0C7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Dodatkowo, w przypadkach opisanych odpowiednio w art. 21 ust. 3 – 7 ustawy z dnia 13 maja 2016 r. o przeciwdziałaniu zagrożeniom przestępczością na tle seksualnym i ochronie małoletnich, organizator zobowiązany jest do uzyskania dokumentów lub oświadczeń, o których mowa szczegółowo w tych przepisach.</w:t>
      </w:r>
    </w:p>
    <w:p w14:paraId="75A57B2C" w14:textId="77777777" w:rsidR="00A77B3E" w:rsidRDefault="00EA0C7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Dokumenty, o których mowa w niniejszym punkcie, powinny być dołączone do akt osobowych pracownika albo dokumentacji dotyczącej osoby dopuszczonej do działalności opisanej w art. 21 ust. 1 powołanej ustawy.</w:t>
      </w:r>
    </w:p>
    <w:p w14:paraId="6873459C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11. </w:t>
      </w:r>
      <w:r>
        <w:rPr>
          <w:b/>
          <w:color w:val="000000"/>
          <w:u w:color="000000"/>
        </w:rPr>
        <w:t>Oświadczenia, o których mowa w </w:t>
      </w:r>
      <w:proofErr w:type="spellStart"/>
      <w:r>
        <w:rPr>
          <w:b/>
          <w:color w:val="000000"/>
          <w:u w:color="000000"/>
        </w:rPr>
        <w:t>ppkt</w:t>
      </w:r>
      <w:proofErr w:type="spellEnd"/>
      <w:r>
        <w:rPr>
          <w:b/>
          <w:color w:val="000000"/>
          <w:u w:color="000000"/>
        </w:rPr>
        <w:t> 3-10 stanowią załączniki do ogłoszenia.</w:t>
      </w:r>
    </w:p>
    <w:p w14:paraId="294270FA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Departament Zdrowia zastrzega sobie możliwość wystąpienia o przedłożenie kserokopii dokumentów potwierdzających kwalifikacje wszystkich specjalistów prowadzących wszelkie działania skierowane do uczestników projektu.</w:t>
      </w:r>
    </w:p>
    <w:p w14:paraId="74F4F199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W przypadku składania oferty wspólnej każdy z podmiotów zobowiązany jest do złożenia dokumentów wymienionych w </w:t>
      </w:r>
      <w:proofErr w:type="spellStart"/>
      <w:r>
        <w:rPr>
          <w:color w:val="000000"/>
          <w:u w:color="000000"/>
        </w:rPr>
        <w:t>ppkt</w:t>
      </w:r>
      <w:proofErr w:type="spellEnd"/>
      <w:r>
        <w:rPr>
          <w:color w:val="000000"/>
          <w:u w:color="000000"/>
        </w:rPr>
        <w:t>. 2-10, a ponadto należy przedstawić kopię porozumienia, która określa:</w:t>
      </w:r>
    </w:p>
    <w:p w14:paraId="73E55F0F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zakres wykonywanych zadań oraz zasad wspólnego zarządzania projektem, w tym zarządzania finansowego;</w:t>
      </w:r>
    </w:p>
    <w:p w14:paraId="417CB29E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podział zadań i ich wykonywania, które w ramach realizacji zadania będą wykonywać poszczególne podmioty;</w:t>
      </w:r>
    </w:p>
    <w:p w14:paraId="67DD2E17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sposób reprezentacji podmiotów wobec organu zlecającego realizację zadania;</w:t>
      </w:r>
    </w:p>
    <w:p w14:paraId="2B3E0844" w14:textId="77777777" w:rsidR="00A77B3E" w:rsidRDefault="00EA0C74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zobowiązanie podmiotów składających ofertę wspólną do ponoszenia odpowiedzialności solidarnej za wykonanie zobowiązań wynikających z realizacji zadania.</w:t>
      </w:r>
    </w:p>
    <w:p w14:paraId="05CFDF5D" w14:textId="77777777" w:rsidR="00A77B3E" w:rsidRDefault="00EA0C74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Podmioty składające ofertę wspólną ponoszą odpowiedzialność solidarną za zobowiązania. </w:t>
      </w:r>
    </w:p>
    <w:p w14:paraId="12B8B147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14. </w:t>
      </w:r>
      <w:r>
        <w:rPr>
          <w:b/>
          <w:color w:val="000000"/>
          <w:u w:color="000000"/>
        </w:rPr>
        <w:t>W przypadku wyboru innego sposobu reprezentacji podmiotów składających ofertę wspólną, niż wynikający z Krajowego Rejestru Sądowego lub innego właściwego rejestru – dokument potwierdzający upoważnienie do działania w imieniu oferenta(ów).</w:t>
      </w:r>
    </w:p>
    <w:p w14:paraId="5275B700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15. </w:t>
      </w:r>
      <w:r>
        <w:rPr>
          <w:b/>
          <w:color w:val="000000"/>
          <w:u w:color="000000"/>
        </w:rPr>
        <w:t xml:space="preserve">Podpisy pod ofertą, dołączonymi załącznikami i oświadczeniami składa/ją </w:t>
      </w:r>
      <w:r>
        <w:rPr>
          <w:color w:val="000000"/>
          <w:u w:val="single" w:color="000000"/>
        </w:rPr>
        <w:t>osoba/osoby uprawniona/e lub upoważniona/e do reprezentowania Oferenta, składania oświadczeń woli i zaciągania w jego imieniu zobowiązań finansowych, zgodnie z zapisami statutu/regulaminu organizacyjnego, zapisami Krajowego Rejestru Sądowego, innego rejestru lub innych dokumentów potwierdzających umocowanie reprezentujących go osób</w:t>
      </w:r>
      <w:r>
        <w:rPr>
          <w:color w:val="000000"/>
          <w:u w:color="000000"/>
        </w:rPr>
        <w:t xml:space="preserve">. </w:t>
      </w:r>
    </w:p>
    <w:p w14:paraId="08FA5C69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16. </w:t>
      </w:r>
      <w:r>
        <w:rPr>
          <w:b/>
          <w:color w:val="000000"/>
          <w:u w:color="000000"/>
        </w:rPr>
        <w:t xml:space="preserve">Oferta powinna zostać opatrzona pieczęcią firmową Oferenta. </w:t>
      </w:r>
      <w:r>
        <w:rPr>
          <w:color w:val="000000"/>
          <w:u w:color="000000"/>
        </w:rPr>
        <w:t xml:space="preserve">Wszystkie złożone własnoręcznie podpisy oraz pieczątki muszą być czytelne. W razie zaistnienia zmian upoważnień w trakcie procedury wyłaniania wniosku do realizacji, należy niezwłocznie, w formie pisemnej, poinformować o tym fakcie Dyrektora Departamentu Zdrowia. </w:t>
      </w:r>
    </w:p>
    <w:p w14:paraId="07B7E0B8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17. </w:t>
      </w:r>
      <w:r>
        <w:rPr>
          <w:color w:val="000000"/>
          <w:u w:color="000000"/>
        </w:rPr>
        <w:t>Wszelkie przedłożone kserokopie dokumentów winny być potwierdzone za zgodność</w:t>
      </w:r>
      <w:r>
        <w:rPr>
          <w:color w:val="000000"/>
          <w:u w:color="000000"/>
        </w:rPr>
        <w:br/>
        <w:t>z oryginałem wraz z aktualną datą i podpisem osób upoważnionych do składania oferty.</w:t>
      </w:r>
    </w:p>
    <w:p w14:paraId="3434ABA4" w14:textId="77777777" w:rsidR="00A77B3E" w:rsidRDefault="00EA0C74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color="000000"/>
        </w:rPr>
        <w:t> Kryteria oceny ofert</w:t>
      </w:r>
    </w:p>
    <w:p w14:paraId="63A98047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Rozpatrywane będą wyłącznie oferty złożone w terminach wskazanych w ogłoszeniu.</w:t>
      </w:r>
    </w:p>
    <w:p w14:paraId="78AB0B7E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Oferty wraz z załącznikami złożone na niewłaściwych drukach, niekompletne, niepodpisane</w:t>
      </w:r>
      <w:r>
        <w:rPr>
          <w:color w:val="000000"/>
          <w:u w:color="000000"/>
        </w:rPr>
        <w:br/>
        <w:t>lub podpisane przez osoby nieuprawnione, nieopieczętowane lub zawierające inne braki formalne zostaną odrzucone z przyczyn formalnych, w przypadku nieusunięcia tych braków we wskazanym w wezwaniu terminie do ich usunięcia.</w:t>
      </w:r>
    </w:p>
    <w:p w14:paraId="54E4C999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Wszystkie złożone oferty wraz z załączoną do nich dokumentacją pozostaną w aktach Departamentu Zdrowia i nie będą odsyłane.</w:t>
      </w:r>
    </w:p>
    <w:p w14:paraId="6816D0EA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Kryteria formalne</w:t>
      </w:r>
    </w:p>
    <w:p w14:paraId="4E599525" w14:textId="77777777" w:rsidR="00A77B3E" w:rsidRDefault="00EA0C74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Ocena formalna polega na analizie kompletności oraz poprawności formalnej oferty.</w:t>
      </w:r>
    </w:p>
    <w:p w14:paraId="5DBB9B1C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Weryfikacja formalna i merytoryczna ofert dokonywana będzie przez Departament Zdrowia.</w:t>
      </w:r>
    </w:p>
    <w:p w14:paraId="013A65E1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przypadku wystąpienia jakichkolwiek braków lub niejasności, co do treści złożonej dokumentacji oferent wezwany zostanie do złożenia wyjaśnień lub uzupełnienia oferty, w terminie 3 dni roboczych od dnia otrzymania wezwania, a w przypadku braków formalnych, pod rygorem pozostawienia oferty bez rozpoznania.</w:t>
      </w:r>
    </w:p>
    <w:p w14:paraId="38632103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Oferent powinien uzupełnić braki w formie pisemnej. Wezwanie może zostać doręczone pocztą elektroniczną lub za pośrednictwem placówki pocztowej. W sytuacji gdy wezwanie zostanie doręczone w formie elektronicznej, podmiot jest zobowiązany potwierdzić jego otrzymanie.</w:t>
      </w:r>
    </w:p>
    <w:p w14:paraId="4DF63360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 zachowaniu terminu uzupełnienia braków decyduje dzień wpływu uzupełnień do siedziby Urzędu Marszałkowskiego Województwa Wielkopolskiego, w analogicznej formie w jakiej wezwanie zostało doręczone.</w:t>
      </w:r>
    </w:p>
    <w:p w14:paraId="791DD385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Oferta zostaje odrzucona na etapie analizy formalnej i nie zostaje skierowana do dalszej oceny merytorycznej w następujących przypadkach:</w:t>
      </w:r>
    </w:p>
    <w:p w14:paraId="084899DE" w14:textId="77777777" w:rsidR="00A77B3E" w:rsidRDefault="00EA0C74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złożenia oferty z naruszeniem terminu podanego w ogłoszeniu o konkursie,</w:t>
      </w:r>
    </w:p>
    <w:p w14:paraId="6443998F" w14:textId="77777777" w:rsidR="00A77B3E" w:rsidRDefault="00EA0C74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złożenia oferty przez podmiot nieuprawniony do udziału w konkursie,</w:t>
      </w:r>
    </w:p>
    <w:p w14:paraId="106700D5" w14:textId="77777777" w:rsidR="00A77B3E" w:rsidRDefault="00EA0C74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nieusunięcia w wyznaczonym terminie braków formalnych.</w:t>
      </w:r>
    </w:p>
    <w:p w14:paraId="5A97A4D9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 xml:space="preserve">Kryteria merytoryczne </w:t>
      </w:r>
    </w:p>
    <w:p w14:paraId="069BFEE3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Ocena merytoryczna ofert, spełniających wymogi formalne, dokonywana będzie przez Komisję Konkursową powołaną przez Zarząd Województwa Wielkopolskiego.</w:t>
      </w:r>
    </w:p>
    <w:p w14:paraId="298E0D14" w14:textId="77777777" w:rsidR="00A77B3E" w:rsidRDefault="00EA0C7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Kryteria oceny merytorycznej, z podziałem na:</w:t>
      </w:r>
    </w:p>
    <w:p w14:paraId="49987E19" w14:textId="77777777" w:rsidR="00A77B3E" w:rsidRDefault="00EA0C74">
      <w:pPr>
        <w:keepLines/>
        <w:spacing w:before="120" w:after="120" w:line="276" w:lineRule="auto"/>
        <w:ind w:left="283" w:hanging="283"/>
        <w:rPr>
          <w:color w:val="000000"/>
          <w:u w:color="000000"/>
        </w:rPr>
      </w:pPr>
      <w:r>
        <w:rPr>
          <w:b/>
        </w:rPr>
        <w:lastRenderedPageBreak/>
        <w:t>A. </w:t>
      </w:r>
      <w:r>
        <w:rPr>
          <w:color w:val="000000"/>
          <w:u w:color="000000"/>
        </w:rPr>
        <w:t>Merytoryczne – 50 pkt. (waga: 70%/100%):</w:t>
      </w:r>
    </w:p>
    <w:p w14:paraId="7A2A6A02" w14:textId="77777777" w:rsidR="00A77B3E" w:rsidRDefault="00EA0C74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koncepcja planowanych działań – zgodność oferty z ogłoszeniem konkursowym;</w:t>
      </w:r>
    </w:p>
    <w:p w14:paraId="4831C244" w14:textId="77777777" w:rsidR="00A77B3E" w:rsidRDefault="00EA0C74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jakość oferty (w tym m.in.: spójność poszczególnych elementów oferty, adekwatność wnioskowanej kwoty dotacji do zakresu podejmowanych działań – racjonalność wydatków w świetle przedstawionego kosztorysu);</w:t>
      </w:r>
    </w:p>
    <w:p w14:paraId="37F68824" w14:textId="77777777" w:rsidR="00A77B3E" w:rsidRDefault="00EA0C74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atrakcyjność i różnorodność planowanych działań w ramach realizacji zadania;</w:t>
      </w:r>
    </w:p>
    <w:p w14:paraId="07D193F7" w14:textId="77777777" w:rsidR="00A77B3E" w:rsidRDefault="00EA0C74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przewidywane efekty realizacji zadania, w tym czas trwania działania oraz przewidywana liczba uczestników zadania.</w:t>
      </w:r>
    </w:p>
    <w:p w14:paraId="0E2617C4" w14:textId="77777777" w:rsidR="00A77B3E" w:rsidRDefault="00EA0C74">
      <w:pPr>
        <w:keepLines/>
        <w:spacing w:before="120" w:after="120" w:line="276" w:lineRule="auto"/>
        <w:ind w:left="283" w:hanging="283"/>
        <w:rPr>
          <w:color w:val="000000"/>
          <w:u w:color="000000"/>
        </w:rPr>
      </w:pPr>
      <w:r>
        <w:rPr>
          <w:b/>
        </w:rPr>
        <w:t>B. </w:t>
      </w:r>
      <w:r>
        <w:rPr>
          <w:color w:val="000000"/>
          <w:u w:color="000000"/>
        </w:rPr>
        <w:t>Organizacyjne – 50 pkt. (waga: 30%/100%):</w:t>
      </w:r>
    </w:p>
    <w:p w14:paraId="666A740C" w14:textId="77777777" w:rsidR="00A77B3E" w:rsidRDefault="00EA0C74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zasoby kadrowe przewidywane do wykorzystania przy realizacji zadania;</w:t>
      </w:r>
    </w:p>
    <w:p w14:paraId="1CF2D2E4" w14:textId="77777777" w:rsidR="00A77B3E" w:rsidRDefault="00EA0C74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doświadczenie oferenta w zakresie adekwatnym do treści zadania będącego przedmiotem konkursu.</w:t>
      </w:r>
    </w:p>
    <w:p w14:paraId="2A914933" w14:textId="77777777" w:rsidR="00A77B3E" w:rsidRDefault="00EA0C74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rzetelność, terminowość oraz sposób rozliczania otrzymanych środków na realizację zadań publicznych zlecanych w latach poprzednich przez Województwo Wielkopolskie (dotychczasowa współpraca za lata 2023-2025),</w:t>
      </w:r>
    </w:p>
    <w:p w14:paraId="22B1F13C" w14:textId="77777777" w:rsidR="00A77B3E" w:rsidRDefault="00EA0C74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udział środków własnych.</w:t>
      </w:r>
    </w:p>
    <w:p w14:paraId="1F805E1F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Maksymalna liczba punktów możliwych do zdobycia w zakresie spełniania kryteriów merytorycznych wynosi 100 pkt.</w:t>
      </w:r>
    </w:p>
    <w:p w14:paraId="1AA77E24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Ostateczna liczba punktów to średnia sumy przyznanych punktów przez poszczególnych członków Komisji.</w:t>
      </w:r>
    </w:p>
    <w:p w14:paraId="269EEB5E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Oferty, które uzyskają poniżej 50 punktów nie uzyskają dofinansowania.</w:t>
      </w:r>
    </w:p>
    <w:p w14:paraId="39B84925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Przekroczenie progu, o którym mowa powyżej, nie jest jednoznaczne z przyznaniem dotacji.</w:t>
      </w:r>
    </w:p>
    <w:p w14:paraId="6DDADBAB" w14:textId="77777777" w:rsidR="00A77B3E" w:rsidRDefault="00EA0C74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color="000000"/>
        </w:rPr>
        <w:t> Zasady przyznania dotacji oraz pozostałe informacje dotyczące realizacji zadania</w:t>
      </w:r>
    </w:p>
    <w:p w14:paraId="002A170D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 przeprowadzonej oceny ofert tworzy się listę rankingową złożoną ze wszystkich złożonych ofert, uporządkowanych według liczby zdobytych punktów, zaczynając od tych z najwyższą punktacją.</w:t>
      </w:r>
    </w:p>
    <w:p w14:paraId="69C2FECC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złożenia ofert przez większą liczbę podmiotów rozdział środków finansowych rozpoczyna się od ofert, które uzyskały największą liczbę punktów ważonych, aż do wyczerpania środków finansowych.</w:t>
      </w:r>
    </w:p>
    <w:p w14:paraId="78B5D756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Lista rankingowa stanowi rekomendację dla Zarządu Województwa Wielkopolskiego, który w formie Uchwały rozstrzyga konkurs i zatwierdza rozdział środków finansowych, z zastrzeżeniem ust. 4 i 5.</w:t>
      </w:r>
    </w:p>
    <w:p w14:paraId="7312F6CD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W przypadku wyczerpania środków finansowych w poszczególnych paragrafach, Komisja konkursowa, biorąc pod uwagę jakość złożonych ofert oraz mając na względzie chęć rozdysponowania jak największej puli środków, może rekomendować Zarządowi Województwa Wielkopolskiego wraz z rozstrzygnięciem niniejszego konkursu rozpoczęcie procedury dokonania przesunięć pomiędzy paragrafami, na których zabezpieczone zostały środki finansowe przeznaczone na konkurs. Przyznanie dotacji jest uzależnione od zgody wyrażonej przez S</w:t>
      </w:r>
      <w:r>
        <w:rPr>
          <w:color w:val="000000"/>
          <w:u w:color="000000"/>
        </w:rPr>
        <w:t>ejmik Województwa Wielkopolskiego, na dokonanie zmian w planie wydatków budżetu Województwa Wielkopolskiego.</w:t>
      </w:r>
    </w:p>
    <w:p w14:paraId="3992FA5A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przypadkach wskazanych w ust. 4 tworzy się listę rezerwową, stanowiącą integralny element listy rankingowej, która po dokonaniu zmian w planie wydatków budżetu Województwa Wielkopolskiego stanowić będzie podstawę do przyznania dotacji przez Zarząd Województwa Wielkopolskiego.</w:t>
      </w:r>
    </w:p>
    <w:p w14:paraId="569B2D7B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 Wnioskodawcą rekomendowanym do dofinansowania Departament Zdrowia może przeprowadzić negocjacje, dotyczące kwoty dotacji, harmonogramu, i szczegółowych działań biorąc pod uwagę wysokość środków przeznaczonych na dotacje.</w:t>
      </w:r>
    </w:p>
    <w:p w14:paraId="1A2C98E9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Uzyskanie dotacji na poziomie niższym niż kwota wnioskowana, uprawnia do zmniejszenia kosztu całkowitego zadania.</w:t>
      </w:r>
    </w:p>
    <w:p w14:paraId="3BF2D239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Szczegółowe warunki realizacji zadania określi umowa na realizację zadania.</w:t>
      </w:r>
    </w:p>
    <w:p w14:paraId="6D77BBA8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9. </w:t>
      </w:r>
      <w:r>
        <w:rPr>
          <w:b/>
          <w:color w:val="000000"/>
          <w:u w:color="000000"/>
        </w:rPr>
        <w:t xml:space="preserve">Ze środków przyznanej dotacji nie mogą być pokrywane koszty realizacji zadania, poniesione przed dniem podpisania umowy. </w:t>
      </w:r>
    </w:p>
    <w:p w14:paraId="25670BE7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Oferent ma obowiązek ujawniania wszelkich dochodów / przychodów, które powstaną w związku z realizacją zadania, a nie zostały przewidziane w ofercie.</w:t>
      </w:r>
    </w:p>
    <w:p w14:paraId="7D4057BC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Dopuszcza się wydatkowanie uzyskanych przychodów, w tym także odsetek bankowych od przekazanych środków finansowych na podstawie niniejszego postępowania konkursowego,</w:t>
      </w:r>
      <w:r>
        <w:rPr>
          <w:color w:val="000000"/>
          <w:u w:color="000000"/>
        </w:rPr>
        <w:br/>
        <w:t>na realizację zadania, wyłącznie na zasadach określonych w umowie. Niewykorzystane przychody podlegają zwrotowi.</w:t>
      </w:r>
    </w:p>
    <w:p w14:paraId="2872B7B1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Oferent może wskazać, które z informacji zawartych w ofercie stanowią tajemnicę przedsiębiorcy w rozumieniu art. 5 ustawy z dnia 6 września 2001 r. o dostępie do informacji publicznej i podlegają wyłączeniu od udostępniania innym podmiotom.</w:t>
      </w:r>
    </w:p>
    <w:p w14:paraId="53FDC675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Oferent, któremu zostaną przyznane środki na dofinansowanie realizacji zadania, zobowiązany jest do założenia wydzielonego rachunku bankowego, przeznaczonego do rozliczeń związanych z zadaniem (dotyczy dotacji oraz środków własnych).</w:t>
      </w:r>
    </w:p>
    <w:p w14:paraId="49B36972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Wszelkie materiały wytworzone w wyniku realizacji zadania będą zawierały:</w:t>
      </w:r>
    </w:p>
    <w:p w14:paraId="02E10652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znak graficzny Województwa Wielkopolskiego: </w:t>
      </w:r>
      <w:r>
        <w:rPr>
          <w:b/>
          <w:color w:val="000000"/>
          <w:u w:color="000000"/>
        </w:rPr>
        <w:t>Herb Województwa Wielkopolskiego</w:t>
      </w:r>
      <w:r>
        <w:rPr>
          <w:color w:val="000000"/>
          <w:u w:color="000000"/>
        </w:rPr>
        <w:br/>
        <w:t>oraz</w:t>
      </w:r>
      <w:r>
        <w:rPr>
          <w:b/>
          <w:color w:val="000000"/>
          <w:u w:color="000000"/>
        </w:rPr>
        <w:t xml:space="preserve"> Logotyp,</w:t>
      </w:r>
    </w:p>
    <w:p w14:paraId="0DBC2B58" w14:textId="77777777" w:rsidR="00A77B3E" w:rsidRDefault="00EA0C74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informację o treści: </w:t>
      </w:r>
      <w:r>
        <w:rPr>
          <w:b/>
          <w:color w:val="000000"/>
          <w:u w:color="000000"/>
        </w:rPr>
        <w:t>„Projekt współfinansowany przez Samorząd Województwa Wielkopolskiego”,</w:t>
      </w:r>
      <w:r>
        <w:rPr>
          <w:color w:val="000000"/>
          <w:u w:color="000000"/>
        </w:rPr>
        <w:t xml:space="preserve"> proporcjonalnie do wielkości innych oznaczeń, w sposób zapewniający jego dobrą widoczność.</w:t>
      </w:r>
    </w:p>
    <w:p w14:paraId="06D78140" w14:textId="77777777" w:rsidR="00A77B3E" w:rsidRDefault="00EA0C7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Herb Województwa Wielkopolskiego i logotyp w wersji elektronicznej jest dostępny  do pobrania ze strony internetowej Urzędu Marszałkowskiego Województwa Wielkopolskiego w Poznaniu pod adresem:  www.umww.pl.</w:t>
      </w:r>
    </w:p>
    <w:p w14:paraId="14863A29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Departament Zdrowia zastrzega sobie możliwość wnoszenia uwag na każdym etapie realizacji zadania oraz poddania recenzji wytworzonych materiałów i ich ostatecznej akceptacji. Projekty przekazywane będą do akceptacji w wersji elektronicznej.</w:t>
      </w:r>
    </w:p>
    <w:p w14:paraId="7C71FC6D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>Zarząd Województwa może odmówić podpisania umowy z wybranym podmiotem  w przypadku, gdy ujawnione zostaną nieznane wcześniej okoliczności podważające wiarygodność merytoryczną lub finansową podmiotu.</w:t>
      </w:r>
    </w:p>
    <w:p w14:paraId="3BEDD104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17. </w:t>
      </w:r>
      <w:r>
        <w:rPr>
          <w:color w:val="000000"/>
          <w:u w:color="000000"/>
        </w:rPr>
        <w:t>Zarząd Województwa Wielkopolskiego zastrzega sobie prawo do odwołania konkursu przed upływem terminu na złożenie ofert oraz prawo do wprowadzania zmian w ogłoszeniu, w tym do przedłużenia terminu na złożenie ofert lub terminu rozstrzygnięcia konkursu.</w:t>
      </w:r>
    </w:p>
    <w:p w14:paraId="2D786431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18. </w:t>
      </w:r>
      <w:r>
        <w:rPr>
          <w:color w:val="000000"/>
          <w:u w:color="000000"/>
        </w:rPr>
        <w:t>Zastrzega się możliwość unieważnienia konkursu w formie uchwały Zarządu Województwa Wielkopolskiego w przypadku wystąpienia przyczyn nieprzewidzianych na etapie ogłaszania konkursu.</w:t>
      </w:r>
    </w:p>
    <w:p w14:paraId="7EA86831" w14:textId="77777777" w:rsidR="00A77B3E" w:rsidRDefault="00EA0C74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XI. </w:t>
      </w:r>
      <w:r>
        <w:rPr>
          <w:b/>
          <w:color w:val="000000"/>
          <w:u w:color="000000"/>
        </w:rPr>
        <w:t> Zapewnienie dostępności osobom ze szczególnymi potrzebami</w:t>
      </w:r>
    </w:p>
    <w:p w14:paraId="1DB20914" w14:textId="77777777" w:rsidR="00A77B3E" w:rsidRDefault="00EA0C74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Podmiot składający ofertę w konkursie zobowiązany jest od dnia </w:t>
      </w:r>
      <w:r>
        <w:rPr>
          <w:b/>
          <w:color w:val="000000"/>
          <w:u w:color="000000"/>
        </w:rPr>
        <w:t>20 kwietnia 2026 roku</w:t>
      </w:r>
      <w:r>
        <w:rPr>
          <w:color w:val="000000"/>
          <w:u w:color="000000"/>
        </w:rPr>
        <w:t xml:space="preserve"> do zapewnienia dostępności architektonicznej, cyfrowej oraz informacyjno-komunikacyjnej, osobom ze szczególnymi potrzebami, co najmniej w zakresie określonym przez minimalne wymagania, o których mowa w art. 6 ustawy z dnia 19 lipca 2019 r. o zapewnieniu dostępności osobom ze szczególnymi potrzebami (Dz.U. z 2024 r., poz. 1411 ze </w:t>
      </w:r>
      <w:proofErr w:type="spellStart"/>
      <w:r>
        <w:rPr>
          <w:color w:val="000000"/>
          <w:u w:color="000000"/>
        </w:rPr>
        <w:t>zm</w:t>
      </w:r>
      <w:proofErr w:type="spellEnd"/>
      <w:r>
        <w:rPr>
          <w:color w:val="000000"/>
          <w:u w:color="000000"/>
        </w:rPr>
        <w:t>). Zapewnienie dostępności osobom ze szczególnymi potrzebami następuje, o ile jest to możliwe, z uwzględnieniem uniwersalnego projektowania.</w:t>
      </w:r>
    </w:p>
    <w:p w14:paraId="5212FFAF" w14:textId="77777777" w:rsidR="00A77B3E" w:rsidRDefault="00EA0C74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XII. </w:t>
      </w:r>
      <w:r>
        <w:rPr>
          <w:b/>
          <w:color w:val="000000"/>
          <w:u w:color="000000"/>
        </w:rPr>
        <w:t xml:space="preserve"> Informacje o przetwarzaniu danych osobowych </w:t>
      </w:r>
    </w:p>
    <w:p w14:paraId="3DE7B7FD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danych osobowych jest Województwo Wielkopolskie z </w:t>
      </w:r>
      <w:r>
        <w:rPr>
          <w:color w:val="000000"/>
          <w:u w:color="000000"/>
        </w:rPr>
        <w:t>siedzibą Urzędu Marszałkowskiego Województwa Wielkopolskiego w Poznaniu przy al. Niepodległości 34,</w:t>
      </w:r>
      <w:r>
        <w:rPr>
          <w:color w:val="000000"/>
          <w:u w:color="000000"/>
        </w:rPr>
        <w:br/>
        <w:t>61-714 Poznań.</w:t>
      </w:r>
    </w:p>
    <w:p w14:paraId="7D8A2F76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Państwa dane osobowe przetwarzane są w celach niezbędnych do przeprowadzenia</w:t>
      </w:r>
      <w:r>
        <w:rPr>
          <w:color w:val="000000"/>
          <w:u w:color="000000"/>
        </w:rPr>
        <w:br/>
        <w:t>i rozstrzygnięcia niniejszego konkursu ofert oraz archiwizacji.</w:t>
      </w:r>
    </w:p>
    <w:p w14:paraId="394BB7CE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Państwa dane osobowe przetwarzamy w związku z wypełnieniem obowiązku prawnego ciążącym na administratorze.</w:t>
      </w:r>
    </w:p>
    <w:p w14:paraId="28D73015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W sprawach związanych z przetwarzaniem danych osobowych prosimy o kontakt z Inspektorem ochrony danych osobowych W sprawach związanych z przetwarzaniem danych osobowych można kontaktować się z: Inspektorem Ochrony Danych Osobowych P. Piotrem Grzybem listownie pod adresem administratora danych lub elektronicznie poprzez skrytkę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>: /</w:t>
      </w:r>
      <w:proofErr w:type="spellStart"/>
      <w:r>
        <w:rPr>
          <w:color w:val="000000"/>
          <w:u w:color="000000"/>
        </w:rPr>
        <w:t>umarszwlkp</w:t>
      </w:r>
      <w:proofErr w:type="spellEnd"/>
      <w:r>
        <w:rPr>
          <w:color w:val="000000"/>
          <w:u w:color="000000"/>
        </w:rPr>
        <w:t>/</w:t>
      </w:r>
      <w:proofErr w:type="spellStart"/>
      <w:r>
        <w:rPr>
          <w:color w:val="000000"/>
          <w:u w:color="000000"/>
        </w:rPr>
        <w:t>SkrytkaESP</w:t>
      </w:r>
      <w:proofErr w:type="spellEnd"/>
      <w:r>
        <w:rPr>
          <w:color w:val="000000"/>
          <w:u w:color="000000"/>
        </w:rPr>
        <w:t>, pod adresem do doręczeń elektronicznych (ADE) Urzędu: AE:PL-36275-98241-EEETD-21 lub e-mail: inspektor.ochrony@umww.pl.</w:t>
      </w:r>
    </w:p>
    <w:p w14:paraId="625C4BBA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Państwa dane osobowe będą przetwarzane przez okres 10 lat, licząc od roku następnego,</w:t>
      </w:r>
      <w:r>
        <w:rPr>
          <w:color w:val="000000"/>
          <w:u w:color="000000"/>
        </w:rPr>
        <w:br/>
        <w:t>w którym rozstrzygnięto niniejszy konkurs ofert, zgodnie z Instrukcją Kancelaryjną.</w:t>
      </w:r>
    </w:p>
    <w:p w14:paraId="09D1FDF5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Podanie danych osobowych jest warunkiem ustawowym, a ich niepodanie skutkuje brakiem możliwości realizacji celów, dla których są gromadzone.</w:t>
      </w:r>
    </w:p>
    <w:p w14:paraId="58085C3F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Przysługuje Państwu prawo do dostępu do danych osobowych, ich sprostowania lub ograniczenia przetwarzania.</w:t>
      </w:r>
    </w:p>
    <w:p w14:paraId="53C7B839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Przysługuje Państwu prawo wniesienia skargi do organu nadzorczego.</w:t>
      </w:r>
    </w:p>
    <w:p w14:paraId="2FF34CA8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Państwa dane osobowe nie są przetwarzane w sposób zautomatyzowany w celu podjęcia jakiejkolwiek decyzji.</w:t>
      </w:r>
    </w:p>
    <w:p w14:paraId="23D09CBA" w14:textId="77777777" w:rsidR="00A77B3E" w:rsidRDefault="00EA0C74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XIII. </w:t>
      </w:r>
      <w:r>
        <w:rPr>
          <w:b/>
          <w:color w:val="000000"/>
          <w:u w:color="000000"/>
        </w:rPr>
        <w:t> Miejsce, termin oraz sposób składania ofert:</w:t>
      </w:r>
    </w:p>
    <w:p w14:paraId="1519614B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Oferty należy składać za </w:t>
      </w:r>
      <w:r>
        <w:rPr>
          <w:color w:val="000000"/>
          <w:u w:val="single" w:color="000000"/>
        </w:rPr>
        <w:t>pośrednictwem poczty, kurierem lub osobiście</w:t>
      </w:r>
      <w:r>
        <w:rPr>
          <w:color w:val="000000"/>
          <w:u w:color="000000"/>
        </w:rPr>
        <w:t xml:space="preserve"> w siedzibie Urzędu Marszałkowskiego Województwa Wielkopolskiego w Poznaniu, al. Niepodległości 34, </w:t>
      </w:r>
      <w:r>
        <w:rPr>
          <w:color w:val="000000"/>
          <w:u w:color="000000"/>
        </w:rPr>
        <w:br/>
        <w:t xml:space="preserve">61-714 Poznań (Punkt Kancelaryjny – hol główny), </w:t>
      </w:r>
      <w:r>
        <w:rPr>
          <w:b/>
          <w:color w:val="000000"/>
          <w:u w:val="single" w:color="000000"/>
        </w:rPr>
        <w:t>w zaklejonej i opieczętowanej kopercie</w:t>
      </w:r>
      <w:r>
        <w:rPr>
          <w:color w:val="000000"/>
          <w:u w:color="000000"/>
        </w:rPr>
        <w:t xml:space="preserve"> z dopiskiem: „</w:t>
      </w:r>
      <w:r>
        <w:rPr>
          <w:b/>
          <w:color w:val="000000"/>
          <w:u w:color="000000"/>
        </w:rPr>
        <w:t xml:space="preserve">Wsparcie zdrowia psychicznego opiekunów dziecka </w:t>
      </w:r>
      <w:r>
        <w:rPr>
          <w:b/>
          <w:color w:val="000000"/>
          <w:u w:color="000000"/>
        </w:rPr>
        <w:br/>
        <w:t xml:space="preserve">z niepełnosprawnością” </w:t>
      </w:r>
    </w:p>
    <w:p w14:paraId="09B625EF" w14:textId="77777777" w:rsidR="00A77B3E" w:rsidRDefault="00EA0C74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lub poprzez platformę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 xml:space="preserve"> albo skrzynki </w:t>
      </w:r>
      <w:proofErr w:type="spellStart"/>
      <w:r>
        <w:rPr>
          <w:color w:val="000000"/>
          <w:u w:color="000000"/>
        </w:rPr>
        <w:t>eDoręczenia</w:t>
      </w:r>
      <w:proofErr w:type="spellEnd"/>
      <w:r>
        <w:rPr>
          <w:color w:val="000000"/>
          <w:u w:color="000000"/>
        </w:rPr>
        <w:t xml:space="preserve"> Urzędu Marszałkowskiego Województwa Wielkopolskiego (wysłanie oferty poprzez jeden z tych sposobów zastępuje podpis odręczny na dokumentach, w tym poświadczenie kserokopii za zgodność z oryginałem) w terminie:</w:t>
      </w:r>
    </w:p>
    <w:p w14:paraId="2BD9F155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Oferty składane winny być do: </w:t>
      </w:r>
      <w:r>
        <w:rPr>
          <w:b/>
          <w:color w:val="000000"/>
          <w:u w:color="000000"/>
        </w:rPr>
        <w:t>25 lutego 2026 r. do godz. 15:30.</w:t>
      </w:r>
    </w:p>
    <w:p w14:paraId="630C037F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 przyjęciu oferty decyduje data i godzina jej wpływu do siedziby Urzędu Marszałkowskiego Województwa Wielkopolskiego w Poznaniu.</w:t>
      </w:r>
    </w:p>
    <w:p w14:paraId="5EEF1320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Oferty, które wpłyną po terminie będą odrzucane. </w:t>
      </w:r>
      <w:r>
        <w:rPr>
          <w:b/>
          <w:color w:val="000000"/>
          <w:u w:val="single" w:color="000000"/>
        </w:rPr>
        <w:t>UWAGA: Nie decyduje data stempla pocztowego.</w:t>
      </w:r>
    </w:p>
    <w:p w14:paraId="14BD935C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Formularz oferty i druki oświadczeń znajdują się do pobrania na stronie internetowej Urzędu Marszałkowskiego Województwa Wielkopolskiego w Poznaniu: www.umww.pl      oraz na stronie internetowej Biuletynu Informacji Publicznej Urzędu Marszałkowskiego Województwa Wielkopolskiego w Poznaniu: www.bip.umww.pl.</w:t>
      </w:r>
    </w:p>
    <w:p w14:paraId="47CAF701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Dodatkowe informacje uzyskać można pod numerami telefonu: (61) 626 75 19; (61) 626 63 60; (61) 626 75 09 oraz drogą elektroniczną: dz.sekretariat@umww.pl</w:t>
      </w:r>
      <w:r>
        <w:rPr>
          <w:color w:val="000000"/>
          <w:u w:val="single" w:color="000000"/>
        </w:rPr>
        <w:t xml:space="preserve">. </w:t>
      </w:r>
    </w:p>
    <w:p w14:paraId="5072BF3F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Złożenie oferty nie jest równoznaczne z zapewnieniem przyznania dotacji lub przyznaniem dotacji w oczekiwanej wysokości. </w:t>
      </w:r>
      <w:r>
        <w:rPr>
          <w:b/>
          <w:color w:val="000000"/>
          <w:u w:color="000000"/>
        </w:rPr>
        <w:t xml:space="preserve">Zastrzega się prawo do przyznania mniejszej kwoty środków niż wnioskowana w ofercie. </w:t>
      </w:r>
      <w:r>
        <w:rPr>
          <w:color w:val="000000"/>
          <w:u w:color="000000"/>
        </w:rPr>
        <w:t>Wysokość przyznanej dotacji zależy m.in. od wyniku oceny merytorycznej oferty oraz kwalifikowalności kosztów.</w:t>
      </w:r>
    </w:p>
    <w:p w14:paraId="5D1FC494" w14:textId="77777777" w:rsidR="00A77B3E" w:rsidRDefault="00EA0C74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XIV. </w:t>
      </w:r>
      <w:r>
        <w:rPr>
          <w:b/>
          <w:color w:val="000000"/>
          <w:u w:color="000000"/>
        </w:rPr>
        <w:t> </w:t>
      </w:r>
      <w:r>
        <w:rPr>
          <w:b/>
          <w:color w:val="000000"/>
          <w:u w:color="000000"/>
        </w:rPr>
        <w:t>Termin rozstrzygnięcia konkursu ofert </w:t>
      </w:r>
    </w:p>
    <w:p w14:paraId="26C542CD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Wybór ofert nastąpi w terminie do dnia </w:t>
      </w:r>
      <w:r>
        <w:rPr>
          <w:b/>
          <w:color w:val="000000"/>
          <w:u w:color="000000"/>
        </w:rPr>
        <w:t xml:space="preserve">10 kwietnia 2026 r. </w:t>
      </w:r>
    </w:p>
    <w:p w14:paraId="78A06E90" w14:textId="77777777" w:rsidR="00A77B3E" w:rsidRDefault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Ostateczna decyzja o wyborze oferty i udzieleniu dotacji podjęta zostanie w formie uchwały przez Zarząd Województwa Wielkopolskiego i opublikowana na tablicy ogłoszeń, w Biuletynie Informacji Publicznej oraz na stronie internetowej Urzędu Marszałkowskiego Województwa Wielkopolskiego.</w:t>
      </w:r>
    </w:p>
    <w:p w14:paraId="65852EA5" w14:textId="67E1E674" w:rsidR="00A77B3E" w:rsidRPr="00EA0C74" w:rsidRDefault="00EA0C74" w:rsidP="00EA0C74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Od postanowień uchwał Zarządu w sprawie wyboru oferty i udzielenia dotacji nie ma zastosowania tryb odwoławczy.</w:t>
      </w:r>
    </w:p>
    <w:sectPr w:rsidR="00A77B3E" w:rsidRPr="00EA0C74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4556" w14:textId="77777777" w:rsidR="00EA0C74" w:rsidRDefault="00EA0C74">
      <w:r>
        <w:separator/>
      </w:r>
    </w:p>
  </w:endnote>
  <w:endnote w:type="continuationSeparator" w:id="0">
    <w:p w14:paraId="3B186197" w14:textId="77777777" w:rsidR="00EA0C74" w:rsidRDefault="00EA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EA0CA9" w14:paraId="1125876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564CF80" w14:textId="77777777" w:rsidR="00EA0CA9" w:rsidRDefault="00EA0CA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7793CFD" w14:textId="77777777" w:rsidR="00EA0CA9" w:rsidRDefault="00EA0C74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7C978C6" w14:textId="77777777" w:rsidR="00EA0CA9" w:rsidRDefault="00EA0CA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ABA2" w14:textId="77777777" w:rsidR="00EA0C74" w:rsidRDefault="00EA0C74">
      <w:r>
        <w:separator/>
      </w:r>
    </w:p>
  </w:footnote>
  <w:footnote w:type="continuationSeparator" w:id="0">
    <w:p w14:paraId="2CB86479" w14:textId="77777777" w:rsidR="00EA0C74" w:rsidRDefault="00EA0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54FCB"/>
    <w:rsid w:val="00A77B3E"/>
    <w:rsid w:val="00CA2A55"/>
    <w:rsid w:val="00EA0C74"/>
    <w:rsid w:val="00EA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C0723"/>
  <w15:docId w15:val="{2C3B038D-5004-4743-B815-C7D518B9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4116</Words>
  <Characters>24697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28756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3142/2026 z dnia 6 lutego 2026 r.</dc:title>
  <dc:subject>w sprawie ogłoszenia konkursu na realizację zadania publicznego Województwa Wielkopolskiego z^zakresu zdrowia publicznego pn. „Program wsparcia osób wymagających specjalistycznej opieki zdrowotnej i^rozwojowej, a^także ich rodzin i^opiekunów"</dc:subject>
  <dc:creator>paulina.markiewicz</dc:creator>
  <cp:lastModifiedBy>Markiewicz Paulina</cp:lastModifiedBy>
  <cp:revision>2</cp:revision>
  <cp:lastPrinted>2026-02-06T11:38:00Z</cp:lastPrinted>
  <dcterms:created xsi:type="dcterms:W3CDTF">2026-02-06T11:39:00Z</dcterms:created>
  <dcterms:modified xsi:type="dcterms:W3CDTF">2026-02-06T11:39:00Z</dcterms:modified>
  <cp:category>Akt prawny</cp:category>
</cp:coreProperties>
</file>