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BDB5AC" w14:textId="1925E7C1" w:rsidR="009D79CF" w:rsidRPr="00590C24" w:rsidRDefault="00C10694">
      <w:pPr>
        <w:spacing w:after="0" w:line="240" w:lineRule="auto"/>
        <w:jc w:val="left"/>
        <w:rPr>
          <w:sz w:val="32"/>
          <w:szCs w:val="32"/>
        </w:rPr>
      </w:pPr>
      <w:bookmarkStart w:id="0" w:name="_GoBack"/>
      <w:r>
        <w:rPr>
          <w:noProof/>
          <w:lang w:eastAsia="pl-PL"/>
        </w:rPr>
        <w:drawing>
          <wp:anchor distT="0" distB="0" distL="114300" distR="114300" simplePos="0" relativeHeight="251658263" behindDoc="0" locked="0" layoutInCell="1" allowOverlap="1" wp14:anchorId="095615A1" wp14:editId="35525D0E">
            <wp:simplePos x="0" y="0"/>
            <wp:positionH relativeFrom="column">
              <wp:posOffset>-880110</wp:posOffset>
            </wp:positionH>
            <wp:positionV relativeFrom="paragraph">
              <wp:posOffset>-731520</wp:posOffset>
            </wp:positionV>
            <wp:extent cx="7530516" cy="10651788"/>
            <wp:effectExtent l="0" t="0" r="0" b="0"/>
            <wp:wrapNone/>
            <wp:docPr id="8" name="Obraz 8" descr="C:\Users\Admin\AppData\Local\Microsoft\Windows\INetCache\Content.Word\Ewaluacja strategii raport końcowy wersja ostatecz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Ewaluacja strategii raport końcowy wersja ostateczn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0516" cy="10651788"/>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9D79CF" w:rsidRPr="00590C24">
        <w:rPr>
          <w:sz w:val="32"/>
          <w:szCs w:val="32"/>
        </w:rPr>
        <w:br w:type="page"/>
      </w:r>
    </w:p>
    <w:p w14:paraId="4ECF1638" w14:textId="77777777" w:rsidR="00676894" w:rsidRDefault="00676894" w:rsidP="00676894">
      <w:pPr>
        <w:tabs>
          <w:tab w:val="left" w:pos="8218"/>
        </w:tabs>
        <w:jc w:val="right"/>
        <w:rPr>
          <w:b/>
          <w:sz w:val="24"/>
          <w:szCs w:val="24"/>
        </w:rPr>
      </w:pPr>
    </w:p>
    <w:p w14:paraId="05BE9947" w14:textId="77777777" w:rsidR="00676894" w:rsidRDefault="00676894" w:rsidP="00676894">
      <w:pPr>
        <w:tabs>
          <w:tab w:val="left" w:pos="8218"/>
        </w:tabs>
        <w:jc w:val="right"/>
        <w:rPr>
          <w:b/>
          <w:sz w:val="24"/>
          <w:szCs w:val="24"/>
        </w:rPr>
      </w:pPr>
    </w:p>
    <w:p w14:paraId="0E67D507" w14:textId="77777777" w:rsidR="00676894" w:rsidRDefault="00676894" w:rsidP="00676894">
      <w:pPr>
        <w:tabs>
          <w:tab w:val="left" w:pos="8218"/>
        </w:tabs>
        <w:jc w:val="right"/>
        <w:rPr>
          <w:b/>
          <w:sz w:val="24"/>
          <w:szCs w:val="24"/>
        </w:rPr>
      </w:pPr>
    </w:p>
    <w:p w14:paraId="6D461E07" w14:textId="77777777" w:rsidR="00676894" w:rsidRDefault="00676894" w:rsidP="00676894">
      <w:pPr>
        <w:tabs>
          <w:tab w:val="left" w:pos="8218"/>
        </w:tabs>
        <w:jc w:val="right"/>
        <w:rPr>
          <w:b/>
          <w:sz w:val="24"/>
          <w:szCs w:val="24"/>
        </w:rPr>
      </w:pPr>
    </w:p>
    <w:p w14:paraId="4EEF8A75" w14:textId="77777777" w:rsidR="00585426" w:rsidRPr="009D79CF" w:rsidRDefault="00116573" w:rsidP="00676894">
      <w:pPr>
        <w:tabs>
          <w:tab w:val="left" w:pos="8218"/>
        </w:tabs>
        <w:jc w:val="right"/>
        <w:rPr>
          <w:b/>
          <w:sz w:val="24"/>
          <w:szCs w:val="24"/>
        </w:rPr>
      </w:pPr>
      <w:r w:rsidRPr="009D79CF">
        <w:rPr>
          <w:b/>
          <w:sz w:val="24"/>
          <w:szCs w:val="24"/>
        </w:rPr>
        <w:t>Autorzy raportu:</w:t>
      </w:r>
    </w:p>
    <w:p w14:paraId="569F97D3" w14:textId="77777777" w:rsidR="0090351F" w:rsidRPr="002D42AC" w:rsidRDefault="00654AAE" w:rsidP="0090351F">
      <w:pPr>
        <w:tabs>
          <w:tab w:val="left" w:pos="8218"/>
        </w:tabs>
        <w:jc w:val="right"/>
        <w:rPr>
          <w:sz w:val="20"/>
        </w:rPr>
      </w:pPr>
      <w:r>
        <w:rPr>
          <w:sz w:val="20"/>
        </w:rPr>
        <w:t>Prof. UW d</w:t>
      </w:r>
      <w:r w:rsidR="0090351F" w:rsidRPr="002D42AC">
        <w:rPr>
          <w:sz w:val="20"/>
        </w:rPr>
        <w:t>r hab. Wojciech Dziemianowicz</w:t>
      </w:r>
    </w:p>
    <w:p w14:paraId="43905404" w14:textId="77777777" w:rsidR="0090351F" w:rsidRPr="002D42AC" w:rsidRDefault="0090351F" w:rsidP="0090351F">
      <w:pPr>
        <w:tabs>
          <w:tab w:val="left" w:pos="8218"/>
        </w:tabs>
        <w:jc w:val="right"/>
        <w:rPr>
          <w:sz w:val="20"/>
        </w:rPr>
      </w:pPr>
      <w:r w:rsidRPr="002D42AC">
        <w:rPr>
          <w:sz w:val="20"/>
        </w:rPr>
        <w:t>Prof. dr hab. Jacek Szlachta</w:t>
      </w:r>
    </w:p>
    <w:p w14:paraId="12F3F98B" w14:textId="77777777" w:rsidR="0090351F" w:rsidRPr="002D42AC" w:rsidRDefault="0090351F" w:rsidP="0090351F">
      <w:pPr>
        <w:tabs>
          <w:tab w:val="left" w:pos="8218"/>
        </w:tabs>
        <w:jc w:val="right"/>
        <w:rPr>
          <w:sz w:val="20"/>
        </w:rPr>
      </w:pPr>
      <w:r w:rsidRPr="002D42AC">
        <w:rPr>
          <w:sz w:val="20"/>
        </w:rPr>
        <w:t>Dr Anna Dąbrowska</w:t>
      </w:r>
    </w:p>
    <w:p w14:paraId="34B9060A" w14:textId="77777777" w:rsidR="0090351F" w:rsidRPr="002D42AC" w:rsidRDefault="0090351F" w:rsidP="0090351F">
      <w:pPr>
        <w:tabs>
          <w:tab w:val="left" w:pos="8218"/>
        </w:tabs>
        <w:jc w:val="right"/>
        <w:rPr>
          <w:sz w:val="20"/>
        </w:rPr>
      </w:pPr>
      <w:r w:rsidRPr="002D42AC">
        <w:rPr>
          <w:sz w:val="20"/>
        </w:rPr>
        <w:t>Dr Julita Łukomska</w:t>
      </w:r>
    </w:p>
    <w:p w14:paraId="39297E7B" w14:textId="77777777" w:rsidR="0090351F" w:rsidRPr="002D42AC" w:rsidRDefault="0090351F" w:rsidP="0090351F">
      <w:pPr>
        <w:tabs>
          <w:tab w:val="left" w:pos="8218"/>
        </w:tabs>
        <w:jc w:val="right"/>
        <w:rPr>
          <w:sz w:val="20"/>
        </w:rPr>
      </w:pPr>
      <w:r w:rsidRPr="002D42AC">
        <w:rPr>
          <w:sz w:val="20"/>
        </w:rPr>
        <w:t>Dr Krzysztof Piróg</w:t>
      </w:r>
    </w:p>
    <w:p w14:paraId="07E60E27" w14:textId="77777777" w:rsidR="0090351F" w:rsidRDefault="0090351F" w:rsidP="0090351F">
      <w:pPr>
        <w:tabs>
          <w:tab w:val="left" w:pos="8218"/>
        </w:tabs>
        <w:jc w:val="right"/>
        <w:rPr>
          <w:sz w:val="20"/>
        </w:rPr>
      </w:pPr>
      <w:r w:rsidRPr="002D42AC">
        <w:rPr>
          <w:sz w:val="20"/>
        </w:rPr>
        <w:t>Izabe</w:t>
      </w:r>
      <w:r w:rsidR="00F81165">
        <w:rPr>
          <w:sz w:val="20"/>
        </w:rPr>
        <w:t>l</w:t>
      </w:r>
      <w:r w:rsidRPr="002D42AC">
        <w:rPr>
          <w:sz w:val="20"/>
        </w:rPr>
        <w:t>la Jurkiewicz</w:t>
      </w:r>
    </w:p>
    <w:p w14:paraId="1FB99D00" w14:textId="77777777" w:rsidR="00EB76C5" w:rsidRPr="002D42AC" w:rsidRDefault="00EB76C5" w:rsidP="0090351F">
      <w:pPr>
        <w:tabs>
          <w:tab w:val="left" w:pos="8218"/>
        </w:tabs>
        <w:jc w:val="right"/>
        <w:rPr>
          <w:sz w:val="20"/>
        </w:rPr>
      </w:pPr>
      <w:r>
        <w:rPr>
          <w:sz w:val="20"/>
        </w:rPr>
        <w:t>Weronika Marchewa</w:t>
      </w:r>
    </w:p>
    <w:p w14:paraId="2EC8D0A2" w14:textId="77777777" w:rsidR="0090351F" w:rsidRPr="002D42AC" w:rsidRDefault="0090351F" w:rsidP="0090351F">
      <w:pPr>
        <w:tabs>
          <w:tab w:val="left" w:pos="8218"/>
        </w:tabs>
        <w:jc w:val="right"/>
        <w:rPr>
          <w:sz w:val="20"/>
        </w:rPr>
      </w:pPr>
      <w:r w:rsidRPr="002D42AC">
        <w:rPr>
          <w:sz w:val="20"/>
        </w:rPr>
        <w:t>Martyna Olczak</w:t>
      </w:r>
    </w:p>
    <w:p w14:paraId="68F8A334" w14:textId="77777777" w:rsidR="0090351F" w:rsidRPr="002D42AC" w:rsidRDefault="0090351F" w:rsidP="0090351F">
      <w:pPr>
        <w:tabs>
          <w:tab w:val="left" w:pos="8218"/>
        </w:tabs>
        <w:jc w:val="right"/>
        <w:rPr>
          <w:sz w:val="20"/>
        </w:rPr>
      </w:pPr>
      <w:r w:rsidRPr="002D42AC">
        <w:rPr>
          <w:sz w:val="20"/>
        </w:rPr>
        <w:t>Karolina Oleszkin</w:t>
      </w:r>
    </w:p>
    <w:p w14:paraId="2599DF41" w14:textId="77777777" w:rsidR="0090351F" w:rsidRPr="002D42AC" w:rsidRDefault="0090351F" w:rsidP="0090351F">
      <w:pPr>
        <w:tabs>
          <w:tab w:val="left" w:pos="8218"/>
        </w:tabs>
        <w:jc w:val="right"/>
        <w:rPr>
          <w:sz w:val="20"/>
        </w:rPr>
      </w:pPr>
      <w:r w:rsidRPr="002D42AC">
        <w:rPr>
          <w:sz w:val="20"/>
        </w:rPr>
        <w:t>Jakub Tarnacki</w:t>
      </w:r>
    </w:p>
    <w:p w14:paraId="1B168088" w14:textId="77777777" w:rsidR="009D79CF" w:rsidRDefault="0090351F" w:rsidP="009D79CF">
      <w:pPr>
        <w:tabs>
          <w:tab w:val="left" w:pos="8218"/>
        </w:tabs>
        <w:jc w:val="right"/>
        <w:rPr>
          <w:sz w:val="20"/>
        </w:rPr>
      </w:pPr>
      <w:r w:rsidRPr="002D42AC">
        <w:rPr>
          <w:sz w:val="20"/>
        </w:rPr>
        <w:t>Aleksandra Wawrzyszak</w:t>
      </w:r>
    </w:p>
    <w:p w14:paraId="494D928F" w14:textId="77777777" w:rsidR="009D79CF" w:rsidRDefault="009D79CF">
      <w:pPr>
        <w:spacing w:after="0" w:line="240" w:lineRule="auto"/>
        <w:jc w:val="left"/>
        <w:rPr>
          <w:sz w:val="20"/>
        </w:rPr>
      </w:pPr>
      <w:r>
        <w:rPr>
          <w:sz w:val="20"/>
        </w:rPr>
        <w:br w:type="page"/>
      </w:r>
    </w:p>
    <w:p w14:paraId="4EC079B5" w14:textId="6923A723" w:rsidR="00456C61" w:rsidRDefault="00456C61" w:rsidP="00456C61">
      <w:pPr>
        <w:rPr>
          <w:b/>
        </w:rPr>
      </w:pPr>
      <w:bookmarkStart w:id="1" w:name="_Toc465181820"/>
      <w:bookmarkStart w:id="2" w:name="_Toc465187432"/>
      <w:bookmarkStart w:id="3" w:name="_Toc466850598"/>
      <w:bookmarkStart w:id="4" w:name="_Toc466991565"/>
      <w:bookmarkStart w:id="5" w:name="_Toc466998532"/>
      <w:bookmarkStart w:id="6" w:name="_Toc467004912"/>
      <w:bookmarkStart w:id="7" w:name="_Toc467006628"/>
      <w:bookmarkStart w:id="8" w:name="_Toc467015851"/>
      <w:bookmarkStart w:id="9" w:name="_Toc467020418"/>
      <w:bookmarkStart w:id="10" w:name="_Toc467023632"/>
      <w:r>
        <w:rPr>
          <w:b/>
        </w:rPr>
        <w:lastRenderedPageBreak/>
        <w:t>S</w:t>
      </w:r>
      <w:r w:rsidRPr="004A5BD4">
        <w:rPr>
          <w:b/>
        </w:rPr>
        <w:t>krót</w:t>
      </w:r>
      <w:r>
        <w:rPr>
          <w:b/>
        </w:rPr>
        <w:t>y</w:t>
      </w:r>
      <w:r w:rsidRPr="004A5BD4">
        <w:rPr>
          <w:b/>
        </w:rPr>
        <w:t xml:space="preserve"> użyt</w:t>
      </w:r>
      <w:r>
        <w:rPr>
          <w:b/>
        </w:rPr>
        <w:t>e w dokumencie</w:t>
      </w:r>
      <w:bookmarkEnd w:id="1"/>
      <w:bookmarkEnd w:id="2"/>
      <w:bookmarkEnd w:id="3"/>
      <w:bookmarkEnd w:id="4"/>
      <w:bookmarkEnd w:id="5"/>
      <w:bookmarkEnd w:id="6"/>
      <w:bookmarkEnd w:id="7"/>
      <w:bookmarkEnd w:id="8"/>
      <w:bookmarkEnd w:id="9"/>
      <w:bookmarkEnd w:id="10"/>
      <w:r>
        <w:rPr>
          <w:b/>
        </w:rPr>
        <w:t>:</w:t>
      </w:r>
    </w:p>
    <w:tbl>
      <w:tblPr>
        <w:tblW w:w="8944" w:type="dxa"/>
        <w:tblBorders>
          <w:top w:val="single" w:sz="12" w:space="0" w:color="002060"/>
          <w:bottom w:val="single" w:sz="12" w:space="0" w:color="002060"/>
          <w:insideH w:val="single" w:sz="2" w:space="0" w:color="9CC2E5"/>
        </w:tblBorders>
        <w:tblLook w:val="04A0" w:firstRow="1" w:lastRow="0" w:firstColumn="1" w:lastColumn="0" w:noHBand="0" w:noVBand="1"/>
      </w:tblPr>
      <w:tblGrid>
        <w:gridCol w:w="1560"/>
        <w:gridCol w:w="7384"/>
      </w:tblGrid>
      <w:tr w:rsidR="006331B9" w:rsidRPr="00F776AA" w14:paraId="02BEA823" w14:textId="77777777" w:rsidTr="00D72686">
        <w:tc>
          <w:tcPr>
            <w:tcW w:w="1560" w:type="dxa"/>
            <w:tcBorders>
              <w:top w:val="single" w:sz="12" w:space="0" w:color="002060"/>
              <w:bottom w:val="single" w:sz="12" w:space="0" w:color="002060"/>
            </w:tcBorders>
            <w:shd w:val="clear" w:color="auto" w:fill="DEEAF6"/>
          </w:tcPr>
          <w:p w14:paraId="4909FDBA" w14:textId="77777777" w:rsidR="00456C61" w:rsidRPr="00F776AA" w:rsidRDefault="00456C61" w:rsidP="006331B9">
            <w:pPr>
              <w:spacing w:before="20" w:after="20"/>
              <w:jc w:val="center"/>
              <w:rPr>
                <w:rFonts w:asciiTheme="minorHAnsi" w:hAnsiTheme="minorHAnsi"/>
                <w:b/>
                <w:sz w:val="18"/>
                <w:szCs w:val="18"/>
              </w:rPr>
            </w:pPr>
            <w:bookmarkStart w:id="11" w:name="_Toc465181821"/>
            <w:bookmarkStart w:id="12" w:name="_Toc465187433"/>
            <w:r w:rsidRPr="00F776AA">
              <w:rPr>
                <w:rFonts w:asciiTheme="minorHAnsi" w:hAnsiTheme="minorHAnsi"/>
                <w:b/>
                <w:sz w:val="18"/>
                <w:szCs w:val="18"/>
              </w:rPr>
              <w:t>Skrót</w:t>
            </w:r>
          </w:p>
        </w:tc>
        <w:tc>
          <w:tcPr>
            <w:tcW w:w="7384" w:type="dxa"/>
            <w:tcBorders>
              <w:top w:val="single" w:sz="12" w:space="0" w:color="002060"/>
              <w:bottom w:val="single" w:sz="12" w:space="0" w:color="002060"/>
            </w:tcBorders>
            <w:shd w:val="clear" w:color="auto" w:fill="DEEAF6"/>
          </w:tcPr>
          <w:p w14:paraId="1F57B4C5" w14:textId="77777777" w:rsidR="00456C61" w:rsidRPr="00F776AA" w:rsidRDefault="00456C61" w:rsidP="006331B9">
            <w:pPr>
              <w:spacing w:before="20" w:after="20"/>
              <w:jc w:val="center"/>
              <w:rPr>
                <w:rFonts w:asciiTheme="minorHAnsi" w:hAnsiTheme="minorHAnsi"/>
                <w:b/>
                <w:sz w:val="18"/>
                <w:szCs w:val="18"/>
              </w:rPr>
            </w:pPr>
            <w:r w:rsidRPr="00F776AA">
              <w:rPr>
                <w:rFonts w:asciiTheme="minorHAnsi" w:hAnsiTheme="minorHAnsi"/>
                <w:b/>
                <w:sz w:val="18"/>
                <w:szCs w:val="18"/>
              </w:rPr>
              <w:t>Rozwinięcie</w:t>
            </w:r>
          </w:p>
        </w:tc>
      </w:tr>
      <w:tr w:rsidR="006331B9" w:rsidRPr="00F776AA" w14:paraId="2AC659D4" w14:textId="77777777" w:rsidTr="00D72686">
        <w:tc>
          <w:tcPr>
            <w:tcW w:w="1560" w:type="dxa"/>
            <w:tcBorders>
              <w:top w:val="single" w:sz="2" w:space="0" w:color="BDD6EE"/>
            </w:tcBorders>
            <w:shd w:val="clear" w:color="auto" w:fill="auto"/>
            <w:vAlign w:val="center"/>
          </w:tcPr>
          <w:p w14:paraId="6744ED87" w14:textId="77777777" w:rsidR="00456C61" w:rsidRPr="00F776AA" w:rsidRDefault="00F8402C"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B+R</w:t>
            </w:r>
          </w:p>
        </w:tc>
        <w:tc>
          <w:tcPr>
            <w:tcW w:w="7384" w:type="dxa"/>
            <w:tcBorders>
              <w:top w:val="single" w:sz="2" w:space="0" w:color="BDD6EE"/>
            </w:tcBorders>
            <w:shd w:val="clear" w:color="auto" w:fill="auto"/>
            <w:vAlign w:val="center"/>
          </w:tcPr>
          <w:p w14:paraId="5A593154" w14:textId="77777777" w:rsidR="00456C61" w:rsidRPr="00F776AA" w:rsidRDefault="00F8402C"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Badania i rozwój</w:t>
            </w:r>
          </w:p>
        </w:tc>
      </w:tr>
      <w:tr w:rsidR="006331B9" w:rsidRPr="00F776AA" w14:paraId="4743936E" w14:textId="77777777" w:rsidTr="00D72686">
        <w:tc>
          <w:tcPr>
            <w:tcW w:w="1560" w:type="dxa"/>
            <w:shd w:val="clear" w:color="auto" w:fill="auto"/>
            <w:vAlign w:val="center"/>
          </w:tcPr>
          <w:p w14:paraId="1670EC97" w14:textId="77777777" w:rsidR="00456C61" w:rsidRPr="00F776AA" w:rsidRDefault="00456C61"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BDL</w:t>
            </w:r>
          </w:p>
        </w:tc>
        <w:tc>
          <w:tcPr>
            <w:tcW w:w="7384" w:type="dxa"/>
            <w:shd w:val="clear" w:color="auto" w:fill="auto"/>
            <w:vAlign w:val="center"/>
          </w:tcPr>
          <w:p w14:paraId="053116C7" w14:textId="77777777" w:rsidR="00456C61" w:rsidRPr="00F776AA" w:rsidRDefault="00456C61"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Bank Danych Lokalnych</w:t>
            </w:r>
          </w:p>
        </w:tc>
      </w:tr>
      <w:tr w:rsidR="00AE19C7" w:rsidRPr="00F776AA" w14:paraId="0DB68961" w14:textId="77777777" w:rsidTr="00D72686">
        <w:tc>
          <w:tcPr>
            <w:tcW w:w="1560" w:type="dxa"/>
            <w:shd w:val="clear" w:color="auto" w:fill="auto"/>
            <w:vAlign w:val="center"/>
          </w:tcPr>
          <w:p w14:paraId="35A38376" w14:textId="0B2EBAB2" w:rsidR="00AE19C7" w:rsidRPr="00F776AA" w:rsidRDefault="00AE19C7"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CIT</w:t>
            </w:r>
          </w:p>
        </w:tc>
        <w:tc>
          <w:tcPr>
            <w:tcW w:w="7384" w:type="dxa"/>
            <w:shd w:val="clear" w:color="auto" w:fill="auto"/>
            <w:vAlign w:val="center"/>
          </w:tcPr>
          <w:p w14:paraId="5CF71391" w14:textId="1ABCE4BB" w:rsidR="00AE19C7" w:rsidRPr="00F776AA" w:rsidRDefault="00AE19C7"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Podatek dochodowy od osób prawnych</w:t>
            </w:r>
          </w:p>
        </w:tc>
      </w:tr>
      <w:tr w:rsidR="0068734A" w:rsidRPr="00F776AA" w14:paraId="59F5CCE7" w14:textId="77777777" w:rsidTr="00D72686">
        <w:tc>
          <w:tcPr>
            <w:tcW w:w="1560" w:type="dxa"/>
            <w:shd w:val="clear" w:color="auto" w:fill="auto"/>
            <w:vAlign w:val="center"/>
          </w:tcPr>
          <w:p w14:paraId="4C80C6E5" w14:textId="66CC3AA5" w:rsidR="0068734A" w:rsidRPr="00F776AA" w:rsidRDefault="0068734A" w:rsidP="002C7385">
            <w:pPr>
              <w:spacing w:before="20" w:after="20" w:line="240" w:lineRule="auto"/>
              <w:jc w:val="center"/>
              <w:rPr>
                <w:rFonts w:asciiTheme="minorHAnsi" w:hAnsiTheme="minorHAnsi"/>
                <w:b/>
                <w:sz w:val="18"/>
                <w:szCs w:val="18"/>
              </w:rPr>
            </w:pPr>
            <w:r>
              <w:rPr>
                <w:rFonts w:asciiTheme="minorHAnsi" w:hAnsiTheme="minorHAnsi"/>
                <w:b/>
                <w:sz w:val="18"/>
                <w:szCs w:val="18"/>
              </w:rPr>
              <w:t>DF</w:t>
            </w:r>
          </w:p>
        </w:tc>
        <w:tc>
          <w:tcPr>
            <w:tcW w:w="7384" w:type="dxa"/>
            <w:shd w:val="clear" w:color="auto" w:fill="auto"/>
            <w:vAlign w:val="center"/>
          </w:tcPr>
          <w:p w14:paraId="035B2061" w14:textId="0328892B" w:rsidR="0068734A" w:rsidRPr="00F776AA" w:rsidRDefault="0068734A"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Departament</w:t>
            </w:r>
            <w:r>
              <w:rPr>
                <w:rFonts w:asciiTheme="minorHAnsi" w:hAnsiTheme="minorHAnsi"/>
                <w:sz w:val="18"/>
                <w:szCs w:val="18"/>
              </w:rPr>
              <w:t xml:space="preserve"> Finansów </w:t>
            </w:r>
          </w:p>
        </w:tc>
      </w:tr>
      <w:tr w:rsidR="00140A1C" w:rsidRPr="00F776AA" w14:paraId="1E8DF6DC" w14:textId="77777777" w:rsidTr="00D72686">
        <w:tc>
          <w:tcPr>
            <w:tcW w:w="1560" w:type="dxa"/>
            <w:shd w:val="clear" w:color="auto" w:fill="auto"/>
            <w:vAlign w:val="center"/>
          </w:tcPr>
          <w:p w14:paraId="34E25886" w14:textId="60F02BAD" w:rsidR="00140A1C" w:rsidRPr="00F776AA" w:rsidRDefault="00140A1C"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DPR</w:t>
            </w:r>
          </w:p>
        </w:tc>
        <w:tc>
          <w:tcPr>
            <w:tcW w:w="7384" w:type="dxa"/>
            <w:shd w:val="clear" w:color="auto" w:fill="auto"/>
            <w:vAlign w:val="center"/>
          </w:tcPr>
          <w:p w14:paraId="6A6ACED7" w14:textId="78C873B2" w:rsidR="00140A1C" w:rsidRPr="00F776AA" w:rsidRDefault="00140A1C"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Departament Polityki Regionalnej</w:t>
            </w:r>
          </w:p>
        </w:tc>
      </w:tr>
      <w:tr w:rsidR="00D7488C" w:rsidRPr="00F776AA" w14:paraId="65C4F233" w14:textId="77777777" w:rsidTr="00D72686">
        <w:tc>
          <w:tcPr>
            <w:tcW w:w="1560" w:type="dxa"/>
            <w:shd w:val="clear" w:color="auto" w:fill="auto"/>
            <w:vAlign w:val="center"/>
          </w:tcPr>
          <w:p w14:paraId="551F7CDD" w14:textId="6A80A93D" w:rsidR="00D7488C" w:rsidRPr="00F776AA" w:rsidRDefault="00D7488C"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EFRR</w:t>
            </w:r>
          </w:p>
        </w:tc>
        <w:tc>
          <w:tcPr>
            <w:tcW w:w="7384" w:type="dxa"/>
            <w:shd w:val="clear" w:color="auto" w:fill="auto"/>
            <w:vAlign w:val="center"/>
          </w:tcPr>
          <w:p w14:paraId="3406039A" w14:textId="64E97248" w:rsidR="00D7488C" w:rsidRPr="00F776AA" w:rsidRDefault="00D7488C"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Europejski Fundusz Rozwoju Regionalnego</w:t>
            </w:r>
          </w:p>
        </w:tc>
      </w:tr>
      <w:tr w:rsidR="00D7488C" w:rsidRPr="00F776AA" w14:paraId="17E456D0" w14:textId="77777777" w:rsidTr="00D72686">
        <w:tc>
          <w:tcPr>
            <w:tcW w:w="1560" w:type="dxa"/>
            <w:shd w:val="clear" w:color="auto" w:fill="auto"/>
            <w:vAlign w:val="center"/>
          </w:tcPr>
          <w:p w14:paraId="5DE4140A" w14:textId="6DC76916" w:rsidR="00D7488C" w:rsidRPr="00F776AA" w:rsidRDefault="00D7488C"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EFRROW</w:t>
            </w:r>
          </w:p>
        </w:tc>
        <w:tc>
          <w:tcPr>
            <w:tcW w:w="7384" w:type="dxa"/>
            <w:shd w:val="clear" w:color="auto" w:fill="auto"/>
            <w:vAlign w:val="center"/>
          </w:tcPr>
          <w:p w14:paraId="11E1A0D9" w14:textId="16175CD1" w:rsidR="00D7488C" w:rsidRPr="00F776AA" w:rsidRDefault="00D7488C"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Europejski Fundusz Rolny na rzecz Rozwoju Obszarów Wiejskich</w:t>
            </w:r>
          </w:p>
        </w:tc>
      </w:tr>
      <w:tr w:rsidR="00813EEF" w:rsidRPr="00F776AA" w14:paraId="4C2DD620" w14:textId="77777777" w:rsidTr="00D72686">
        <w:tc>
          <w:tcPr>
            <w:tcW w:w="1560" w:type="dxa"/>
            <w:shd w:val="clear" w:color="auto" w:fill="auto"/>
            <w:vAlign w:val="center"/>
          </w:tcPr>
          <w:p w14:paraId="39BA7D09" w14:textId="5577A32D" w:rsidR="00813EEF" w:rsidRPr="00F776AA" w:rsidRDefault="00813EEF" w:rsidP="00813EEF">
            <w:pPr>
              <w:spacing w:before="20" w:after="20" w:line="240" w:lineRule="auto"/>
              <w:jc w:val="center"/>
              <w:rPr>
                <w:rFonts w:asciiTheme="minorHAnsi" w:hAnsiTheme="minorHAnsi"/>
                <w:b/>
                <w:sz w:val="18"/>
                <w:szCs w:val="18"/>
              </w:rPr>
            </w:pPr>
            <w:r w:rsidRPr="00F776AA">
              <w:rPr>
                <w:rFonts w:asciiTheme="minorHAnsi" w:hAnsiTheme="minorHAnsi"/>
                <w:b/>
                <w:sz w:val="18"/>
                <w:szCs w:val="18"/>
              </w:rPr>
              <w:t>EFS</w:t>
            </w:r>
          </w:p>
        </w:tc>
        <w:tc>
          <w:tcPr>
            <w:tcW w:w="7384" w:type="dxa"/>
            <w:shd w:val="clear" w:color="auto" w:fill="auto"/>
            <w:vAlign w:val="center"/>
          </w:tcPr>
          <w:p w14:paraId="425B85EE" w14:textId="021E0A23" w:rsidR="00813EEF" w:rsidRPr="00F776AA" w:rsidRDefault="00813EEF" w:rsidP="00813EEF">
            <w:pPr>
              <w:spacing w:before="20" w:after="20" w:line="240" w:lineRule="auto"/>
              <w:jc w:val="left"/>
              <w:rPr>
                <w:rFonts w:asciiTheme="minorHAnsi" w:hAnsiTheme="minorHAnsi"/>
                <w:sz w:val="18"/>
                <w:szCs w:val="18"/>
              </w:rPr>
            </w:pPr>
            <w:r w:rsidRPr="00F776AA">
              <w:rPr>
                <w:rFonts w:asciiTheme="minorHAnsi" w:hAnsiTheme="minorHAnsi"/>
                <w:sz w:val="18"/>
                <w:szCs w:val="18"/>
              </w:rPr>
              <w:t>Europejski Fundusz Społeczny</w:t>
            </w:r>
          </w:p>
        </w:tc>
      </w:tr>
      <w:tr w:rsidR="00EA0325" w:rsidRPr="00F776AA" w14:paraId="021D30D5" w14:textId="77777777" w:rsidTr="00D72686">
        <w:tc>
          <w:tcPr>
            <w:tcW w:w="1560" w:type="dxa"/>
            <w:shd w:val="clear" w:color="auto" w:fill="auto"/>
            <w:vAlign w:val="center"/>
          </w:tcPr>
          <w:p w14:paraId="067BB337" w14:textId="74BD8968" w:rsidR="00EA0325" w:rsidRPr="00F776AA" w:rsidRDefault="00813EEF"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EFTA</w:t>
            </w:r>
          </w:p>
        </w:tc>
        <w:tc>
          <w:tcPr>
            <w:tcW w:w="7384" w:type="dxa"/>
            <w:shd w:val="clear" w:color="auto" w:fill="auto"/>
            <w:vAlign w:val="center"/>
          </w:tcPr>
          <w:p w14:paraId="5296E6B3" w14:textId="4D1C284B" w:rsidR="00EA0325" w:rsidRPr="00F776AA" w:rsidRDefault="00684AC6" w:rsidP="00684AC6">
            <w:pPr>
              <w:spacing w:before="20" w:after="20" w:line="240" w:lineRule="auto"/>
              <w:jc w:val="left"/>
              <w:rPr>
                <w:rFonts w:asciiTheme="minorHAnsi" w:hAnsiTheme="minorHAnsi"/>
                <w:sz w:val="18"/>
                <w:szCs w:val="18"/>
              </w:rPr>
            </w:pPr>
            <w:r w:rsidRPr="00F776AA">
              <w:rPr>
                <w:rFonts w:asciiTheme="minorHAnsi" w:hAnsiTheme="minorHAnsi"/>
                <w:sz w:val="18"/>
                <w:szCs w:val="18"/>
              </w:rPr>
              <w:t xml:space="preserve">Europejskie Stowarzyszenie Wolnego Handlu (ang. </w:t>
            </w:r>
            <w:r w:rsidRPr="00F776AA">
              <w:rPr>
                <w:rFonts w:asciiTheme="minorHAnsi" w:hAnsiTheme="minorHAnsi"/>
                <w:i/>
                <w:sz w:val="18"/>
                <w:szCs w:val="18"/>
              </w:rPr>
              <w:t>European Free Trade Association</w:t>
            </w:r>
            <w:r w:rsidRPr="00F776AA">
              <w:rPr>
                <w:rFonts w:asciiTheme="minorHAnsi" w:hAnsiTheme="minorHAnsi"/>
                <w:sz w:val="18"/>
                <w:szCs w:val="18"/>
              </w:rPr>
              <w:t xml:space="preserve">) </w:t>
            </w:r>
          </w:p>
        </w:tc>
      </w:tr>
      <w:tr w:rsidR="005F4358" w:rsidRPr="00F776AA" w14:paraId="5324FBB4" w14:textId="77777777" w:rsidTr="00D72686">
        <w:tc>
          <w:tcPr>
            <w:tcW w:w="1560" w:type="dxa"/>
            <w:shd w:val="clear" w:color="auto" w:fill="auto"/>
            <w:vAlign w:val="center"/>
          </w:tcPr>
          <w:p w14:paraId="69A935B4" w14:textId="5D47EED2" w:rsidR="005F4358" w:rsidRPr="00F776AA" w:rsidRDefault="005F4358"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EWT</w:t>
            </w:r>
          </w:p>
        </w:tc>
        <w:tc>
          <w:tcPr>
            <w:tcW w:w="7384" w:type="dxa"/>
            <w:shd w:val="clear" w:color="auto" w:fill="auto"/>
            <w:vAlign w:val="center"/>
          </w:tcPr>
          <w:p w14:paraId="1B7E30DB" w14:textId="2BA1D9E3" w:rsidR="005F4358" w:rsidRPr="00F776AA" w:rsidRDefault="005F4358"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Europejska Współpraca  Terytorialna</w:t>
            </w:r>
          </w:p>
        </w:tc>
      </w:tr>
      <w:tr w:rsidR="006331B9" w:rsidRPr="00F776AA" w14:paraId="69C4EDC4" w14:textId="77777777" w:rsidTr="00D72686">
        <w:tc>
          <w:tcPr>
            <w:tcW w:w="1560" w:type="dxa"/>
            <w:shd w:val="clear" w:color="auto" w:fill="auto"/>
            <w:vAlign w:val="center"/>
          </w:tcPr>
          <w:p w14:paraId="34E6F9A7" w14:textId="77777777" w:rsidR="00456C61" w:rsidRPr="00F776AA" w:rsidRDefault="00456C61"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GUS</w:t>
            </w:r>
          </w:p>
        </w:tc>
        <w:tc>
          <w:tcPr>
            <w:tcW w:w="7384" w:type="dxa"/>
            <w:shd w:val="clear" w:color="auto" w:fill="auto"/>
            <w:vAlign w:val="center"/>
          </w:tcPr>
          <w:p w14:paraId="1C043DD6" w14:textId="77777777" w:rsidR="00456C61" w:rsidRPr="00F776AA" w:rsidRDefault="00456C61"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Główny Urząd Statystyczny</w:t>
            </w:r>
          </w:p>
        </w:tc>
      </w:tr>
      <w:tr w:rsidR="006331B9" w:rsidRPr="00F776AA" w14:paraId="257FC17B" w14:textId="77777777" w:rsidTr="00D72686">
        <w:tc>
          <w:tcPr>
            <w:tcW w:w="1560" w:type="dxa"/>
            <w:shd w:val="clear" w:color="auto" w:fill="auto"/>
            <w:vAlign w:val="center"/>
          </w:tcPr>
          <w:p w14:paraId="42E26CCB" w14:textId="77777777" w:rsidR="00456C61" w:rsidRPr="00F776AA" w:rsidRDefault="00456C61"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IS</w:t>
            </w:r>
          </w:p>
        </w:tc>
        <w:tc>
          <w:tcPr>
            <w:tcW w:w="7384" w:type="dxa"/>
            <w:shd w:val="clear" w:color="auto" w:fill="auto"/>
            <w:vAlign w:val="center"/>
          </w:tcPr>
          <w:p w14:paraId="03747381" w14:textId="77777777" w:rsidR="00456C61" w:rsidRPr="00F776AA" w:rsidRDefault="00456C61"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Inteligentne Specjalizacje</w:t>
            </w:r>
          </w:p>
        </w:tc>
      </w:tr>
      <w:tr w:rsidR="00B52D40" w:rsidRPr="00F776AA" w14:paraId="02374ACB" w14:textId="77777777" w:rsidTr="00D72686">
        <w:tc>
          <w:tcPr>
            <w:tcW w:w="1560" w:type="dxa"/>
            <w:shd w:val="clear" w:color="auto" w:fill="auto"/>
            <w:vAlign w:val="center"/>
          </w:tcPr>
          <w:p w14:paraId="312E4634" w14:textId="77777777" w:rsidR="00B52D40" w:rsidRPr="00F776AA" w:rsidRDefault="00B52D40"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JST</w:t>
            </w:r>
          </w:p>
        </w:tc>
        <w:tc>
          <w:tcPr>
            <w:tcW w:w="7384" w:type="dxa"/>
            <w:shd w:val="clear" w:color="auto" w:fill="auto"/>
            <w:vAlign w:val="center"/>
          </w:tcPr>
          <w:p w14:paraId="57480D69" w14:textId="77777777" w:rsidR="00B52D40" w:rsidRPr="00F776AA" w:rsidRDefault="00B52D40"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Jednostka samorządu terytorialnego</w:t>
            </w:r>
          </w:p>
        </w:tc>
      </w:tr>
      <w:tr w:rsidR="001F37B3" w:rsidRPr="00F776AA" w14:paraId="47F9322B" w14:textId="77777777" w:rsidTr="00D72686">
        <w:tc>
          <w:tcPr>
            <w:tcW w:w="1560" w:type="dxa"/>
            <w:shd w:val="clear" w:color="auto" w:fill="auto"/>
            <w:vAlign w:val="center"/>
          </w:tcPr>
          <w:p w14:paraId="1E3CF277" w14:textId="77777777" w:rsidR="001F37B3" w:rsidRPr="00F776AA" w:rsidRDefault="001F37B3"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JEREMIE</w:t>
            </w:r>
          </w:p>
        </w:tc>
        <w:tc>
          <w:tcPr>
            <w:tcW w:w="7384" w:type="dxa"/>
            <w:shd w:val="clear" w:color="auto" w:fill="auto"/>
            <w:vAlign w:val="center"/>
          </w:tcPr>
          <w:p w14:paraId="232E72DC" w14:textId="77777777" w:rsidR="001F37B3" w:rsidRPr="00F776AA" w:rsidRDefault="001F37B3" w:rsidP="00457725">
            <w:pPr>
              <w:spacing w:before="20" w:after="20" w:line="240" w:lineRule="auto"/>
              <w:jc w:val="left"/>
              <w:rPr>
                <w:rFonts w:asciiTheme="minorHAnsi" w:hAnsiTheme="minorHAnsi"/>
                <w:sz w:val="18"/>
                <w:szCs w:val="18"/>
              </w:rPr>
            </w:pPr>
            <w:r w:rsidRPr="00F776AA">
              <w:rPr>
                <w:rFonts w:asciiTheme="minorHAnsi" w:hAnsiTheme="minorHAnsi"/>
                <w:sz w:val="18"/>
                <w:szCs w:val="18"/>
              </w:rPr>
              <w:t xml:space="preserve">ang. </w:t>
            </w:r>
            <w:r w:rsidRPr="00F776AA">
              <w:rPr>
                <w:rFonts w:asciiTheme="minorHAnsi" w:hAnsiTheme="minorHAnsi"/>
                <w:i/>
                <w:sz w:val="18"/>
                <w:szCs w:val="18"/>
              </w:rPr>
              <w:t>Joint European Resources for Micro-to-Medium Enterprises</w:t>
            </w:r>
            <w:r w:rsidR="00457725" w:rsidRPr="00F776AA">
              <w:rPr>
                <w:rFonts w:asciiTheme="minorHAnsi" w:hAnsiTheme="minorHAnsi"/>
                <w:sz w:val="18"/>
                <w:szCs w:val="18"/>
              </w:rPr>
              <w:t xml:space="preserve"> (inicjatywa wsparcia mikro, małych i średnich przedsiębiorstw)</w:t>
            </w:r>
          </w:p>
        </w:tc>
      </w:tr>
      <w:tr w:rsidR="001F37B3" w:rsidRPr="00F776AA" w14:paraId="344CA475" w14:textId="77777777" w:rsidTr="00D72686">
        <w:tc>
          <w:tcPr>
            <w:tcW w:w="1560" w:type="dxa"/>
            <w:shd w:val="clear" w:color="auto" w:fill="auto"/>
            <w:vAlign w:val="center"/>
          </w:tcPr>
          <w:p w14:paraId="3E068A11" w14:textId="77777777" w:rsidR="001F37B3" w:rsidRPr="00F776AA" w:rsidRDefault="001F37B3"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JESSICA</w:t>
            </w:r>
          </w:p>
        </w:tc>
        <w:tc>
          <w:tcPr>
            <w:tcW w:w="7384" w:type="dxa"/>
            <w:shd w:val="clear" w:color="auto" w:fill="auto"/>
            <w:vAlign w:val="center"/>
          </w:tcPr>
          <w:p w14:paraId="1BEB7DFA" w14:textId="77777777" w:rsidR="001F37B3" w:rsidRPr="00F776AA" w:rsidRDefault="00457725"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 xml:space="preserve">ang. </w:t>
            </w:r>
            <w:r w:rsidRPr="00F776AA">
              <w:rPr>
                <w:rFonts w:asciiTheme="minorHAnsi" w:hAnsiTheme="minorHAnsi"/>
                <w:i/>
                <w:sz w:val="18"/>
                <w:szCs w:val="18"/>
              </w:rPr>
              <w:t>Joint European Suport for Sustainable Investment in City Areas</w:t>
            </w:r>
            <w:r w:rsidRPr="00F776AA">
              <w:rPr>
                <w:rFonts w:asciiTheme="minorHAnsi" w:hAnsiTheme="minorHAnsi"/>
                <w:sz w:val="18"/>
                <w:szCs w:val="18"/>
              </w:rPr>
              <w:t xml:space="preserve"> (finansowy instrument wsparcia na rzecz trwałych Inwestycji w obszarach miejskich)</w:t>
            </w:r>
          </w:p>
        </w:tc>
      </w:tr>
      <w:tr w:rsidR="00140A1C" w:rsidRPr="00F776AA" w14:paraId="4E5884C6" w14:textId="77777777" w:rsidTr="00D72686">
        <w:tc>
          <w:tcPr>
            <w:tcW w:w="1560" w:type="dxa"/>
            <w:shd w:val="clear" w:color="auto" w:fill="auto"/>
            <w:vAlign w:val="center"/>
          </w:tcPr>
          <w:p w14:paraId="76C38E27" w14:textId="6F4095FB" w:rsidR="00140A1C" w:rsidRPr="00F776AA" w:rsidRDefault="00140A1C"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KOT</w:t>
            </w:r>
          </w:p>
        </w:tc>
        <w:tc>
          <w:tcPr>
            <w:tcW w:w="7384" w:type="dxa"/>
            <w:shd w:val="clear" w:color="auto" w:fill="auto"/>
            <w:vAlign w:val="center"/>
          </w:tcPr>
          <w:p w14:paraId="47316E12" w14:textId="27667889" w:rsidR="00140A1C" w:rsidRPr="00F776AA" w:rsidRDefault="00140A1C"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Krajowe Obserwatorium Terytorialne</w:t>
            </w:r>
          </w:p>
        </w:tc>
      </w:tr>
      <w:tr w:rsidR="006331B9" w:rsidRPr="00F776AA" w14:paraId="19A73AAC" w14:textId="77777777" w:rsidTr="00D72686">
        <w:tc>
          <w:tcPr>
            <w:tcW w:w="1560" w:type="dxa"/>
            <w:shd w:val="clear" w:color="auto" w:fill="auto"/>
            <w:vAlign w:val="center"/>
          </w:tcPr>
          <w:p w14:paraId="7B4DDEAA" w14:textId="77777777" w:rsidR="00456C61" w:rsidRPr="00F776AA" w:rsidRDefault="003E7062"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KRB</w:t>
            </w:r>
          </w:p>
        </w:tc>
        <w:tc>
          <w:tcPr>
            <w:tcW w:w="7384" w:type="dxa"/>
            <w:shd w:val="clear" w:color="auto" w:fill="auto"/>
            <w:vAlign w:val="center"/>
          </w:tcPr>
          <w:p w14:paraId="75640881" w14:textId="77777777" w:rsidR="00456C61" w:rsidRPr="00F776AA" w:rsidRDefault="003E7062"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Koncepcja Realizacji Badania</w:t>
            </w:r>
          </w:p>
        </w:tc>
      </w:tr>
      <w:tr w:rsidR="008F0392" w:rsidRPr="00F776AA" w14:paraId="23E61856" w14:textId="77777777" w:rsidTr="00D72686">
        <w:tc>
          <w:tcPr>
            <w:tcW w:w="1560" w:type="dxa"/>
            <w:shd w:val="clear" w:color="auto" w:fill="auto"/>
            <w:vAlign w:val="center"/>
          </w:tcPr>
          <w:p w14:paraId="3F828B10" w14:textId="77777777" w:rsidR="008F0392" w:rsidRPr="00F776AA" w:rsidRDefault="008F0392"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KSRR</w:t>
            </w:r>
          </w:p>
        </w:tc>
        <w:tc>
          <w:tcPr>
            <w:tcW w:w="7384" w:type="dxa"/>
            <w:shd w:val="clear" w:color="auto" w:fill="auto"/>
            <w:vAlign w:val="center"/>
          </w:tcPr>
          <w:p w14:paraId="0E1DAF98" w14:textId="77777777" w:rsidR="008F0392" w:rsidRPr="00F776AA" w:rsidRDefault="008F0392"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Krajowa Strategia Rozwoju Regionalnego (projekt z 17.12.2018)</w:t>
            </w:r>
          </w:p>
        </w:tc>
      </w:tr>
      <w:tr w:rsidR="00140A1C" w:rsidRPr="00F776AA" w14:paraId="39FAEDAA" w14:textId="77777777" w:rsidTr="00D72686">
        <w:tc>
          <w:tcPr>
            <w:tcW w:w="1560" w:type="dxa"/>
            <w:shd w:val="clear" w:color="auto" w:fill="auto"/>
            <w:vAlign w:val="center"/>
          </w:tcPr>
          <w:p w14:paraId="498C5496" w14:textId="7C45D9CB" w:rsidR="00140A1C" w:rsidRPr="00F776AA" w:rsidRDefault="00140A1C"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MNiSW</w:t>
            </w:r>
          </w:p>
        </w:tc>
        <w:tc>
          <w:tcPr>
            <w:tcW w:w="7384" w:type="dxa"/>
            <w:shd w:val="clear" w:color="auto" w:fill="auto"/>
            <w:vAlign w:val="center"/>
          </w:tcPr>
          <w:p w14:paraId="2795D436" w14:textId="1EC147D8" w:rsidR="00140A1C" w:rsidRPr="00F776AA" w:rsidRDefault="00140A1C"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Ministerstwo Nauki i Szkolnictwa Wyższego</w:t>
            </w:r>
          </w:p>
        </w:tc>
      </w:tr>
      <w:tr w:rsidR="006331B9" w:rsidRPr="00F776AA" w14:paraId="3A690CDF" w14:textId="77777777" w:rsidTr="00D72686">
        <w:tc>
          <w:tcPr>
            <w:tcW w:w="1560" w:type="dxa"/>
            <w:shd w:val="clear" w:color="auto" w:fill="auto"/>
            <w:vAlign w:val="center"/>
          </w:tcPr>
          <w:p w14:paraId="4D4064F9" w14:textId="77777777" w:rsidR="00456C61" w:rsidRPr="00F776AA" w:rsidRDefault="003E7062"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MŚP</w:t>
            </w:r>
          </w:p>
        </w:tc>
        <w:tc>
          <w:tcPr>
            <w:tcW w:w="7384" w:type="dxa"/>
            <w:shd w:val="clear" w:color="auto" w:fill="auto"/>
            <w:vAlign w:val="center"/>
          </w:tcPr>
          <w:p w14:paraId="3A6E741B" w14:textId="77777777" w:rsidR="00456C61" w:rsidRPr="00F776AA" w:rsidRDefault="003E7062"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Małe i średnie przedsiębiorstwa</w:t>
            </w:r>
          </w:p>
        </w:tc>
      </w:tr>
      <w:tr w:rsidR="00792754" w:rsidRPr="002E626A" w14:paraId="595C2EA3" w14:textId="77777777" w:rsidTr="00D72686">
        <w:tc>
          <w:tcPr>
            <w:tcW w:w="1560" w:type="dxa"/>
            <w:shd w:val="clear" w:color="auto" w:fill="auto"/>
            <w:vAlign w:val="center"/>
          </w:tcPr>
          <w:p w14:paraId="74EC6DAA" w14:textId="319044EA" w:rsidR="00792754" w:rsidRPr="00F776AA" w:rsidRDefault="00792754" w:rsidP="002C7385">
            <w:pPr>
              <w:spacing w:before="20" w:after="20" w:line="240" w:lineRule="auto"/>
              <w:jc w:val="center"/>
              <w:rPr>
                <w:rFonts w:asciiTheme="minorHAnsi" w:hAnsiTheme="minorHAnsi"/>
                <w:b/>
                <w:sz w:val="18"/>
                <w:szCs w:val="18"/>
              </w:rPr>
            </w:pPr>
            <w:r>
              <w:rPr>
                <w:rFonts w:asciiTheme="minorHAnsi" w:hAnsiTheme="minorHAnsi"/>
                <w:b/>
                <w:sz w:val="18"/>
                <w:szCs w:val="18"/>
              </w:rPr>
              <w:t>NGO</w:t>
            </w:r>
          </w:p>
        </w:tc>
        <w:tc>
          <w:tcPr>
            <w:tcW w:w="7384" w:type="dxa"/>
            <w:shd w:val="clear" w:color="auto" w:fill="auto"/>
            <w:vAlign w:val="center"/>
          </w:tcPr>
          <w:p w14:paraId="2D380673" w14:textId="2EC3E57E" w:rsidR="00792754" w:rsidRPr="00811700" w:rsidRDefault="00792754" w:rsidP="002C7385">
            <w:pPr>
              <w:spacing w:before="20" w:after="20" w:line="240" w:lineRule="auto"/>
              <w:jc w:val="left"/>
              <w:rPr>
                <w:rFonts w:asciiTheme="minorHAnsi" w:hAnsiTheme="minorHAnsi"/>
                <w:sz w:val="18"/>
                <w:szCs w:val="18"/>
                <w:lang w:val="en-US"/>
              </w:rPr>
            </w:pPr>
            <w:r w:rsidRPr="00811700">
              <w:rPr>
                <w:rFonts w:asciiTheme="minorHAnsi" w:hAnsiTheme="minorHAnsi"/>
                <w:sz w:val="18"/>
                <w:szCs w:val="18"/>
                <w:lang w:val="en-US"/>
              </w:rPr>
              <w:t xml:space="preserve">Organizacje pozarządowe (ang. </w:t>
            </w:r>
            <w:r w:rsidRPr="00811700">
              <w:rPr>
                <w:rFonts w:asciiTheme="minorHAnsi" w:hAnsiTheme="minorHAnsi"/>
                <w:i/>
                <w:sz w:val="18"/>
                <w:szCs w:val="18"/>
                <w:lang w:val="en-US"/>
              </w:rPr>
              <w:t>non-government organization</w:t>
            </w:r>
            <w:r w:rsidRPr="00811700">
              <w:rPr>
                <w:rFonts w:asciiTheme="minorHAnsi" w:hAnsiTheme="minorHAnsi"/>
                <w:sz w:val="18"/>
                <w:szCs w:val="18"/>
                <w:lang w:val="en-US"/>
              </w:rPr>
              <w:t>)</w:t>
            </w:r>
          </w:p>
        </w:tc>
      </w:tr>
      <w:tr w:rsidR="006331B9" w:rsidRPr="00F776AA" w14:paraId="5367948F" w14:textId="77777777" w:rsidTr="00D72686">
        <w:tc>
          <w:tcPr>
            <w:tcW w:w="1560" w:type="dxa"/>
            <w:shd w:val="clear" w:color="auto" w:fill="auto"/>
            <w:vAlign w:val="center"/>
          </w:tcPr>
          <w:p w14:paraId="6B1F916A" w14:textId="77777777" w:rsidR="00456C61" w:rsidRPr="00F776AA" w:rsidRDefault="003E7062"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NUTS</w:t>
            </w:r>
          </w:p>
        </w:tc>
        <w:tc>
          <w:tcPr>
            <w:tcW w:w="7384" w:type="dxa"/>
            <w:shd w:val="clear" w:color="auto" w:fill="auto"/>
            <w:vAlign w:val="center"/>
          </w:tcPr>
          <w:p w14:paraId="351A7782" w14:textId="77777777" w:rsidR="00456C61" w:rsidRPr="00F776AA" w:rsidRDefault="003E7062"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Nomenklatura Statystycznych Jednostek Terytorialnych</w:t>
            </w:r>
          </w:p>
        </w:tc>
      </w:tr>
      <w:tr w:rsidR="00614547" w:rsidRPr="002E626A" w14:paraId="7FE0D25A" w14:textId="77777777" w:rsidTr="00D72686">
        <w:tc>
          <w:tcPr>
            <w:tcW w:w="1560" w:type="dxa"/>
            <w:shd w:val="clear" w:color="auto" w:fill="auto"/>
            <w:vAlign w:val="center"/>
          </w:tcPr>
          <w:p w14:paraId="2ABBBAEA" w14:textId="7D7F2446" w:rsidR="00614547" w:rsidRPr="00F776AA" w:rsidRDefault="00614547"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OECD</w:t>
            </w:r>
          </w:p>
        </w:tc>
        <w:tc>
          <w:tcPr>
            <w:tcW w:w="7384" w:type="dxa"/>
            <w:shd w:val="clear" w:color="auto" w:fill="auto"/>
            <w:vAlign w:val="center"/>
          </w:tcPr>
          <w:p w14:paraId="7EFE611F" w14:textId="060E49B0" w:rsidR="00614547" w:rsidRPr="00F776AA" w:rsidRDefault="00614547" w:rsidP="002C7385">
            <w:pPr>
              <w:spacing w:before="20" w:after="20" w:line="240" w:lineRule="auto"/>
              <w:jc w:val="left"/>
              <w:rPr>
                <w:rFonts w:asciiTheme="minorHAnsi" w:hAnsiTheme="minorHAnsi"/>
                <w:sz w:val="18"/>
                <w:szCs w:val="18"/>
                <w:lang w:val="en-US"/>
              </w:rPr>
            </w:pPr>
            <w:r w:rsidRPr="00F776AA">
              <w:rPr>
                <w:rFonts w:asciiTheme="minorHAnsi" w:hAnsiTheme="minorHAnsi"/>
                <w:sz w:val="18"/>
                <w:szCs w:val="18"/>
              </w:rPr>
              <w:t xml:space="preserve">Organizacja Współpracy Gospodarczej i Rozwoju (ang. </w:t>
            </w:r>
            <w:r w:rsidRPr="00F776AA">
              <w:rPr>
                <w:rFonts w:asciiTheme="minorHAnsi" w:hAnsiTheme="minorHAnsi"/>
                <w:i/>
                <w:sz w:val="18"/>
                <w:szCs w:val="18"/>
                <w:lang w:val="en-US"/>
              </w:rPr>
              <w:t>Organisation for Economic Co-operation and Development</w:t>
            </w:r>
            <w:r w:rsidRPr="00F776AA">
              <w:rPr>
                <w:rFonts w:asciiTheme="minorHAnsi" w:hAnsiTheme="minorHAnsi"/>
                <w:sz w:val="18"/>
                <w:szCs w:val="18"/>
                <w:lang w:val="en-US"/>
              </w:rPr>
              <w:t>)</w:t>
            </w:r>
          </w:p>
        </w:tc>
      </w:tr>
      <w:tr w:rsidR="006331B9" w:rsidRPr="00F776AA" w14:paraId="2FA62019" w14:textId="77777777" w:rsidTr="00D72686">
        <w:tc>
          <w:tcPr>
            <w:tcW w:w="1560" w:type="dxa"/>
            <w:shd w:val="clear" w:color="auto" w:fill="auto"/>
            <w:vAlign w:val="center"/>
          </w:tcPr>
          <w:p w14:paraId="47BB2617" w14:textId="77777777" w:rsidR="00456C61" w:rsidRPr="00F776AA" w:rsidRDefault="003E7062"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OSI</w:t>
            </w:r>
          </w:p>
        </w:tc>
        <w:tc>
          <w:tcPr>
            <w:tcW w:w="7384" w:type="dxa"/>
            <w:shd w:val="clear" w:color="auto" w:fill="auto"/>
            <w:vAlign w:val="center"/>
          </w:tcPr>
          <w:p w14:paraId="71B108A9" w14:textId="77777777" w:rsidR="00456C61" w:rsidRPr="00F776AA" w:rsidRDefault="003E7062"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Obszar Strategicznej Interwencji</w:t>
            </w:r>
          </w:p>
        </w:tc>
      </w:tr>
      <w:tr w:rsidR="006331B9" w:rsidRPr="00F776AA" w14:paraId="33AFF32D" w14:textId="77777777" w:rsidTr="00D72686">
        <w:tc>
          <w:tcPr>
            <w:tcW w:w="1560" w:type="dxa"/>
            <w:shd w:val="clear" w:color="auto" w:fill="auto"/>
            <w:vAlign w:val="center"/>
          </w:tcPr>
          <w:p w14:paraId="132A3DB8" w14:textId="77777777" w:rsidR="00456C61" w:rsidRPr="00F776AA" w:rsidRDefault="003E7062"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OZE</w:t>
            </w:r>
          </w:p>
        </w:tc>
        <w:tc>
          <w:tcPr>
            <w:tcW w:w="7384" w:type="dxa"/>
            <w:shd w:val="clear" w:color="auto" w:fill="auto"/>
            <w:vAlign w:val="center"/>
          </w:tcPr>
          <w:p w14:paraId="568E7F21" w14:textId="77777777" w:rsidR="00456C61" w:rsidRPr="00F776AA" w:rsidRDefault="003E7062"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Odnawialne Źródła Energii</w:t>
            </w:r>
          </w:p>
        </w:tc>
      </w:tr>
      <w:tr w:rsidR="009E1493" w:rsidRPr="00F776AA" w14:paraId="34333D46" w14:textId="77777777" w:rsidTr="00D72686">
        <w:tc>
          <w:tcPr>
            <w:tcW w:w="1560" w:type="dxa"/>
            <w:shd w:val="clear" w:color="auto" w:fill="auto"/>
            <w:vAlign w:val="center"/>
          </w:tcPr>
          <w:p w14:paraId="7911C814" w14:textId="4D0C2BE8" w:rsidR="009E1493" w:rsidRPr="00F776AA" w:rsidRDefault="009E1493"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PIT</w:t>
            </w:r>
          </w:p>
        </w:tc>
        <w:tc>
          <w:tcPr>
            <w:tcW w:w="7384" w:type="dxa"/>
            <w:shd w:val="clear" w:color="auto" w:fill="auto"/>
            <w:vAlign w:val="center"/>
          </w:tcPr>
          <w:p w14:paraId="3A35921D" w14:textId="66FD5180" w:rsidR="009E1493" w:rsidRPr="00F776AA" w:rsidRDefault="009E1493"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Podatek dochodowy od osób fizycznych</w:t>
            </w:r>
          </w:p>
        </w:tc>
      </w:tr>
      <w:tr w:rsidR="006331B9" w:rsidRPr="00F776AA" w14:paraId="5338B180" w14:textId="77777777" w:rsidTr="00D72686">
        <w:tc>
          <w:tcPr>
            <w:tcW w:w="1560" w:type="dxa"/>
            <w:shd w:val="clear" w:color="auto" w:fill="auto"/>
            <w:vAlign w:val="center"/>
          </w:tcPr>
          <w:p w14:paraId="0010C531" w14:textId="77777777" w:rsidR="00456C61" w:rsidRPr="00F776AA" w:rsidRDefault="003E7062"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PKB</w:t>
            </w:r>
          </w:p>
        </w:tc>
        <w:tc>
          <w:tcPr>
            <w:tcW w:w="7384" w:type="dxa"/>
            <w:shd w:val="clear" w:color="auto" w:fill="auto"/>
            <w:vAlign w:val="center"/>
          </w:tcPr>
          <w:p w14:paraId="1E6992FD" w14:textId="77777777" w:rsidR="00456C61" w:rsidRPr="00F776AA" w:rsidRDefault="003E7062"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Produkt Krajowy Brutto</w:t>
            </w:r>
          </w:p>
        </w:tc>
      </w:tr>
      <w:tr w:rsidR="006331B9" w:rsidRPr="00F776AA" w14:paraId="76F46C01" w14:textId="77777777" w:rsidTr="00D72686">
        <w:tc>
          <w:tcPr>
            <w:tcW w:w="1560" w:type="dxa"/>
            <w:shd w:val="clear" w:color="auto" w:fill="auto"/>
            <w:vAlign w:val="center"/>
          </w:tcPr>
          <w:p w14:paraId="40FE6ED1" w14:textId="77777777" w:rsidR="00456C61" w:rsidRPr="00F776AA" w:rsidRDefault="003E7062"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PKD</w:t>
            </w:r>
          </w:p>
        </w:tc>
        <w:tc>
          <w:tcPr>
            <w:tcW w:w="7384" w:type="dxa"/>
            <w:shd w:val="clear" w:color="auto" w:fill="auto"/>
            <w:vAlign w:val="center"/>
          </w:tcPr>
          <w:p w14:paraId="7BEE104E" w14:textId="77777777" w:rsidR="00456C61" w:rsidRPr="00F776AA" w:rsidRDefault="003E7062"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Polska Klasyfikacja Działalności</w:t>
            </w:r>
          </w:p>
        </w:tc>
      </w:tr>
      <w:tr w:rsidR="00603C24" w:rsidRPr="00F776AA" w14:paraId="7DB9007F" w14:textId="77777777" w:rsidTr="00D72686">
        <w:tc>
          <w:tcPr>
            <w:tcW w:w="1560" w:type="dxa"/>
            <w:shd w:val="clear" w:color="auto" w:fill="auto"/>
            <w:vAlign w:val="center"/>
          </w:tcPr>
          <w:p w14:paraId="19E06351" w14:textId="29F67DDA" w:rsidR="00603C24" w:rsidRPr="00F776AA" w:rsidRDefault="00603C24"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PO</w:t>
            </w:r>
            <w:r w:rsidR="006A5DB0" w:rsidRPr="00F776AA">
              <w:rPr>
                <w:rFonts w:asciiTheme="minorHAnsi" w:hAnsiTheme="minorHAnsi"/>
                <w:b/>
                <w:sz w:val="18"/>
                <w:szCs w:val="18"/>
              </w:rPr>
              <w:t xml:space="preserve"> </w:t>
            </w:r>
            <w:r w:rsidRPr="00F776AA">
              <w:rPr>
                <w:rFonts w:asciiTheme="minorHAnsi" w:hAnsiTheme="minorHAnsi"/>
                <w:b/>
                <w:sz w:val="18"/>
                <w:szCs w:val="18"/>
              </w:rPr>
              <w:t>IiŚ</w:t>
            </w:r>
          </w:p>
        </w:tc>
        <w:tc>
          <w:tcPr>
            <w:tcW w:w="7384" w:type="dxa"/>
            <w:shd w:val="clear" w:color="auto" w:fill="auto"/>
            <w:vAlign w:val="center"/>
          </w:tcPr>
          <w:p w14:paraId="504EE521" w14:textId="77777777" w:rsidR="00603C24" w:rsidRPr="00F776AA" w:rsidRDefault="00603C24"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Program Operacyjny Infrastruktura i Środowisko</w:t>
            </w:r>
          </w:p>
        </w:tc>
      </w:tr>
      <w:tr w:rsidR="00F32AA6" w:rsidRPr="00F776AA" w14:paraId="44AA058C" w14:textId="77777777" w:rsidTr="00D72686">
        <w:tc>
          <w:tcPr>
            <w:tcW w:w="1560" w:type="dxa"/>
            <w:shd w:val="clear" w:color="auto" w:fill="auto"/>
            <w:vAlign w:val="center"/>
          </w:tcPr>
          <w:p w14:paraId="3D54FC5A" w14:textId="61C2F158" w:rsidR="00F32AA6" w:rsidRPr="00F776AA" w:rsidRDefault="00F32AA6"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PO</w:t>
            </w:r>
            <w:r w:rsidR="006A5DB0" w:rsidRPr="00F776AA">
              <w:rPr>
                <w:rFonts w:asciiTheme="minorHAnsi" w:hAnsiTheme="minorHAnsi"/>
                <w:b/>
                <w:sz w:val="18"/>
                <w:szCs w:val="18"/>
              </w:rPr>
              <w:t xml:space="preserve"> </w:t>
            </w:r>
            <w:r w:rsidRPr="00F776AA">
              <w:rPr>
                <w:rFonts w:asciiTheme="minorHAnsi" w:hAnsiTheme="minorHAnsi"/>
                <w:b/>
                <w:sz w:val="18"/>
                <w:szCs w:val="18"/>
              </w:rPr>
              <w:t>IR</w:t>
            </w:r>
          </w:p>
        </w:tc>
        <w:tc>
          <w:tcPr>
            <w:tcW w:w="7384" w:type="dxa"/>
            <w:shd w:val="clear" w:color="auto" w:fill="auto"/>
            <w:vAlign w:val="center"/>
          </w:tcPr>
          <w:p w14:paraId="0061D80C" w14:textId="77777777" w:rsidR="00F32AA6" w:rsidRPr="00F776AA" w:rsidRDefault="00603C24"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Program Operacyjny Inteligentny Rozwój</w:t>
            </w:r>
          </w:p>
        </w:tc>
      </w:tr>
      <w:tr w:rsidR="00603C24" w:rsidRPr="00F776AA" w14:paraId="22357F0F" w14:textId="77777777" w:rsidTr="00D72686">
        <w:tc>
          <w:tcPr>
            <w:tcW w:w="1560" w:type="dxa"/>
            <w:shd w:val="clear" w:color="auto" w:fill="auto"/>
            <w:vAlign w:val="center"/>
          </w:tcPr>
          <w:p w14:paraId="49A3A6C0" w14:textId="443A7D1B" w:rsidR="00603C24" w:rsidRPr="00F776AA" w:rsidRDefault="00603C24"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PO</w:t>
            </w:r>
            <w:r w:rsidR="006A5DB0" w:rsidRPr="00F776AA">
              <w:rPr>
                <w:rFonts w:asciiTheme="minorHAnsi" w:hAnsiTheme="minorHAnsi"/>
                <w:b/>
                <w:sz w:val="18"/>
                <w:szCs w:val="18"/>
              </w:rPr>
              <w:t xml:space="preserve"> </w:t>
            </w:r>
            <w:r w:rsidRPr="00F776AA">
              <w:rPr>
                <w:rFonts w:asciiTheme="minorHAnsi" w:hAnsiTheme="minorHAnsi"/>
                <w:b/>
                <w:sz w:val="18"/>
                <w:szCs w:val="18"/>
              </w:rPr>
              <w:t>PC</w:t>
            </w:r>
          </w:p>
        </w:tc>
        <w:tc>
          <w:tcPr>
            <w:tcW w:w="7384" w:type="dxa"/>
            <w:shd w:val="clear" w:color="auto" w:fill="auto"/>
            <w:vAlign w:val="center"/>
          </w:tcPr>
          <w:p w14:paraId="2640E247" w14:textId="77777777" w:rsidR="00603C24" w:rsidRPr="00F776AA" w:rsidRDefault="00603C24"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Program Operacyjny Polska Cyfrowa</w:t>
            </w:r>
          </w:p>
        </w:tc>
      </w:tr>
      <w:tr w:rsidR="003647CB" w:rsidRPr="00F776AA" w14:paraId="75C4A0DA" w14:textId="77777777" w:rsidTr="00D72686">
        <w:tc>
          <w:tcPr>
            <w:tcW w:w="1560" w:type="dxa"/>
            <w:shd w:val="clear" w:color="auto" w:fill="auto"/>
            <w:vAlign w:val="center"/>
          </w:tcPr>
          <w:p w14:paraId="3FFF55DC" w14:textId="0CC18EF0" w:rsidR="003647CB" w:rsidRPr="00F776AA" w:rsidRDefault="003647CB"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PO</w:t>
            </w:r>
            <w:r w:rsidR="006A5DB0" w:rsidRPr="00F776AA">
              <w:rPr>
                <w:rFonts w:asciiTheme="minorHAnsi" w:hAnsiTheme="minorHAnsi"/>
                <w:b/>
                <w:sz w:val="18"/>
                <w:szCs w:val="18"/>
              </w:rPr>
              <w:t xml:space="preserve"> </w:t>
            </w:r>
            <w:r w:rsidRPr="00F776AA">
              <w:rPr>
                <w:rFonts w:asciiTheme="minorHAnsi" w:hAnsiTheme="minorHAnsi"/>
                <w:b/>
                <w:sz w:val="18"/>
                <w:szCs w:val="18"/>
              </w:rPr>
              <w:t>PW</w:t>
            </w:r>
          </w:p>
        </w:tc>
        <w:tc>
          <w:tcPr>
            <w:tcW w:w="7384" w:type="dxa"/>
            <w:shd w:val="clear" w:color="auto" w:fill="auto"/>
            <w:vAlign w:val="center"/>
          </w:tcPr>
          <w:p w14:paraId="418DBE26" w14:textId="0B59CB35" w:rsidR="003647CB" w:rsidRPr="00F776AA" w:rsidRDefault="003647CB"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Program Operacyjny Polska Wschodnia</w:t>
            </w:r>
          </w:p>
        </w:tc>
      </w:tr>
      <w:tr w:rsidR="00F32AA6" w:rsidRPr="00F776AA" w14:paraId="386EFF55" w14:textId="77777777" w:rsidTr="00D72686">
        <w:tc>
          <w:tcPr>
            <w:tcW w:w="1560" w:type="dxa"/>
            <w:shd w:val="clear" w:color="auto" w:fill="auto"/>
            <w:vAlign w:val="center"/>
          </w:tcPr>
          <w:p w14:paraId="79581DF0" w14:textId="606C01C8" w:rsidR="00F32AA6" w:rsidRPr="00F776AA" w:rsidRDefault="00F32AA6"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PO</w:t>
            </w:r>
            <w:r w:rsidR="006A5DB0" w:rsidRPr="00F776AA">
              <w:rPr>
                <w:rFonts w:asciiTheme="minorHAnsi" w:hAnsiTheme="minorHAnsi"/>
                <w:b/>
                <w:sz w:val="18"/>
                <w:szCs w:val="18"/>
              </w:rPr>
              <w:t xml:space="preserve"> </w:t>
            </w:r>
            <w:r w:rsidRPr="00F776AA">
              <w:rPr>
                <w:rFonts w:asciiTheme="minorHAnsi" w:hAnsiTheme="minorHAnsi"/>
                <w:b/>
                <w:sz w:val="18"/>
                <w:szCs w:val="18"/>
              </w:rPr>
              <w:t>WER</w:t>
            </w:r>
          </w:p>
        </w:tc>
        <w:tc>
          <w:tcPr>
            <w:tcW w:w="7384" w:type="dxa"/>
            <w:shd w:val="clear" w:color="auto" w:fill="auto"/>
            <w:vAlign w:val="center"/>
          </w:tcPr>
          <w:p w14:paraId="448188EF" w14:textId="77777777" w:rsidR="00F32AA6" w:rsidRPr="00F776AA" w:rsidRDefault="00603C24"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Program Operacyjny Wiedza Edukacja Rozwój</w:t>
            </w:r>
          </w:p>
        </w:tc>
      </w:tr>
      <w:tr w:rsidR="00A2091E" w:rsidRPr="00F776AA" w14:paraId="708A8AE3" w14:textId="77777777" w:rsidTr="00D72686">
        <w:tc>
          <w:tcPr>
            <w:tcW w:w="1560" w:type="dxa"/>
            <w:shd w:val="clear" w:color="auto" w:fill="auto"/>
            <w:vAlign w:val="center"/>
          </w:tcPr>
          <w:p w14:paraId="6E61E044" w14:textId="00E80F69" w:rsidR="00A2091E" w:rsidRPr="00F776AA" w:rsidRDefault="00A2091E"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PPP</w:t>
            </w:r>
          </w:p>
        </w:tc>
        <w:tc>
          <w:tcPr>
            <w:tcW w:w="7384" w:type="dxa"/>
            <w:shd w:val="clear" w:color="auto" w:fill="auto"/>
            <w:vAlign w:val="center"/>
          </w:tcPr>
          <w:p w14:paraId="3BE58E22" w14:textId="61A3D954" w:rsidR="00A2091E" w:rsidRPr="00F776AA" w:rsidRDefault="00A2091E"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Partnerstwo publiczno-prywatne</w:t>
            </w:r>
          </w:p>
        </w:tc>
      </w:tr>
      <w:tr w:rsidR="006331B9" w:rsidRPr="00F776AA" w14:paraId="3E22949B" w14:textId="77777777" w:rsidTr="00D72686">
        <w:tc>
          <w:tcPr>
            <w:tcW w:w="1560" w:type="dxa"/>
            <w:shd w:val="clear" w:color="auto" w:fill="auto"/>
            <w:vAlign w:val="center"/>
          </w:tcPr>
          <w:p w14:paraId="154636CC" w14:textId="77777777" w:rsidR="00456C61" w:rsidRPr="00F776AA" w:rsidRDefault="003E7062"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PPS</w:t>
            </w:r>
          </w:p>
        </w:tc>
        <w:tc>
          <w:tcPr>
            <w:tcW w:w="7384" w:type="dxa"/>
            <w:shd w:val="clear" w:color="auto" w:fill="auto"/>
            <w:vAlign w:val="center"/>
          </w:tcPr>
          <w:p w14:paraId="41B0FE8F" w14:textId="77777777" w:rsidR="00456C61" w:rsidRPr="00F776AA" w:rsidRDefault="003E7062"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Parytet Siły Nabywczej</w:t>
            </w:r>
          </w:p>
        </w:tc>
      </w:tr>
      <w:tr w:rsidR="006331B9" w:rsidRPr="00F776AA" w14:paraId="0D3E5300" w14:textId="77777777" w:rsidTr="00D72686">
        <w:tc>
          <w:tcPr>
            <w:tcW w:w="1560" w:type="dxa"/>
            <w:shd w:val="clear" w:color="auto" w:fill="auto"/>
            <w:vAlign w:val="center"/>
          </w:tcPr>
          <w:p w14:paraId="4FABE449" w14:textId="77777777" w:rsidR="00D67978" w:rsidRPr="00F776AA" w:rsidRDefault="003E7062"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PROW</w:t>
            </w:r>
          </w:p>
        </w:tc>
        <w:tc>
          <w:tcPr>
            <w:tcW w:w="7384" w:type="dxa"/>
            <w:shd w:val="clear" w:color="auto" w:fill="auto"/>
            <w:vAlign w:val="center"/>
          </w:tcPr>
          <w:p w14:paraId="1061A687" w14:textId="77777777" w:rsidR="00D67978" w:rsidRPr="00F776AA" w:rsidRDefault="003E7062"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Program Rozwoju Obszarów Wiejskich na lata 2014 – 2020</w:t>
            </w:r>
          </w:p>
        </w:tc>
      </w:tr>
      <w:tr w:rsidR="00825889" w:rsidRPr="00F776AA" w14:paraId="32B94F07" w14:textId="77777777" w:rsidTr="00D72686">
        <w:tc>
          <w:tcPr>
            <w:tcW w:w="1560" w:type="dxa"/>
            <w:shd w:val="clear" w:color="auto" w:fill="auto"/>
            <w:vAlign w:val="center"/>
          </w:tcPr>
          <w:p w14:paraId="2B02E531" w14:textId="77777777" w:rsidR="00825889" w:rsidRPr="00F776AA" w:rsidRDefault="00825889"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PZPW</w:t>
            </w:r>
          </w:p>
        </w:tc>
        <w:tc>
          <w:tcPr>
            <w:tcW w:w="7384" w:type="dxa"/>
            <w:shd w:val="clear" w:color="auto" w:fill="auto"/>
            <w:vAlign w:val="center"/>
          </w:tcPr>
          <w:p w14:paraId="291F5980" w14:textId="77777777" w:rsidR="00825889" w:rsidRPr="00F776AA" w:rsidRDefault="00825889"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Plan Zagospodarowania Przestrzennego Województwa</w:t>
            </w:r>
          </w:p>
        </w:tc>
      </w:tr>
      <w:tr w:rsidR="00EA0325" w:rsidRPr="00F776AA" w14:paraId="317D2F92" w14:textId="77777777" w:rsidTr="00D72686">
        <w:tc>
          <w:tcPr>
            <w:tcW w:w="1560" w:type="dxa"/>
            <w:shd w:val="clear" w:color="auto" w:fill="auto"/>
            <w:vAlign w:val="center"/>
          </w:tcPr>
          <w:p w14:paraId="0A199CFB" w14:textId="77777777" w:rsidR="00EA0325" w:rsidRPr="00F776AA" w:rsidRDefault="00EA0325"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REGON</w:t>
            </w:r>
          </w:p>
        </w:tc>
        <w:tc>
          <w:tcPr>
            <w:tcW w:w="7384" w:type="dxa"/>
            <w:shd w:val="clear" w:color="auto" w:fill="auto"/>
            <w:vAlign w:val="center"/>
          </w:tcPr>
          <w:p w14:paraId="13A81012" w14:textId="77777777" w:rsidR="00EA0325" w:rsidRPr="00F776AA" w:rsidRDefault="00EA0325"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Rejestr Gospodarki Narodowej</w:t>
            </w:r>
          </w:p>
        </w:tc>
      </w:tr>
      <w:tr w:rsidR="006331B9" w:rsidRPr="00F776AA" w14:paraId="397B783E" w14:textId="77777777" w:rsidTr="00D72686">
        <w:tc>
          <w:tcPr>
            <w:tcW w:w="1560" w:type="dxa"/>
            <w:shd w:val="clear" w:color="auto" w:fill="auto"/>
            <w:vAlign w:val="center"/>
          </w:tcPr>
          <w:p w14:paraId="2A96D440" w14:textId="77777777" w:rsidR="00D22FD4" w:rsidRPr="00F776AA" w:rsidRDefault="003E7062"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RIS</w:t>
            </w:r>
          </w:p>
        </w:tc>
        <w:tc>
          <w:tcPr>
            <w:tcW w:w="7384" w:type="dxa"/>
            <w:shd w:val="clear" w:color="auto" w:fill="auto"/>
            <w:vAlign w:val="center"/>
          </w:tcPr>
          <w:p w14:paraId="7759576A" w14:textId="77777777" w:rsidR="00D22FD4" w:rsidRPr="00F776AA" w:rsidRDefault="003E7062"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Regionalne inteligentne specjalizacje</w:t>
            </w:r>
          </w:p>
        </w:tc>
      </w:tr>
      <w:tr w:rsidR="00C43211" w:rsidRPr="00C24D4F" w14:paraId="0FD76E5B" w14:textId="77777777" w:rsidTr="00D72686">
        <w:tc>
          <w:tcPr>
            <w:tcW w:w="1560" w:type="dxa"/>
            <w:shd w:val="clear" w:color="auto" w:fill="auto"/>
            <w:vAlign w:val="center"/>
          </w:tcPr>
          <w:p w14:paraId="0772027A" w14:textId="4AF48CF0" w:rsidR="00C43211" w:rsidRPr="00F776AA" w:rsidRDefault="00C43211" w:rsidP="002C7385">
            <w:pPr>
              <w:spacing w:before="20" w:after="20" w:line="240" w:lineRule="auto"/>
              <w:jc w:val="center"/>
              <w:rPr>
                <w:rFonts w:asciiTheme="minorHAnsi" w:hAnsiTheme="minorHAnsi"/>
                <w:b/>
                <w:sz w:val="18"/>
                <w:szCs w:val="18"/>
              </w:rPr>
            </w:pPr>
            <w:r>
              <w:rPr>
                <w:rFonts w:asciiTheme="minorHAnsi" w:hAnsiTheme="minorHAnsi"/>
                <w:b/>
                <w:sz w:val="18"/>
                <w:szCs w:val="18"/>
              </w:rPr>
              <w:t>RODO</w:t>
            </w:r>
          </w:p>
        </w:tc>
        <w:tc>
          <w:tcPr>
            <w:tcW w:w="7384" w:type="dxa"/>
            <w:shd w:val="clear" w:color="auto" w:fill="auto"/>
            <w:vAlign w:val="center"/>
          </w:tcPr>
          <w:p w14:paraId="3BD5B040" w14:textId="30EEA556" w:rsidR="00C43211" w:rsidRPr="00F776AA" w:rsidRDefault="00C43211" w:rsidP="002C7385">
            <w:pPr>
              <w:spacing w:before="20" w:after="20" w:line="240" w:lineRule="auto"/>
              <w:jc w:val="left"/>
              <w:rPr>
                <w:rFonts w:asciiTheme="minorHAnsi" w:hAnsiTheme="minorHAnsi"/>
                <w:sz w:val="18"/>
                <w:szCs w:val="18"/>
              </w:rPr>
            </w:pPr>
            <w:r w:rsidRPr="00C43211">
              <w:rPr>
                <w:rFonts w:asciiTheme="minorHAnsi" w:hAnsiTheme="minorHAnsi"/>
                <w:sz w:val="18"/>
                <w:szCs w:val="18"/>
              </w:rPr>
              <w:t>Rozporządzenie o Ochronie Danych Osobowych</w:t>
            </w:r>
          </w:p>
        </w:tc>
      </w:tr>
      <w:tr w:rsidR="0071160C" w:rsidRPr="00F776AA" w14:paraId="0098D523" w14:textId="77777777" w:rsidTr="00D72686">
        <w:tc>
          <w:tcPr>
            <w:tcW w:w="1560" w:type="dxa"/>
            <w:shd w:val="clear" w:color="auto" w:fill="auto"/>
            <w:vAlign w:val="center"/>
          </w:tcPr>
          <w:p w14:paraId="50C0AA61" w14:textId="77777777" w:rsidR="0071160C" w:rsidRPr="00F776AA" w:rsidRDefault="0071160C"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ROPS</w:t>
            </w:r>
          </w:p>
        </w:tc>
        <w:tc>
          <w:tcPr>
            <w:tcW w:w="7384" w:type="dxa"/>
            <w:shd w:val="clear" w:color="auto" w:fill="auto"/>
            <w:vAlign w:val="center"/>
          </w:tcPr>
          <w:p w14:paraId="0A552C80" w14:textId="77777777" w:rsidR="0071160C" w:rsidRPr="00F776AA" w:rsidRDefault="0071160C"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Regionalny Ośrodek Polityki Społecznej</w:t>
            </w:r>
          </w:p>
        </w:tc>
      </w:tr>
      <w:tr w:rsidR="00140A1C" w:rsidRPr="00F776AA" w14:paraId="4005B8D4" w14:textId="77777777" w:rsidTr="00D72686">
        <w:tc>
          <w:tcPr>
            <w:tcW w:w="1560" w:type="dxa"/>
            <w:shd w:val="clear" w:color="auto" w:fill="auto"/>
            <w:vAlign w:val="center"/>
          </w:tcPr>
          <w:p w14:paraId="7AC4FC9E" w14:textId="6D17F441" w:rsidR="00140A1C" w:rsidRPr="00F776AA" w:rsidRDefault="00140A1C"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ROT</w:t>
            </w:r>
          </w:p>
        </w:tc>
        <w:tc>
          <w:tcPr>
            <w:tcW w:w="7384" w:type="dxa"/>
            <w:shd w:val="clear" w:color="auto" w:fill="auto"/>
            <w:vAlign w:val="center"/>
          </w:tcPr>
          <w:p w14:paraId="721C3AB9" w14:textId="320867C9" w:rsidR="00140A1C" w:rsidRPr="00F776AA" w:rsidRDefault="00140A1C"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Regionalne Obserwatorium Terytorialne</w:t>
            </w:r>
          </w:p>
        </w:tc>
      </w:tr>
      <w:tr w:rsidR="00B52D40" w:rsidRPr="00F776AA" w14:paraId="6E75F50E" w14:textId="77777777" w:rsidTr="00D72686">
        <w:tc>
          <w:tcPr>
            <w:tcW w:w="1560" w:type="dxa"/>
            <w:shd w:val="clear" w:color="auto" w:fill="auto"/>
            <w:vAlign w:val="center"/>
          </w:tcPr>
          <w:p w14:paraId="023560C2" w14:textId="77777777" w:rsidR="00B52D40" w:rsidRPr="00F776AA" w:rsidRDefault="00B52D40"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RP</w:t>
            </w:r>
          </w:p>
        </w:tc>
        <w:tc>
          <w:tcPr>
            <w:tcW w:w="7384" w:type="dxa"/>
            <w:shd w:val="clear" w:color="auto" w:fill="auto"/>
            <w:vAlign w:val="center"/>
          </w:tcPr>
          <w:p w14:paraId="54CD9911" w14:textId="77777777" w:rsidR="00B52D40" w:rsidRPr="00F776AA" w:rsidRDefault="00B52D40"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Rzeczpospolita Polska</w:t>
            </w:r>
          </w:p>
        </w:tc>
      </w:tr>
      <w:tr w:rsidR="00392155" w:rsidRPr="00F776AA" w14:paraId="285091C5" w14:textId="77777777" w:rsidTr="00D72686">
        <w:tc>
          <w:tcPr>
            <w:tcW w:w="1560" w:type="dxa"/>
            <w:shd w:val="clear" w:color="auto" w:fill="auto"/>
            <w:vAlign w:val="center"/>
          </w:tcPr>
          <w:p w14:paraId="1400C773" w14:textId="4075CCD3" w:rsidR="00392155" w:rsidRPr="00F776AA" w:rsidRDefault="00392155"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RPO</w:t>
            </w:r>
          </w:p>
        </w:tc>
        <w:tc>
          <w:tcPr>
            <w:tcW w:w="7384" w:type="dxa"/>
            <w:shd w:val="clear" w:color="auto" w:fill="auto"/>
            <w:vAlign w:val="center"/>
          </w:tcPr>
          <w:p w14:paraId="7CF0433E" w14:textId="023F9C5D" w:rsidR="00392155" w:rsidRPr="00F776AA" w:rsidRDefault="00392155"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Regionalny Program Operacyjny</w:t>
            </w:r>
          </w:p>
        </w:tc>
      </w:tr>
      <w:tr w:rsidR="006331B9" w:rsidRPr="00F776AA" w14:paraId="716752CF" w14:textId="77777777" w:rsidTr="00D72686">
        <w:tc>
          <w:tcPr>
            <w:tcW w:w="1560" w:type="dxa"/>
            <w:shd w:val="clear" w:color="auto" w:fill="auto"/>
            <w:vAlign w:val="center"/>
          </w:tcPr>
          <w:p w14:paraId="3E46FD71" w14:textId="77777777" w:rsidR="00311F9A" w:rsidRPr="00F776AA" w:rsidRDefault="003E7062"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SIWZ</w:t>
            </w:r>
          </w:p>
        </w:tc>
        <w:tc>
          <w:tcPr>
            <w:tcW w:w="7384" w:type="dxa"/>
            <w:shd w:val="clear" w:color="auto" w:fill="auto"/>
            <w:vAlign w:val="center"/>
          </w:tcPr>
          <w:p w14:paraId="4475AC7F" w14:textId="77777777" w:rsidR="00311F9A" w:rsidRPr="00F776AA" w:rsidRDefault="003E7062"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Specyfikacja Istotnych Warunków Zamówienia</w:t>
            </w:r>
          </w:p>
        </w:tc>
      </w:tr>
      <w:tr w:rsidR="006331B9" w:rsidRPr="00F776AA" w14:paraId="10439325" w14:textId="77777777" w:rsidTr="00D72686">
        <w:tc>
          <w:tcPr>
            <w:tcW w:w="1560" w:type="dxa"/>
            <w:shd w:val="clear" w:color="auto" w:fill="auto"/>
            <w:vAlign w:val="center"/>
          </w:tcPr>
          <w:p w14:paraId="23E0C4C4" w14:textId="77777777" w:rsidR="00456C61" w:rsidRPr="00F776AA" w:rsidRDefault="003E7062"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SOPZ</w:t>
            </w:r>
          </w:p>
        </w:tc>
        <w:tc>
          <w:tcPr>
            <w:tcW w:w="7384" w:type="dxa"/>
            <w:shd w:val="clear" w:color="auto" w:fill="auto"/>
            <w:vAlign w:val="center"/>
          </w:tcPr>
          <w:p w14:paraId="00E94688" w14:textId="77777777" w:rsidR="00456C61" w:rsidRPr="00F776AA" w:rsidRDefault="003E7062"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Szczegółowy Opis Przedmiotu Zamówienia</w:t>
            </w:r>
          </w:p>
        </w:tc>
      </w:tr>
      <w:tr w:rsidR="00140A1C" w:rsidRPr="00F776AA" w14:paraId="4F88CC10" w14:textId="77777777" w:rsidTr="00D72686">
        <w:tc>
          <w:tcPr>
            <w:tcW w:w="1560" w:type="dxa"/>
            <w:shd w:val="clear" w:color="auto" w:fill="auto"/>
            <w:vAlign w:val="center"/>
          </w:tcPr>
          <w:p w14:paraId="1EED7E7F" w14:textId="088D2FB2" w:rsidR="00140A1C" w:rsidRPr="00F776AA" w:rsidRDefault="00140A1C"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SOR</w:t>
            </w:r>
          </w:p>
        </w:tc>
        <w:tc>
          <w:tcPr>
            <w:tcW w:w="7384" w:type="dxa"/>
            <w:shd w:val="clear" w:color="auto" w:fill="auto"/>
            <w:vAlign w:val="center"/>
          </w:tcPr>
          <w:p w14:paraId="181A99BE" w14:textId="06FB076C" w:rsidR="00140A1C" w:rsidRPr="00F776AA" w:rsidRDefault="00140A1C"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Strategia na rzecz Odpowiedzialnego Rozwoju</w:t>
            </w:r>
          </w:p>
        </w:tc>
      </w:tr>
      <w:tr w:rsidR="006331B9" w:rsidRPr="00F776AA" w14:paraId="2B6E922A" w14:textId="77777777" w:rsidTr="00D72686">
        <w:tc>
          <w:tcPr>
            <w:tcW w:w="1560" w:type="dxa"/>
            <w:shd w:val="clear" w:color="auto" w:fill="auto"/>
            <w:vAlign w:val="center"/>
          </w:tcPr>
          <w:p w14:paraId="0B70ADB7" w14:textId="77777777" w:rsidR="00223D53" w:rsidRPr="00F776AA" w:rsidRDefault="00D71B23"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lastRenderedPageBreak/>
              <w:t xml:space="preserve">SRWW 2020 </w:t>
            </w:r>
          </w:p>
        </w:tc>
        <w:tc>
          <w:tcPr>
            <w:tcW w:w="7384" w:type="dxa"/>
            <w:shd w:val="clear" w:color="auto" w:fill="auto"/>
            <w:vAlign w:val="center"/>
          </w:tcPr>
          <w:p w14:paraId="7CC4F817" w14:textId="68B080AA" w:rsidR="00223D53" w:rsidRPr="00F776AA" w:rsidRDefault="003E7062" w:rsidP="00124395">
            <w:pPr>
              <w:spacing w:before="20" w:after="20" w:line="240" w:lineRule="auto"/>
              <w:jc w:val="left"/>
              <w:rPr>
                <w:rFonts w:asciiTheme="minorHAnsi" w:hAnsiTheme="minorHAnsi"/>
                <w:sz w:val="18"/>
                <w:szCs w:val="18"/>
              </w:rPr>
            </w:pPr>
            <w:r w:rsidRPr="00F776AA">
              <w:rPr>
                <w:rFonts w:asciiTheme="minorHAnsi" w:hAnsiTheme="minorHAnsi"/>
                <w:sz w:val="18"/>
                <w:szCs w:val="18"/>
              </w:rPr>
              <w:t>Strategia rozwoju województwa wielkopolskiego. Wielkopolska 2020</w:t>
            </w:r>
          </w:p>
        </w:tc>
      </w:tr>
      <w:tr w:rsidR="00317F1C" w:rsidRPr="002E626A" w14:paraId="279E13D0" w14:textId="77777777" w:rsidTr="00D72686">
        <w:tc>
          <w:tcPr>
            <w:tcW w:w="1560" w:type="dxa"/>
            <w:shd w:val="clear" w:color="auto" w:fill="auto"/>
            <w:vAlign w:val="center"/>
          </w:tcPr>
          <w:p w14:paraId="4BEA249B" w14:textId="77777777" w:rsidR="00317F1C" w:rsidRPr="00F776AA" w:rsidRDefault="00A05E9C"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SWOT</w:t>
            </w:r>
          </w:p>
        </w:tc>
        <w:tc>
          <w:tcPr>
            <w:tcW w:w="7384" w:type="dxa"/>
            <w:shd w:val="clear" w:color="auto" w:fill="auto"/>
            <w:vAlign w:val="center"/>
          </w:tcPr>
          <w:p w14:paraId="708B35DB" w14:textId="77777777" w:rsidR="00317F1C" w:rsidRPr="00F776AA" w:rsidRDefault="00A05E9C" w:rsidP="002C7385">
            <w:pPr>
              <w:spacing w:before="20" w:after="20" w:line="240" w:lineRule="auto"/>
              <w:jc w:val="left"/>
              <w:rPr>
                <w:rFonts w:asciiTheme="minorHAnsi" w:hAnsiTheme="minorHAnsi"/>
                <w:sz w:val="18"/>
                <w:szCs w:val="18"/>
                <w:lang w:val="en-GB"/>
              </w:rPr>
            </w:pPr>
            <w:r w:rsidRPr="00F776AA">
              <w:rPr>
                <w:rFonts w:asciiTheme="minorHAnsi" w:hAnsiTheme="minorHAnsi"/>
                <w:sz w:val="18"/>
                <w:szCs w:val="18"/>
                <w:lang w:val="en-GB"/>
              </w:rPr>
              <w:t>Analiza SWOT</w:t>
            </w:r>
            <w:r w:rsidR="00E45CF1" w:rsidRPr="00F776AA">
              <w:rPr>
                <w:rFonts w:asciiTheme="minorHAnsi" w:hAnsiTheme="minorHAnsi"/>
                <w:sz w:val="18"/>
                <w:szCs w:val="18"/>
                <w:lang w:val="en-GB"/>
              </w:rPr>
              <w:t xml:space="preserve"> (</w:t>
            </w:r>
            <w:r w:rsidR="00E45CF1" w:rsidRPr="00F776AA">
              <w:rPr>
                <w:rFonts w:asciiTheme="minorHAnsi" w:hAnsiTheme="minorHAnsi"/>
                <w:i/>
                <w:sz w:val="18"/>
                <w:szCs w:val="18"/>
                <w:lang w:val="en-GB"/>
              </w:rPr>
              <w:t>ang. strenghts, weakness</w:t>
            </w:r>
            <w:r w:rsidR="00FD5BA6" w:rsidRPr="00F776AA">
              <w:rPr>
                <w:rFonts w:asciiTheme="minorHAnsi" w:hAnsiTheme="minorHAnsi"/>
                <w:i/>
                <w:sz w:val="18"/>
                <w:szCs w:val="18"/>
                <w:lang w:val="en-GB"/>
              </w:rPr>
              <w:t>es</w:t>
            </w:r>
            <w:r w:rsidR="00E45CF1" w:rsidRPr="00F776AA">
              <w:rPr>
                <w:rFonts w:asciiTheme="minorHAnsi" w:hAnsiTheme="minorHAnsi"/>
                <w:i/>
                <w:sz w:val="18"/>
                <w:szCs w:val="18"/>
                <w:lang w:val="en-GB"/>
              </w:rPr>
              <w:t>, opportunities and threats</w:t>
            </w:r>
            <w:r w:rsidR="00FD5BA6" w:rsidRPr="00F776AA">
              <w:rPr>
                <w:rFonts w:asciiTheme="minorHAnsi" w:hAnsiTheme="minorHAnsi"/>
                <w:sz w:val="18"/>
                <w:szCs w:val="18"/>
                <w:lang w:val="en-GB"/>
              </w:rPr>
              <w:t xml:space="preserve">, czyli siły, słabości, szanse </w:t>
            </w:r>
            <w:r w:rsidR="00F51F91" w:rsidRPr="00F776AA">
              <w:rPr>
                <w:rFonts w:asciiTheme="minorHAnsi" w:hAnsiTheme="minorHAnsi"/>
                <w:sz w:val="18"/>
                <w:szCs w:val="18"/>
                <w:lang w:val="en-GB"/>
              </w:rPr>
              <w:t>i</w:t>
            </w:r>
            <w:r w:rsidR="00FD5BA6" w:rsidRPr="00F776AA">
              <w:rPr>
                <w:rFonts w:asciiTheme="minorHAnsi" w:hAnsiTheme="minorHAnsi"/>
                <w:sz w:val="18"/>
                <w:szCs w:val="18"/>
                <w:lang w:val="en-GB"/>
              </w:rPr>
              <w:t xml:space="preserve"> zagrożenia</w:t>
            </w:r>
            <w:r w:rsidR="00E45CF1" w:rsidRPr="00F776AA">
              <w:rPr>
                <w:rFonts w:asciiTheme="minorHAnsi" w:hAnsiTheme="minorHAnsi"/>
                <w:sz w:val="18"/>
                <w:szCs w:val="18"/>
                <w:lang w:val="en-GB"/>
              </w:rPr>
              <w:t>)</w:t>
            </w:r>
          </w:p>
        </w:tc>
      </w:tr>
      <w:tr w:rsidR="008C442E" w:rsidRPr="00F776AA" w14:paraId="5217BE23" w14:textId="77777777" w:rsidTr="00D72686">
        <w:tc>
          <w:tcPr>
            <w:tcW w:w="1560" w:type="dxa"/>
            <w:shd w:val="clear" w:color="auto" w:fill="auto"/>
            <w:vAlign w:val="center"/>
          </w:tcPr>
          <w:p w14:paraId="766AD2C6" w14:textId="77777777" w:rsidR="008C442E" w:rsidRPr="00F776AA" w:rsidRDefault="00115129"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SW</w:t>
            </w:r>
            <w:r w:rsidR="008C442E" w:rsidRPr="00F776AA">
              <w:rPr>
                <w:rFonts w:asciiTheme="minorHAnsi" w:hAnsiTheme="minorHAnsi"/>
                <w:b/>
                <w:sz w:val="18"/>
                <w:szCs w:val="18"/>
              </w:rPr>
              <w:t>W</w:t>
            </w:r>
          </w:p>
        </w:tc>
        <w:tc>
          <w:tcPr>
            <w:tcW w:w="7384" w:type="dxa"/>
            <w:shd w:val="clear" w:color="auto" w:fill="auto"/>
            <w:vAlign w:val="center"/>
          </w:tcPr>
          <w:p w14:paraId="7B24E951" w14:textId="77777777" w:rsidR="008C442E" w:rsidRPr="00F776AA" w:rsidRDefault="008C442E"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Samorząd Województwa Wielkopolskiego</w:t>
            </w:r>
          </w:p>
        </w:tc>
      </w:tr>
      <w:tr w:rsidR="004C660E" w:rsidRPr="00F776AA" w14:paraId="0E9F7C67" w14:textId="77777777" w:rsidTr="00D72686">
        <w:tc>
          <w:tcPr>
            <w:tcW w:w="1560" w:type="dxa"/>
            <w:shd w:val="clear" w:color="auto" w:fill="auto"/>
            <w:vAlign w:val="center"/>
          </w:tcPr>
          <w:p w14:paraId="73E62C56" w14:textId="77777777" w:rsidR="004C660E" w:rsidRPr="00F776AA" w:rsidRDefault="004C660E"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SZOOP</w:t>
            </w:r>
          </w:p>
        </w:tc>
        <w:tc>
          <w:tcPr>
            <w:tcW w:w="7384" w:type="dxa"/>
            <w:shd w:val="clear" w:color="auto" w:fill="auto"/>
            <w:vAlign w:val="center"/>
          </w:tcPr>
          <w:p w14:paraId="603FE776" w14:textId="77777777" w:rsidR="004C660E" w:rsidRPr="00F776AA" w:rsidRDefault="004C660E"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Szczegółowy opis osi priorytetowych</w:t>
            </w:r>
          </w:p>
        </w:tc>
      </w:tr>
      <w:tr w:rsidR="006331B9" w:rsidRPr="00F776AA" w14:paraId="0A733DA9" w14:textId="77777777" w:rsidTr="00D72686">
        <w:tc>
          <w:tcPr>
            <w:tcW w:w="1560" w:type="dxa"/>
            <w:shd w:val="clear" w:color="auto" w:fill="auto"/>
            <w:vAlign w:val="center"/>
          </w:tcPr>
          <w:p w14:paraId="1774296D" w14:textId="77777777" w:rsidR="00456C61" w:rsidRPr="00F776AA" w:rsidRDefault="003E7062"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UE</w:t>
            </w:r>
          </w:p>
        </w:tc>
        <w:tc>
          <w:tcPr>
            <w:tcW w:w="7384" w:type="dxa"/>
            <w:shd w:val="clear" w:color="auto" w:fill="auto"/>
            <w:vAlign w:val="center"/>
          </w:tcPr>
          <w:p w14:paraId="5E66024D" w14:textId="77777777" w:rsidR="00456C61" w:rsidRPr="00F776AA" w:rsidRDefault="003E7062"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Unia Europejska</w:t>
            </w:r>
          </w:p>
        </w:tc>
      </w:tr>
      <w:tr w:rsidR="006331B9" w:rsidRPr="00F776AA" w14:paraId="45D876D7" w14:textId="77777777" w:rsidTr="00D72686">
        <w:tc>
          <w:tcPr>
            <w:tcW w:w="1560" w:type="dxa"/>
            <w:shd w:val="clear" w:color="auto" w:fill="auto"/>
            <w:vAlign w:val="center"/>
          </w:tcPr>
          <w:p w14:paraId="02112F46" w14:textId="77777777" w:rsidR="00C14161" w:rsidRPr="00F776AA" w:rsidRDefault="003E7062"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UMWW</w:t>
            </w:r>
          </w:p>
        </w:tc>
        <w:tc>
          <w:tcPr>
            <w:tcW w:w="7384" w:type="dxa"/>
            <w:shd w:val="clear" w:color="auto" w:fill="auto"/>
            <w:vAlign w:val="center"/>
          </w:tcPr>
          <w:p w14:paraId="684F50B7" w14:textId="77777777" w:rsidR="00C14161" w:rsidRPr="00F776AA" w:rsidRDefault="003E7062"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Urząd Marszałkowski Województwa Wielkopolskiego</w:t>
            </w:r>
          </w:p>
        </w:tc>
      </w:tr>
      <w:tr w:rsidR="00B52D40" w:rsidRPr="00F776AA" w14:paraId="0A3DEFA4" w14:textId="77777777" w:rsidTr="00D72686">
        <w:tc>
          <w:tcPr>
            <w:tcW w:w="1560" w:type="dxa"/>
            <w:shd w:val="clear" w:color="auto" w:fill="auto"/>
            <w:vAlign w:val="center"/>
          </w:tcPr>
          <w:p w14:paraId="1C53F857" w14:textId="77777777" w:rsidR="00B52D40" w:rsidRPr="00F776AA" w:rsidRDefault="00B52D40"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WLKP</w:t>
            </w:r>
          </w:p>
        </w:tc>
        <w:tc>
          <w:tcPr>
            <w:tcW w:w="7384" w:type="dxa"/>
            <w:shd w:val="clear" w:color="auto" w:fill="auto"/>
            <w:vAlign w:val="center"/>
          </w:tcPr>
          <w:p w14:paraId="5C6ADA1A" w14:textId="77777777" w:rsidR="00B52D40" w:rsidRPr="00F776AA" w:rsidRDefault="00B52D40"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Wielkopolska</w:t>
            </w:r>
          </w:p>
        </w:tc>
      </w:tr>
      <w:tr w:rsidR="00E97563" w:rsidRPr="00C24D4F" w14:paraId="1E3A19C0" w14:textId="77777777" w:rsidTr="00D72686">
        <w:tc>
          <w:tcPr>
            <w:tcW w:w="1560" w:type="dxa"/>
            <w:shd w:val="clear" w:color="auto" w:fill="auto"/>
            <w:vAlign w:val="center"/>
          </w:tcPr>
          <w:p w14:paraId="66C9A6EE" w14:textId="5F32A1C8" w:rsidR="00E97563" w:rsidRPr="00F776AA" w:rsidRDefault="00E97563" w:rsidP="002C7385">
            <w:pPr>
              <w:spacing w:before="20" w:after="20" w:line="240" w:lineRule="auto"/>
              <w:jc w:val="center"/>
              <w:rPr>
                <w:rFonts w:asciiTheme="minorHAnsi" w:hAnsiTheme="minorHAnsi"/>
                <w:b/>
                <w:sz w:val="18"/>
                <w:szCs w:val="18"/>
              </w:rPr>
            </w:pPr>
            <w:r>
              <w:rPr>
                <w:rFonts w:asciiTheme="minorHAnsi" w:hAnsiTheme="minorHAnsi"/>
                <w:b/>
                <w:sz w:val="18"/>
                <w:szCs w:val="18"/>
              </w:rPr>
              <w:t>WPF</w:t>
            </w:r>
          </w:p>
        </w:tc>
        <w:tc>
          <w:tcPr>
            <w:tcW w:w="7384" w:type="dxa"/>
            <w:shd w:val="clear" w:color="auto" w:fill="auto"/>
            <w:vAlign w:val="center"/>
          </w:tcPr>
          <w:p w14:paraId="6115D931" w14:textId="3475599D" w:rsidR="00E97563" w:rsidRPr="00F776AA" w:rsidRDefault="00E97563" w:rsidP="002C7385">
            <w:pPr>
              <w:spacing w:before="20" w:after="20" w:line="240" w:lineRule="auto"/>
              <w:jc w:val="left"/>
              <w:rPr>
                <w:rFonts w:asciiTheme="minorHAnsi" w:hAnsiTheme="minorHAnsi"/>
                <w:sz w:val="18"/>
                <w:szCs w:val="18"/>
              </w:rPr>
            </w:pPr>
            <w:r>
              <w:rPr>
                <w:rFonts w:asciiTheme="minorHAnsi" w:hAnsiTheme="minorHAnsi"/>
                <w:sz w:val="18"/>
                <w:szCs w:val="18"/>
              </w:rPr>
              <w:t>Wieloletnia Prognoza Finansowa</w:t>
            </w:r>
          </w:p>
        </w:tc>
      </w:tr>
      <w:tr w:rsidR="006331B9" w:rsidRPr="00F776AA" w14:paraId="70801590" w14:textId="77777777" w:rsidTr="00D72686">
        <w:tc>
          <w:tcPr>
            <w:tcW w:w="1560" w:type="dxa"/>
            <w:shd w:val="clear" w:color="auto" w:fill="auto"/>
            <w:vAlign w:val="center"/>
          </w:tcPr>
          <w:p w14:paraId="051F120A" w14:textId="77777777" w:rsidR="00311F9A" w:rsidRPr="00F776AA" w:rsidRDefault="003E7062"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WRPO 2014+</w:t>
            </w:r>
          </w:p>
        </w:tc>
        <w:tc>
          <w:tcPr>
            <w:tcW w:w="7384" w:type="dxa"/>
            <w:shd w:val="clear" w:color="auto" w:fill="auto"/>
            <w:vAlign w:val="center"/>
          </w:tcPr>
          <w:p w14:paraId="1403CA99" w14:textId="77777777" w:rsidR="00311F9A" w:rsidRPr="00F776AA" w:rsidRDefault="003E7062"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Wielkopolski Regionalny Program Operacyjny na lata 2014-2020</w:t>
            </w:r>
          </w:p>
        </w:tc>
      </w:tr>
      <w:tr w:rsidR="00140A1C" w:rsidRPr="00F776AA" w14:paraId="02122076" w14:textId="77777777" w:rsidTr="00D72686">
        <w:tc>
          <w:tcPr>
            <w:tcW w:w="1560" w:type="dxa"/>
            <w:shd w:val="clear" w:color="auto" w:fill="auto"/>
            <w:vAlign w:val="center"/>
          </w:tcPr>
          <w:p w14:paraId="74AD950A" w14:textId="7D08ABF2" w:rsidR="00140A1C" w:rsidRPr="00F776AA" w:rsidRDefault="00140A1C" w:rsidP="002C7385">
            <w:pPr>
              <w:spacing w:before="20" w:after="20" w:line="240" w:lineRule="auto"/>
              <w:jc w:val="center"/>
              <w:rPr>
                <w:rFonts w:asciiTheme="minorHAnsi" w:hAnsiTheme="minorHAnsi"/>
                <w:b/>
                <w:sz w:val="18"/>
                <w:szCs w:val="18"/>
              </w:rPr>
            </w:pPr>
            <w:r w:rsidRPr="00F776AA">
              <w:rPr>
                <w:rFonts w:asciiTheme="minorHAnsi" w:hAnsiTheme="minorHAnsi"/>
                <w:b/>
                <w:sz w:val="18"/>
                <w:szCs w:val="18"/>
              </w:rPr>
              <w:t>WUP</w:t>
            </w:r>
          </w:p>
        </w:tc>
        <w:tc>
          <w:tcPr>
            <w:tcW w:w="7384" w:type="dxa"/>
            <w:shd w:val="clear" w:color="auto" w:fill="auto"/>
            <w:vAlign w:val="center"/>
          </w:tcPr>
          <w:p w14:paraId="423B900D" w14:textId="30CA7670" w:rsidR="00140A1C" w:rsidRPr="00F776AA" w:rsidRDefault="00140A1C" w:rsidP="002C7385">
            <w:pPr>
              <w:spacing w:before="20" w:after="20" w:line="240" w:lineRule="auto"/>
              <w:jc w:val="left"/>
              <w:rPr>
                <w:rFonts w:asciiTheme="minorHAnsi" w:hAnsiTheme="minorHAnsi"/>
                <w:sz w:val="18"/>
                <w:szCs w:val="18"/>
              </w:rPr>
            </w:pPr>
            <w:r w:rsidRPr="00F776AA">
              <w:rPr>
                <w:rFonts w:asciiTheme="minorHAnsi" w:hAnsiTheme="minorHAnsi"/>
                <w:sz w:val="18"/>
                <w:szCs w:val="18"/>
              </w:rPr>
              <w:t>Wojewódzki Urząd Pracy</w:t>
            </w:r>
          </w:p>
        </w:tc>
      </w:tr>
      <w:tr w:rsidR="00D72686" w:rsidRPr="00F776AA" w14:paraId="5250B991" w14:textId="77777777" w:rsidTr="00D72686">
        <w:tc>
          <w:tcPr>
            <w:tcW w:w="1560" w:type="dxa"/>
            <w:shd w:val="clear" w:color="auto" w:fill="auto"/>
            <w:vAlign w:val="center"/>
          </w:tcPr>
          <w:p w14:paraId="34CFBCDA" w14:textId="34C2F0C9" w:rsidR="00D72686" w:rsidRPr="00F776AA" w:rsidRDefault="00D72686" w:rsidP="00D72686">
            <w:pPr>
              <w:spacing w:before="20" w:after="20" w:line="240" w:lineRule="auto"/>
              <w:jc w:val="center"/>
              <w:rPr>
                <w:rFonts w:asciiTheme="minorHAnsi" w:hAnsiTheme="minorHAnsi"/>
                <w:b/>
                <w:sz w:val="18"/>
                <w:szCs w:val="18"/>
              </w:rPr>
            </w:pPr>
            <w:r w:rsidRPr="00F776AA">
              <w:rPr>
                <w:rFonts w:asciiTheme="minorHAnsi" w:hAnsiTheme="minorHAnsi"/>
                <w:b/>
                <w:sz w:val="18"/>
                <w:szCs w:val="18"/>
              </w:rPr>
              <w:t>ZIT</w:t>
            </w:r>
          </w:p>
        </w:tc>
        <w:tc>
          <w:tcPr>
            <w:tcW w:w="7384" w:type="dxa"/>
            <w:shd w:val="clear" w:color="auto" w:fill="auto"/>
            <w:vAlign w:val="center"/>
          </w:tcPr>
          <w:p w14:paraId="208CBD8E" w14:textId="359C2796" w:rsidR="00D72686" w:rsidRPr="00F776AA" w:rsidRDefault="00D72686" w:rsidP="00D72686">
            <w:pPr>
              <w:spacing w:before="20" w:after="20" w:line="240" w:lineRule="auto"/>
              <w:jc w:val="left"/>
              <w:rPr>
                <w:rFonts w:asciiTheme="minorHAnsi" w:hAnsiTheme="minorHAnsi"/>
                <w:sz w:val="18"/>
                <w:szCs w:val="18"/>
              </w:rPr>
            </w:pPr>
            <w:r w:rsidRPr="00F776AA">
              <w:rPr>
                <w:rFonts w:asciiTheme="minorHAnsi" w:hAnsiTheme="minorHAnsi"/>
                <w:sz w:val="18"/>
                <w:szCs w:val="18"/>
              </w:rPr>
              <w:t>Zintegrowane inwestycje terytorialne</w:t>
            </w:r>
          </w:p>
        </w:tc>
      </w:tr>
      <w:tr w:rsidR="00D72686" w:rsidRPr="00F776AA" w14:paraId="731244EB" w14:textId="77777777" w:rsidTr="00D72686">
        <w:tc>
          <w:tcPr>
            <w:tcW w:w="1560" w:type="dxa"/>
            <w:shd w:val="clear" w:color="auto" w:fill="auto"/>
            <w:vAlign w:val="center"/>
          </w:tcPr>
          <w:p w14:paraId="7CC8282D" w14:textId="1E53CFB5" w:rsidR="00D72686" w:rsidRPr="00F776AA" w:rsidRDefault="00D72686" w:rsidP="00D72686">
            <w:pPr>
              <w:spacing w:before="20" w:after="20" w:line="240" w:lineRule="auto"/>
              <w:jc w:val="center"/>
              <w:rPr>
                <w:rFonts w:asciiTheme="minorHAnsi" w:hAnsiTheme="minorHAnsi"/>
                <w:b/>
                <w:sz w:val="18"/>
                <w:szCs w:val="18"/>
              </w:rPr>
            </w:pPr>
            <w:r>
              <w:rPr>
                <w:rFonts w:asciiTheme="minorHAnsi" w:hAnsiTheme="minorHAnsi"/>
                <w:b/>
                <w:sz w:val="18"/>
                <w:szCs w:val="18"/>
              </w:rPr>
              <w:t>ZWW</w:t>
            </w:r>
          </w:p>
        </w:tc>
        <w:tc>
          <w:tcPr>
            <w:tcW w:w="7384" w:type="dxa"/>
            <w:shd w:val="clear" w:color="auto" w:fill="auto"/>
            <w:vAlign w:val="center"/>
          </w:tcPr>
          <w:p w14:paraId="25BA31B9" w14:textId="7FACE743" w:rsidR="00D72686" w:rsidRPr="00F776AA" w:rsidRDefault="00D72686" w:rsidP="00D72686">
            <w:pPr>
              <w:spacing w:before="20" w:after="20" w:line="240" w:lineRule="auto"/>
              <w:jc w:val="left"/>
              <w:rPr>
                <w:rFonts w:asciiTheme="minorHAnsi" w:hAnsiTheme="minorHAnsi"/>
                <w:sz w:val="18"/>
                <w:szCs w:val="18"/>
              </w:rPr>
            </w:pPr>
            <w:r>
              <w:rPr>
                <w:rFonts w:asciiTheme="minorHAnsi" w:hAnsiTheme="minorHAnsi"/>
                <w:sz w:val="18"/>
                <w:szCs w:val="18"/>
              </w:rPr>
              <w:t>Zarząd Województwa Wielkopolskiego</w:t>
            </w:r>
          </w:p>
        </w:tc>
      </w:tr>
      <w:bookmarkEnd w:id="11"/>
      <w:bookmarkEnd w:id="12"/>
    </w:tbl>
    <w:p w14:paraId="3524E563" w14:textId="77777777" w:rsidR="00F776AA" w:rsidRDefault="00F776AA">
      <w:pPr>
        <w:spacing w:after="0" w:line="240" w:lineRule="auto"/>
        <w:jc w:val="left"/>
        <w:rPr>
          <w:b/>
          <w:bCs/>
          <w:sz w:val="20"/>
        </w:rPr>
      </w:pPr>
      <w:r>
        <w:rPr>
          <w:b/>
          <w:bCs/>
          <w:sz w:val="20"/>
        </w:rPr>
        <w:br w:type="page"/>
      </w:r>
    </w:p>
    <w:p w14:paraId="358D15E0" w14:textId="77777777" w:rsidR="00500EFA" w:rsidRDefault="08BD5E12" w:rsidP="08BD5E12">
      <w:pPr>
        <w:spacing w:after="160" w:line="259" w:lineRule="auto"/>
        <w:jc w:val="left"/>
        <w:rPr>
          <w:b/>
          <w:bCs/>
          <w:sz w:val="20"/>
        </w:rPr>
      </w:pPr>
      <w:r w:rsidRPr="08BD5E12">
        <w:rPr>
          <w:b/>
          <w:bCs/>
          <w:sz w:val="20"/>
        </w:rPr>
        <w:lastRenderedPageBreak/>
        <w:t>Spis treści:</w:t>
      </w:r>
    </w:p>
    <w:p w14:paraId="1BF7025F" w14:textId="77777777" w:rsidR="007F4FA2" w:rsidRDefault="00500EFA">
      <w:pPr>
        <w:pStyle w:val="Spistreci1"/>
        <w:tabs>
          <w:tab w:val="right" w:leader="underscore" w:pos="9062"/>
        </w:tabs>
        <w:rPr>
          <w:rFonts w:asciiTheme="minorHAnsi" w:eastAsiaTheme="minorEastAsia" w:hAnsiTheme="minorHAnsi" w:cstheme="minorBidi"/>
          <w:b w:val="0"/>
          <w:bCs w:val="0"/>
          <w:caps w:val="0"/>
          <w:noProof/>
          <w:color w:val="auto"/>
          <w:sz w:val="22"/>
          <w:szCs w:val="22"/>
          <w:lang w:eastAsia="pl-PL"/>
        </w:rPr>
      </w:pPr>
      <w:r>
        <w:rPr>
          <w:b w:val="0"/>
          <w:bCs w:val="0"/>
          <w:caps w:val="0"/>
        </w:rPr>
        <w:fldChar w:fldCharType="begin"/>
      </w:r>
      <w:r>
        <w:rPr>
          <w:b w:val="0"/>
          <w:bCs w:val="0"/>
          <w:caps w:val="0"/>
        </w:rPr>
        <w:instrText xml:space="preserve"> TOC \o "1-4" \h \z \u </w:instrText>
      </w:r>
      <w:r>
        <w:rPr>
          <w:b w:val="0"/>
          <w:bCs w:val="0"/>
          <w:caps w:val="0"/>
        </w:rPr>
        <w:fldChar w:fldCharType="separate"/>
      </w:r>
      <w:hyperlink w:anchor="_Toc5699440" w:history="1">
        <w:r w:rsidR="007F4FA2" w:rsidRPr="00D61321">
          <w:rPr>
            <w:rStyle w:val="Hipercze"/>
            <w:noProof/>
          </w:rPr>
          <w:t>Streszczenie raportu</w:t>
        </w:r>
        <w:r w:rsidR="007F4FA2">
          <w:rPr>
            <w:noProof/>
            <w:webHidden/>
          </w:rPr>
          <w:tab/>
        </w:r>
        <w:r w:rsidR="007F4FA2">
          <w:rPr>
            <w:noProof/>
            <w:webHidden/>
          </w:rPr>
          <w:fldChar w:fldCharType="begin"/>
        </w:r>
        <w:r w:rsidR="007F4FA2">
          <w:rPr>
            <w:noProof/>
            <w:webHidden/>
          </w:rPr>
          <w:instrText xml:space="preserve"> PAGEREF _Toc5699440 \h </w:instrText>
        </w:r>
        <w:r w:rsidR="007F4FA2">
          <w:rPr>
            <w:noProof/>
            <w:webHidden/>
          </w:rPr>
        </w:r>
        <w:r w:rsidR="007F4FA2">
          <w:rPr>
            <w:noProof/>
            <w:webHidden/>
          </w:rPr>
          <w:fldChar w:fldCharType="separate"/>
        </w:r>
        <w:r w:rsidR="007F4FA2">
          <w:rPr>
            <w:noProof/>
            <w:webHidden/>
          </w:rPr>
          <w:t>7</w:t>
        </w:r>
        <w:r w:rsidR="007F4FA2">
          <w:rPr>
            <w:noProof/>
            <w:webHidden/>
          </w:rPr>
          <w:fldChar w:fldCharType="end"/>
        </w:r>
      </w:hyperlink>
    </w:p>
    <w:p w14:paraId="6E22C077" w14:textId="77777777" w:rsidR="007F4FA2" w:rsidRDefault="00C738EB">
      <w:pPr>
        <w:pStyle w:val="Spistreci1"/>
        <w:tabs>
          <w:tab w:val="left" w:pos="440"/>
          <w:tab w:val="right" w:leader="underscore" w:pos="9062"/>
        </w:tabs>
        <w:rPr>
          <w:rFonts w:asciiTheme="minorHAnsi" w:eastAsiaTheme="minorEastAsia" w:hAnsiTheme="minorHAnsi" w:cstheme="minorBidi"/>
          <w:b w:val="0"/>
          <w:bCs w:val="0"/>
          <w:caps w:val="0"/>
          <w:noProof/>
          <w:color w:val="auto"/>
          <w:sz w:val="22"/>
          <w:szCs w:val="22"/>
          <w:lang w:eastAsia="pl-PL"/>
        </w:rPr>
      </w:pPr>
      <w:hyperlink w:anchor="_Toc5699441" w:history="1">
        <w:r w:rsidR="007F4FA2" w:rsidRPr="00D61321">
          <w:rPr>
            <w:rStyle w:val="Hipercze"/>
            <w:noProof/>
          </w:rPr>
          <w:t>1.</w:t>
        </w:r>
        <w:r w:rsidR="007F4FA2">
          <w:rPr>
            <w:rFonts w:asciiTheme="minorHAnsi" w:eastAsiaTheme="minorEastAsia" w:hAnsiTheme="minorHAnsi" w:cstheme="minorBidi"/>
            <w:b w:val="0"/>
            <w:bCs w:val="0"/>
            <w:caps w:val="0"/>
            <w:noProof/>
            <w:color w:val="auto"/>
            <w:sz w:val="22"/>
            <w:szCs w:val="22"/>
            <w:lang w:eastAsia="pl-PL"/>
          </w:rPr>
          <w:tab/>
        </w:r>
        <w:r w:rsidR="007F4FA2" w:rsidRPr="00D61321">
          <w:rPr>
            <w:rStyle w:val="Hipercze"/>
            <w:noProof/>
          </w:rPr>
          <w:t>Strategia Wielkopolska 2020 potrzebuje aktualizacji</w:t>
        </w:r>
        <w:r w:rsidR="007F4FA2">
          <w:rPr>
            <w:noProof/>
            <w:webHidden/>
          </w:rPr>
          <w:tab/>
        </w:r>
        <w:r w:rsidR="007F4FA2">
          <w:rPr>
            <w:noProof/>
            <w:webHidden/>
          </w:rPr>
          <w:fldChar w:fldCharType="begin"/>
        </w:r>
        <w:r w:rsidR="007F4FA2">
          <w:rPr>
            <w:noProof/>
            <w:webHidden/>
          </w:rPr>
          <w:instrText xml:space="preserve"> PAGEREF _Toc5699441 \h </w:instrText>
        </w:r>
        <w:r w:rsidR="007F4FA2">
          <w:rPr>
            <w:noProof/>
            <w:webHidden/>
          </w:rPr>
        </w:r>
        <w:r w:rsidR="007F4FA2">
          <w:rPr>
            <w:noProof/>
            <w:webHidden/>
          </w:rPr>
          <w:fldChar w:fldCharType="separate"/>
        </w:r>
        <w:r w:rsidR="007F4FA2">
          <w:rPr>
            <w:noProof/>
            <w:webHidden/>
          </w:rPr>
          <w:t>20</w:t>
        </w:r>
        <w:r w:rsidR="007F4FA2">
          <w:rPr>
            <w:noProof/>
            <w:webHidden/>
          </w:rPr>
          <w:fldChar w:fldCharType="end"/>
        </w:r>
      </w:hyperlink>
    </w:p>
    <w:p w14:paraId="463E79C9" w14:textId="77777777" w:rsidR="007F4FA2" w:rsidRDefault="00C738EB">
      <w:pPr>
        <w:pStyle w:val="Spistreci2"/>
        <w:tabs>
          <w:tab w:val="left" w:pos="880"/>
          <w:tab w:val="right" w:leader="underscore" w:pos="9062"/>
        </w:tabs>
        <w:rPr>
          <w:rFonts w:asciiTheme="minorHAnsi" w:eastAsiaTheme="minorEastAsia" w:hAnsiTheme="minorHAnsi" w:cstheme="minorBidi"/>
          <w:smallCaps w:val="0"/>
          <w:noProof/>
          <w:color w:val="auto"/>
          <w:sz w:val="22"/>
          <w:szCs w:val="22"/>
          <w:lang w:eastAsia="pl-PL"/>
        </w:rPr>
      </w:pPr>
      <w:hyperlink w:anchor="_Toc5699442" w:history="1">
        <w:r w:rsidR="007F4FA2" w:rsidRPr="00D61321">
          <w:rPr>
            <w:rStyle w:val="Hipercze"/>
            <w:noProof/>
          </w:rPr>
          <w:t>1.1.</w:t>
        </w:r>
        <w:r w:rsidR="007F4FA2">
          <w:rPr>
            <w:rFonts w:asciiTheme="minorHAnsi" w:eastAsiaTheme="minorEastAsia" w:hAnsiTheme="minorHAnsi" w:cstheme="minorBidi"/>
            <w:smallCaps w:val="0"/>
            <w:noProof/>
            <w:color w:val="auto"/>
            <w:sz w:val="22"/>
            <w:szCs w:val="22"/>
            <w:lang w:eastAsia="pl-PL"/>
          </w:rPr>
          <w:tab/>
        </w:r>
        <w:r w:rsidR="007F4FA2" w:rsidRPr="00D61321">
          <w:rPr>
            <w:rStyle w:val="Hipercze"/>
            <w:noProof/>
          </w:rPr>
          <w:t>Aktualizacja jest odpowiedzią na różne uwarunkowania planowania strategicznego</w:t>
        </w:r>
        <w:r w:rsidR="007F4FA2">
          <w:rPr>
            <w:noProof/>
            <w:webHidden/>
          </w:rPr>
          <w:tab/>
        </w:r>
        <w:r w:rsidR="007F4FA2">
          <w:rPr>
            <w:noProof/>
            <w:webHidden/>
          </w:rPr>
          <w:fldChar w:fldCharType="begin"/>
        </w:r>
        <w:r w:rsidR="007F4FA2">
          <w:rPr>
            <w:noProof/>
            <w:webHidden/>
          </w:rPr>
          <w:instrText xml:space="preserve"> PAGEREF _Toc5699442 \h </w:instrText>
        </w:r>
        <w:r w:rsidR="007F4FA2">
          <w:rPr>
            <w:noProof/>
            <w:webHidden/>
          </w:rPr>
        </w:r>
        <w:r w:rsidR="007F4FA2">
          <w:rPr>
            <w:noProof/>
            <w:webHidden/>
          </w:rPr>
          <w:fldChar w:fldCharType="separate"/>
        </w:r>
        <w:r w:rsidR="007F4FA2">
          <w:rPr>
            <w:noProof/>
            <w:webHidden/>
          </w:rPr>
          <w:t>20</w:t>
        </w:r>
        <w:r w:rsidR="007F4FA2">
          <w:rPr>
            <w:noProof/>
            <w:webHidden/>
          </w:rPr>
          <w:fldChar w:fldCharType="end"/>
        </w:r>
      </w:hyperlink>
    </w:p>
    <w:p w14:paraId="65D2E4DD" w14:textId="77777777" w:rsidR="007F4FA2" w:rsidRDefault="00C738EB">
      <w:pPr>
        <w:pStyle w:val="Spistreci2"/>
        <w:tabs>
          <w:tab w:val="left" w:pos="880"/>
          <w:tab w:val="right" w:leader="underscore" w:pos="9062"/>
        </w:tabs>
        <w:rPr>
          <w:rFonts w:asciiTheme="minorHAnsi" w:eastAsiaTheme="minorEastAsia" w:hAnsiTheme="minorHAnsi" w:cstheme="minorBidi"/>
          <w:smallCaps w:val="0"/>
          <w:noProof/>
          <w:color w:val="auto"/>
          <w:sz w:val="22"/>
          <w:szCs w:val="22"/>
          <w:lang w:eastAsia="pl-PL"/>
        </w:rPr>
      </w:pPr>
      <w:hyperlink w:anchor="_Toc5699443" w:history="1">
        <w:r w:rsidR="007F4FA2" w:rsidRPr="00D61321">
          <w:rPr>
            <w:rStyle w:val="Hipercze"/>
            <w:noProof/>
          </w:rPr>
          <w:t>1.2.</w:t>
        </w:r>
        <w:r w:rsidR="007F4FA2">
          <w:rPr>
            <w:rFonts w:asciiTheme="minorHAnsi" w:eastAsiaTheme="minorEastAsia" w:hAnsiTheme="minorHAnsi" w:cstheme="minorBidi"/>
            <w:smallCaps w:val="0"/>
            <w:noProof/>
            <w:color w:val="auto"/>
            <w:sz w:val="22"/>
            <w:szCs w:val="22"/>
            <w:lang w:eastAsia="pl-PL"/>
          </w:rPr>
          <w:tab/>
        </w:r>
        <w:r w:rsidR="007F4FA2" w:rsidRPr="00D61321">
          <w:rPr>
            <w:rStyle w:val="Hipercze"/>
            <w:noProof/>
          </w:rPr>
          <w:t>Ewaluacja jako krok w kierunku aktualizacji Strategii</w:t>
        </w:r>
        <w:r w:rsidR="007F4FA2">
          <w:rPr>
            <w:noProof/>
            <w:webHidden/>
          </w:rPr>
          <w:tab/>
        </w:r>
        <w:r w:rsidR="007F4FA2">
          <w:rPr>
            <w:noProof/>
            <w:webHidden/>
          </w:rPr>
          <w:fldChar w:fldCharType="begin"/>
        </w:r>
        <w:r w:rsidR="007F4FA2">
          <w:rPr>
            <w:noProof/>
            <w:webHidden/>
          </w:rPr>
          <w:instrText xml:space="preserve"> PAGEREF _Toc5699443 \h </w:instrText>
        </w:r>
        <w:r w:rsidR="007F4FA2">
          <w:rPr>
            <w:noProof/>
            <w:webHidden/>
          </w:rPr>
        </w:r>
        <w:r w:rsidR="007F4FA2">
          <w:rPr>
            <w:noProof/>
            <w:webHidden/>
          </w:rPr>
          <w:fldChar w:fldCharType="separate"/>
        </w:r>
        <w:r w:rsidR="007F4FA2">
          <w:rPr>
            <w:noProof/>
            <w:webHidden/>
          </w:rPr>
          <w:t>20</w:t>
        </w:r>
        <w:r w:rsidR="007F4FA2">
          <w:rPr>
            <w:noProof/>
            <w:webHidden/>
          </w:rPr>
          <w:fldChar w:fldCharType="end"/>
        </w:r>
      </w:hyperlink>
    </w:p>
    <w:p w14:paraId="66A2F21C" w14:textId="77777777" w:rsidR="007F4FA2" w:rsidRDefault="00C738EB">
      <w:pPr>
        <w:pStyle w:val="Spistreci1"/>
        <w:tabs>
          <w:tab w:val="left" w:pos="440"/>
          <w:tab w:val="right" w:leader="underscore" w:pos="9062"/>
        </w:tabs>
        <w:rPr>
          <w:rFonts w:asciiTheme="minorHAnsi" w:eastAsiaTheme="minorEastAsia" w:hAnsiTheme="minorHAnsi" w:cstheme="minorBidi"/>
          <w:b w:val="0"/>
          <w:bCs w:val="0"/>
          <w:caps w:val="0"/>
          <w:noProof/>
          <w:color w:val="auto"/>
          <w:sz w:val="22"/>
          <w:szCs w:val="22"/>
          <w:lang w:eastAsia="pl-PL"/>
        </w:rPr>
      </w:pPr>
      <w:hyperlink w:anchor="_Toc5699444" w:history="1">
        <w:r w:rsidR="007F4FA2" w:rsidRPr="00D61321">
          <w:rPr>
            <w:rStyle w:val="Hipercze"/>
            <w:noProof/>
          </w:rPr>
          <w:t>2.</w:t>
        </w:r>
        <w:r w:rsidR="007F4FA2">
          <w:rPr>
            <w:rFonts w:asciiTheme="minorHAnsi" w:eastAsiaTheme="minorEastAsia" w:hAnsiTheme="minorHAnsi" w:cstheme="minorBidi"/>
            <w:b w:val="0"/>
            <w:bCs w:val="0"/>
            <w:caps w:val="0"/>
            <w:noProof/>
            <w:color w:val="auto"/>
            <w:sz w:val="22"/>
            <w:szCs w:val="22"/>
            <w:lang w:eastAsia="pl-PL"/>
          </w:rPr>
          <w:tab/>
        </w:r>
        <w:r w:rsidR="007F4FA2" w:rsidRPr="00D61321">
          <w:rPr>
            <w:rStyle w:val="Hipercze"/>
            <w:noProof/>
          </w:rPr>
          <w:t>Strategia Wielkopolska 2020 – ocena kluczowych elementów dokumentu</w:t>
        </w:r>
        <w:r w:rsidR="007F4FA2">
          <w:rPr>
            <w:noProof/>
            <w:webHidden/>
          </w:rPr>
          <w:tab/>
        </w:r>
        <w:r w:rsidR="007F4FA2">
          <w:rPr>
            <w:noProof/>
            <w:webHidden/>
          </w:rPr>
          <w:fldChar w:fldCharType="begin"/>
        </w:r>
        <w:r w:rsidR="007F4FA2">
          <w:rPr>
            <w:noProof/>
            <w:webHidden/>
          </w:rPr>
          <w:instrText xml:space="preserve"> PAGEREF _Toc5699444 \h </w:instrText>
        </w:r>
        <w:r w:rsidR="007F4FA2">
          <w:rPr>
            <w:noProof/>
            <w:webHidden/>
          </w:rPr>
        </w:r>
        <w:r w:rsidR="007F4FA2">
          <w:rPr>
            <w:noProof/>
            <w:webHidden/>
          </w:rPr>
          <w:fldChar w:fldCharType="separate"/>
        </w:r>
        <w:r w:rsidR="007F4FA2">
          <w:rPr>
            <w:noProof/>
            <w:webHidden/>
          </w:rPr>
          <w:t>24</w:t>
        </w:r>
        <w:r w:rsidR="007F4FA2">
          <w:rPr>
            <w:noProof/>
            <w:webHidden/>
          </w:rPr>
          <w:fldChar w:fldCharType="end"/>
        </w:r>
      </w:hyperlink>
    </w:p>
    <w:p w14:paraId="142F17BB" w14:textId="77777777" w:rsidR="007F4FA2" w:rsidRDefault="00C738EB">
      <w:pPr>
        <w:pStyle w:val="Spistreci2"/>
        <w:tabs>
          <w:tab w:val="left" w:pos="880"/>
          <w:tab w:val="right" w:leader="underscore" w:pos="9062"/>
        </w:tabs>
        <w:rPr>
          <w:rFonts w:asciiTheme="minorHAnsi" w:eastAsiaTheme="minorEastAsia" w:hAnsiTheme="minorHAnsi" w:cstheme="minorBidi"/>
          <w:smallCaps w:val="0"/>
          <w:noProof/>
          <w:color w:val="auto"/>
          <w:sz w:val="22"/>
          <w:szCs w:val="22"/>
          <w:lang w:eastAsia="pl-PL"/>
        </w:rPr>
      </w:pPr>
      <w:hyperlink w:anchor="_Toc5699445" w:history="1">
        <w:r w:rsidR="007F4FA2" w:rsidRPr="00D61321">
          <w:rPr>
            <w:rStyle w:val="Hipercze"/>
            <w:noProof/>
          </w:rPr>
          <w:t>2.1.</w:t>
        </w:r>
        <w:r w:rsidR="007F4FA2">
          <w:rPr>
            <w:rFonts w:asciiTheme="minorHAnsi" w:eastAsiaTheme="minorEastAsia" w:hAnsiTheme="minorHAnsi" w:cstheme="minorBidi"/>
            <w:smallCaps w:val="0"/>
            <w:noProof/>
            <w:color w:val="auto"/>
            <w:sz w:val="22"/>
            <w:szCs w:val="22"/>
            <w:lang w:eastAsia="pl-PL"/>
          </w:rPr>
          <w:tab/>
        </w:r>
        <w:r w:rsidR="007F4FA2" w:rsidRPr="00D61321">
          <w:rPr>
            <w:rStyle w:val="Hipercze"/>
            <w:noProof/>
          </w:rPr>
          <w:t>Paradygmat rozwoju Wielkopolski</w:t>
        </w:r>
        <w:r w:rsidR="007F4FA2">
          <w:rPr>
            <w:noProof/>
            <w:webHidden/>
          </w:rPr>
          <w:tab/>
        </w:r>
        <w:r w:rsidR="007F4FA2">
          <w:rPr>
            <w:noProof/>
            <w:webHidden/>
          </w:rPr>
          <w:fldChar w:fldCharType="begin"/>
        </w:r>
        <w:r w:rsidR="007F4FA2">
          <w:rPr>
            <w:noProof/>
            <w:webHidden/>
          </w:rPr>
          <w:instrText xml:space="preserve"> PAGEREF _Toc5699445 \h </w:instrText>
        </w:r>
        <w:r w:rsidR="007F4FA2">
          <w:rPr>
            <w:noProof/>
            <w:webHidden/>
          </w:rPr>
        </w:r>
        <w:r w:rsidR="007F4FA2">
          <w:rPr>
            <w:noProof/>
            <w:webHidden/>
          </w:rPr>
          <w:fldChar w:fldCharType="separate"/>
        </w:r>
        <w:r w:rsidR="007F4FA2">
          <w:rPr>
            <w:noProof/>
            <w:webHidden/>
          </w:rPr>
          <w:t>24</w:t>
        </w:r>
        <w:r w:rsidR="007F4FA2">
          <w:rPr>
            <w:noProof/>
            <w:webHidden/>
          </w:rPr>
          <w:fldChar w:fldCharType="end"/>
        </w:r>
      </w:hyperlink>
    </w:p>
    <w:p w14:paraId="6DAE2890"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446" w:history="1">
        <w:r w:rsidR="007F4FA2" w:rsidRPr="00D61321">
          <w:rPr>
            <w:rStyle w:val="Hipercze"/>
            <w:noProof/>
          </w:rPr>
          <w:t>2.1.1.</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Jeśli nie model dyfuzyjno-absorpcyjny, to jaki?</w:t>
        </w:r>
        <w:r w:rsidR="007F4FA2">
          <w:rPr>
            <w:noProof/>
            <w:webHidden/>
          </w:rPr>
          <w:tab/>
        </w:r>
        <w:r w:rsidR="007F4FA2">
          <w:rPr>
            <w:noProof/>
            <w:webHidden/>
          </w:rPr>
          <w:fldChar w:fldCharType="begin"/>
        </w:r>
        <w:r w:rsidR="007F4FA2">
          <w:rPr>
            <w:noProof/>
            <w:webHidden/>
          </w:rPr>
          <w:instrText xml:space="preserve"> PAGEREF _Toc5699446 \h </w:instrText>
        </w:r>
        <w:r w:rsidR="007F4FA2">
          <w:rPr>
            <w:noProof/>
            <w:webHidden/>
          </w:rPr>
        </w:r>
        <w:r w:rsidR="007F4FA2">
          <w:rPr>
            <w:noProof/>
            <w:webHidden/>
          </w:rPr>
          <w:fldChar w:fldCharType="separate"/>
        </w:r>
        <w:r w:rsidR="007F4FA2">
          <w:rPr>
            <w:noProof/>
            <w:webHidden/>
          </w:rPr>
          <w:t>24</w:t>
        </w:r>
        <w:r w:rsidR="007F4FA2">
          <w:rPr>
            <w:noProof/>
            <w:webHidden/>
          </w:rPr>
          <w:fldChar w:fldCharType="end"/>
        </w:r>
      </w:hyperlink>
    </w:p>
    <w:p w14:paraId="4D570F07"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447" w:history="1">
        <w:r w:rsidR="007F4FA2" w:rsidRPr="00D61321">
          <w:rPr>
            <w:rStyle w:val="Hipercze"/>
            <w:noProof/>
          </w:rPr>
          <w:t>2.1.2.</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Ocena kluczowych zagrożeń realizacji modelu rozwoju</w:t>
        </w:r>
        <w:r w:rsidR="007F4FA2">
          <w:rPr>
            <w:noProof/>
            <w:webHidden/>
          </w:rPr>
          <w:tab/>
        </w:r>
        <w:r w:rsidR="007F4FA2">
          <w:rPr>
            <w:noProof/>
            <w:webHidden/>
          </w:rPr>
          <w:fldChar w:fldCharType="begin"/>
        </w:r>
        <w:r w:rsidR="007F4FA2">
          <w:rPr>
            <w:noProof/>
            <w:webHidden/>
          </w:rPr>
          <w:instrText xml:space="preserve"> PAGEREF _Toc5699447 \h </w:instrText>
        </w:r>
        <w:r w:rsidR="007F4FA2">
          <w:rPr>
            <w:noProof/>
            <w:webHidden/>
          </w:rPr>
        </w:r>
        <w:r w:rsidR="007F4FA2">
          <w:rPr>
            <w:noProof/>
            <w:webHidden/>
          </w:rPr>
          <w:fldChar w:fldCharType="separate"/>
        </w:r>
        <w:r w:rsidR="007F4FA2">
          <w:rPr>
            <w:noProof/>
            <w:webHidden/>
          </w:rPr>
          <w:t>29</w:t>
        </w:r>
        <w:r w:rsidR="007F4FA2">
          <w:rPr>
            <w:noProof/>
            <w:webHidden/>
          </w:rPr>
          <w:fldChar w:fldCharType="end"/>
        </w:r>
      </w:hyperlink>
    </w:p>
    <w:p w14:paraId="1FE85CFB" w14:textId="77777777" w:rsidR="007F4FA2" w:rsidRDefault="00C738EB">
      <w:pPr>
        <w:pStyle w:val="Spistreci2"/>
        <w:tabs>
          <w:tab w:val="left" w:pos="880"/>
          <w:tab w:val="right" w:leader="underscore" w:pos="9062"/>
        </w:tabs>
        <w:rPr>
          <w:rFonts w:asciiTheme="minorHAnsi" w:eastAsiaTheme="minorEastAsia" w:hAnsiTheme="minorHAnsi" w:cstheme="minorBidi"/>
          <w:smallCaps w:val="0"/>
          <w:noProof/>
          <w:color w:val="auto"/>
          <w:sz w:val="22"/>
          <w:szCs w:val="22"/>
          <w:lang w:eastAsia="pl-PL"/>
        </w:rPr>
      </w:pPr>
      <w:hyperlink w:anchor="_Toc5699448" w:history="1">
        <w:r w:rsidR="007F4FA2" w:rsidRPr="00D61321">
          <w:rPr>
            <w:rStyle w:val="Hipercze"/>
            <w:noProof/>
          </w:rPr>
          <w:t>2.2.</w:t>
        </w:r>
        <w:r w:rsidR="007F4FA2">
          <w:rPr>
            <w:rFonts w:asciiTheme="minorHAnsi" w:eastAsiaTheme="minorEastAsia" w:hAnsiTheme="minorHAnsi" w:cstheme="minorBidi"/>
            <w:smallCaps w:val="0"/>
            <w:noProof/>
            <w:color w:val="auto"/>
            <w:sz w:val="22"/>
            <w:szCs w:val="22"/>
            <w:lang w:eastAsia="pl-PL"/>
          </w:rPr>
          <w:tab/>
        </w:r>
        <w:r w:rsidR="007F4FA2" w:rsidRPr="00D61321">
          <w:rPr>
            <w:rStyle w:val="Hipercze"/>
            <w:noProof/>
          </w:rPr>
          <w:t>Analiza SWOT</w:t>
        </w:r>
        <w:r w:rsidR="007F4FA2">
          <w:rPr>
            <w:noProof/>
            <w:webHidden/>
          </w:rPr>
          <w:tab/>
        </w:r>
        <w:r w:rsidR="007F4FA2">
          <w:rPr>
            <w:noProof/>
            <w:webHidden/>
          </w:rPr>
          <w:fldChar w:fldCharType="begin"/>
        </w:r>
        <w:r w:rsidR="007F4FA2">
          <w:rPr>
            <w:noProof/>
            <w:webHidden/>
          </w:rPr>
          <w:instrText xml:space="preserve"> PAGEREF _Toc5699448 \h </w:instrText>
        </w:r>
        <w:r w:rsidR="007F4FA2">
          <w:rPr>
            <w:noProof/>
            <w:webHidden/>
          </w:rPr>
        </w:r>
        <w:r w:rsidR="007F4FA2">
          <w:rPr>
            <w:noProof/>
            <w:webHidden/>
          </w:rPr>
          <w:fldChar w:fldCharType="separate"/>
        </w:r>
        <w:r w:rsidR="007F4FA2">
          <w:rPr>
            <w:noProof/>
            <w:webHidden/>
          </w:rPr>
          <w:t>29</w:t>
        </w:r>
        <w:r w:rsidR="007F4FA2">
          <w:rPr>
            <w:noProof/>
            <w:webHidden/>
          </w:rPr>
          <w:fldChar w:fldCharType="end"/>
        </w:r>
      </w:hyperlink>
    </w:p>
    <w:p w14:paraId="3043D011"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449" w:history="1">
        <w:r w:rsidR="007F4FA2" w:rsidRPr="00D61321">
          <w:rPr>
            <w:rStyle w:val="Hipercze"/>
            <w:noProof/>
          </w:rPr>
          <w:t>2.2.1.</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Weryfikacja dotychczasowych zapisów analizy SWOT</w:t>
        </w:r>
        <w:r w:rsidR="007F4FA2">
          <w:rPr>
            <w:noProof/>
            <w:webHidden/>
          </w:rPr>
          <w:tab/>
        </w:r>
        <w:r w:rsidR="007F4FA2">
          <w:rPr>
            <w:noProof/>
            <w:webHidden/>
          </w:rPr>
          <w:fldChar w:fldCharType="begin"/>
        </w:r>
        <w:r w:rsidR="007F4FA2">
          <w:rPr>
            <w:noProof/>
            <w:webHidden/>
          </w:rPr>
          <w:instrText xml:space="preserve"> PAGEREF _Toc5699449 \h </w:instrText>
        </w:r>
        <w:r w:rsidR="007F4FA2">
          <w:rPr>
            <w:noProof/>
            <w:webHidden/>
          </w:rPr>
        </w:r>
        <w:r w:rsidR="007F4FA2">
          <w:rPr>
            <w:noProof/>
            <w:webHidden/>
          </w:rPr>
          <w:fldChar w:fldCharType="separate"/>
        </w:r>
        <w:r w:rsidR="007F4FA2">
          <w:rPr>
            <w:noProof/>
            <w:webHidden/>
          </w:rPr>
          <w:t>30</w:t>
        </w:r>
        <w:r w:rsidR="007F4FA2">
          <w:rPr>
            <w:noProof/>
            <w:webHidden/>
          </w:rPr>
          <w:fldChar w:fldCharType="end"/>
        </w:r>
      </w:hyperlink>
    </w:p>
    <w:p w14:paraId="3491EF92"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450" w:history="1">
        <w:r w:rsidR="007F4FA2" w:rsidRPr="00D61321">
          <w:rPr>
            <w:rStyle w:val="Hipercze"/>
            <w:noProof/>
          </w:rPr>
          <w:t>2.2.2.</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Zmodyfikowana analiza SWOT</w:t>
        </w:r>
        <w:r w:rsidR="007F4FA2">
          <w:rPr>
            <w:noProof/>
            <w:webHidden/>
          </w:rPr>
          <w:tab/>
        </w:r>
        <w:r w:rsidR="007F4FA2">
          <w:rPr>
            <w:noProof/>
            <w:webHidden/>
          </w:rPr>
          <w:fldChar w:fldCharType="begin"/>
        </w:r>
        <w:r w:rsidR="007F4FA2">
          <w:rPr>
            <w:noProof/>
            <w:webHidden/>
          </w:rPr>
          <w:instrText xml:space="preserve"> PAGEREF _Toc5699450 \h </w:instrText>
        </w:r>
        <w:r w:rsidR="007F4FA2">
          <w:rPr>
            <w:noProof/>
            <w:webHidden/>
          </w:rPr>
        </w:r>
        <w:r w:rsidR="007F4FA2">
          <w:rPr>
            <w:noProof/>
            <w:webHidden/>
          </w:rPr>
          <w:fldChar w:fldCharType="separate"/>
        </w:r>
        <w:r w:rsidR="007F4FA2">
          <w:rPr>
            <w:noProof/>
            <w:webHidden/>
          </w:rPr>
          <w:t>37</w:t>
        </w:r>
        <w:r w:rsidR="007F4FA2">
          <w:rPr>
            <w:noProof/>
            <w:webHidden/>
          </w:rPr>
          <w:fldChar w:fldCharType="end"/>
        </w:r>
      </w:hyperlink>
    </w:p>
    <w:p w14:paraId="5DA0943F"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451" w:history="1">
        <w:r w:rsidR="007F4FA2" w:rsidRPr="00D61321">
          <w:rPr>
            <w:rStyle w:val="Hipercze"/>
            <w:noProof/>
          </w:rPr>
          <w:t>2.2.3.</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Analiza SWOT/TOWS</w:t>
        </w:r>
        <w:r w:rsidR="007F4FA2">
          <w:rPr>
            <w:noProof/>
            <w:webHidden/>
          </w:rPr>
          <w:tab/>
        </w:r>
        <w:r w:rsidR="007F4FA2">
          <w:rPr>
            <w:noProof/>
            <w:webHidden/>
          </w:rPr>
          <w:fldChar w:fldCharType="begin"/>
        </w:r>
        <w:r w:rsidR="007F4FA2">
          <w:rPr>
            <w:noProof/>
            <w:webHidden/>
          </w:rPr>
          <w:instrText xml:space="preserve"> PAGEREF _Toc5699451 \h </w:instrText>
        </w:r>
        <w:r w:rsidR="007F4FA2">
          <w:rPr>
            <w:noProof/>
            <w:webHidden/>
          </w:rPr>
        </w:r>
        <w:r w:rsidR="007F4FA2">
          <w:rPr>
            <w:noProof/>
            <w:webHidden/>
          </w:rPr>
          <w:fldChar w:fldCharType="separate"/>
        </w:r>
        <w:r w:rsidR="007F4FA2">
          <w:rPr>
            <w:noProof/>
            <w:webHidden/>
          </w:rPr>
          <w:t>39</w:t>
        </w:r>
        <w:r w:rsidR="007F4FA2">
          <w:rPr>
            <w:noProof/>
            <w:webHidden/>
          </w:rPr>
          <w:fldChar w:fldCharType="end"/>
        </w:r>
      </w:hyperlink>
    </w:p>
    <w:p w14:paraId="7464176A" w14:textId="77777777" w:rsidR="007F4FA2" w:rsidRDefault="00C738EB">
      <w:pPr>
        <w:pStyle w:val="Spistreci2"/>
        <w:tabs>
          <w:tab w:val="left" w:pos="880"/>
          <w:tab w:val="right" w:leader="underscore" w:pos="9062"/>
        </w:tabs>
        <w:rPr>
          <w:rFonts w:asciiTheme="minorHAnsi" w:eastAsiaTheme="minorEastAsia" w:hAnsiTheme="minorHAnsi" w:cstheme="minorBidi"/>
          <w:smallCaps w:val="0"/>
          <w:noProof/>
          <w:color w:val="auto"/>
          <w:sz w:val="22"/>
          <w:szCs w:val="22"/>
          <w:lang w:eastAsia="pl-PL"/>
        </w:rPr>
      </w:pPr>
      <w:hyperlink w:anchor="_Toc5699452" w:history="1">
        <w:r w:rsidR="007F4FA2" w:rsidRPr="00D61321">
          <w:rPr>
            <w:rStyle w:val="Hipercze"/>
            <w:noProof/>
          </w:rPr>
          <w:t>2.3.</w:t>
        </w:r>
        <w:r w:rsidR="007F4FA2">
          <w:rPr>
            <w:rFonts w:asciiTheme="minorHAnsi" w:eastAsiaTheme="minorEastAsia" w:hAnsiTheme="minorHAnsi" w:cstheme="minorBidi"/>
            <w:smallCaps w:val="0"/>
            <w:noProof/>
            <w:color w:val="auto"/>
            <w:sz w:val="22"/>
            <w:szCs w:val="22"/>
            <w:lang w:eastAsia="pl-PL"/>
          </w:rPr>
          <w:tab/>
        </w:r>
        <w:r w:rsidR="007F4FA2" w:rsidRPr="00D61321">
          <w:rPr>
            <w:rStyle w:val="Hipercze"/>
            <w:noProof/>
          </w:rPr>
          <w:t>Cele Strategii</w:t>
        </w:r>
        <w:r w:rsidR="007F4FA2">
          <w:rPr>
            <w:noProof/>
            <w:webHidden/>
          </w:rPr>
          <w:tab/>
        </w:r>
        <w:r w:rsidR="007F4FA2">
          <w:rPr>
            <w:noProof/>
            <w:webHidden/>
          </w:rPr>
          <w:fldChar w:fldCharType="begin"/>
        </w:r>
        <w:r w:rsidR="007F4FA2">
          <w:rPr>
            <w:noProof/>
            <w:webHidden/>
          </w:rPr>
          <w:instrText xml:space="preserve"> PAGEREF _Toc5699452 \h </w:instrText>
        </w:r>
        <w:r w:rsidR="007F4FA2">
          <w:rPr>
            <w:noProof/>
            <w:webHidden/>
          </w:rPr>
        </w:r>
        <w:r w:rsidR="007F4FA2">
          <w:rPr>
            <w:noProof/>
            <w:webHidden/>
          </w:rPr>
          <w:fldChar w:fldCharType="separate"/>
        </w:r>
        <w:r w:rsidR="007F4FA2">
          <w:rPr>
            <w:noProof/>
            <w:webHidden/>
          </w:rPr>
          <w:t>42</w:t>
        </w:r>
        <w:r w:rsidR="007F4FA2">
          <w:rPr>
            <w:noProof/>
            <w:webHidden/>
          </w:rPr>
          <w:fldChar w:fldCharType="end"/>
        </w:r>
      </w:hyperlink>
    </w:p>
    <w:p w14:paraId="3EE3383E"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453" w:history="1">
        <w:r w:rsidR="007F4FA2" w:rsidRPr="00D61321">
          <w:rPr>
            <w:rStyle w:val="Hipercze"/>
            <w:noProof/>
          </w:rPr>
          <w:t>2.3.1.</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Cel generalny i jego istota</w:t>
        </w:r>
        <w:r w:rsidR="007F4FA2">
          <w:rPr>
            <w:noProof/>
            <w:webHidden/>
          </w:rPr>
          <w:tab/>
        </w:r>
        <w:r w:rsidR="007F4FA2">
          <w:rPr>
            <w:noProof/>
            <w:webHidden/>
          </w:rPr>
          <w:fldChar w:fldCharType="begin"/>
        </w:r>
        <w:r w:rsidR="007F4FA2">
          <w:rPr>
            <w:noProof/>
            <w:webHidden/>
          </w:rPr>
          <w:instrText xml:space="preserve"> PAGEREF _Toc5699453 \h </w:instrText>
        </w:r>
        <w:r w:rsidR="007F4FA2">
          <w:rPr>
            <w:noProof/>
            <w:webHidden/>
          </w:rPr>
        </w:r>
        <w:r w:rsidR="007F4FA2">
          <w:rPr>
            <w:noProof/>
            <w:webHidden/>
          </w:rPr>
          <w:fldChar w:fldCharType="separate"/>
        </w:r>
        <w:r w:rsidR="007F4FA2">
          <w:rPr>
            <w:noProof/>
            <w:webHidden/>
          </w:rPr>
          <w:t>43</w:t>
        </w:r>
        <w:r w:rsidR="007F4FA2">
          <w:rPr>
            <w:noProof/>
            <w:webHidden/>
          </w:rPr>
          <w:fldChar w:fldCharType="end"/>
        </w:r>
      </w:hyperlink>
    </w:p>
    <w:p w14:paraId="2DF16A62"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454" w:history="1">
        <w:r w:rsidR="007F4FA2" w:rsidRPr="00D61321">
          <w:rPr>
            <w:rStyle w:val="Hipercze"/>
            <w:noProof/>
          </w:rPr>
          <w:t>2.3.2.</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Postępy w realizacji celów strategicznych</w:t>
        </w:r>
        <w:r w:rsidR="007F4FA2">
          <w:rPr>
            <w:noProof/>
            <w:webHidden/>
          </w:rPr>
          <w:tab/>
        </w:r>
        <w:r w:rsidR="007F4FA2">
          <w:rPr>
            <w:noProof/>
            <w:webHidden/>
          </w:rPr>
          <w:fldChar w:fldCharType="begin"/>
        </w:r>
        <w:r w:rsidR="007F4FA2">
          <w:rPr>
            <w:noProof/>
            <w:webHidden/>
          </w:rPr>
          <w:instrText xml:space="preserve"> PAGEREF _Toc5699454 \h </w:instrText>
        </w:r>
        <w:r w:rsidR="007F4FA2">
          <w:rPr>
            <w:noProof/>
            <w:webHidden/>
          </w:rPr>
        </w:r>
        <w:r w:rsidR="007F4FA2">
          <w:rPr>
            <w:noProof/>
            <w:webHidden/>
          </w:rPr>
          <w:fldChar w:fldCharType="separate"/>
        </w:r>
        <w:r w:rsidR="007F4FA2">
          <w:rPr>
            <w:noProof/>
            <w:webHidden/>
          </w:rPr>
          <w:t>44</w:t>
        </w:r>
        <w:r w:rsidR="007F4FA2">
          <w:rPr>
            <w:noProof/>
            <w:webHidden/>
          </w:rPr>
          <w:fldChar w:fldCharType="end"/>
        </w:r>
      </w:hyperlink>
    </w:p>
    <w:p w14:paraId="218AEC7F"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455" w:history="1">
        <w:r w:rsidR="007F4FA2" w:rsidRPr="00D61321">
          <w:rPr>
            <w:rStyle w:val="Hipercze"/>
            <w:noProof/>
          </w:rPr>
          <w:t>2.3.3.</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Zasady horyzontalne realizacji celów</w:t>
        </w:r>
        <w:r w:rsidR="007F4FA2">
          <w:rPr>
            <w:noProof/>
            <w:webHidden/>
          </w:rPr>
          <w:tab/>
        </w:r>
        <w:r w:rsidR="007F4FA2">
          <w:rPr>
            <w:noProof/>
            <w:webHidden/>
          </w:rPr>
          <w:fldChar w:fldCharType="begin"/>
        </w:r>
        <w:r w:rsidR="007F4FA2">
          <w:rPr>
            <w:noProof/>
            <w:webHidden/>
          </w:rPr>
          <w:instrText xml:space="preserve"> PAGEREF _Toc5699455 \h </w:instrText>
        </w:r>
        <w:r w:rsidR="007F4FA2">
          <w:rPr>
            <w:noProof/>
            <w:webHidden/>
          </w:rPr>
        </w:r>
        <w:r w:rsidR="007F4FA2">
          <w:rPr>
            <w:noProof/>
            <w:webHidden/>
          </w:rPr>
          <w:fldChar w:fldCharType="separate"/>
        </w:r>
        <w:r w:rsidR="007F4FA2">
          <w:rPr>
            <w:noProof/>
            <w:webHidden/>
          </w:rPr>
          <w:t>48</w:t>
        </w:r>
        <w:r w:rsidR="007F4FA2">
          <w:rPr>
            <w:noProof/>
            <w:webHidden/>
          </w:rPr>
          <w:fldChar w:fldCharType="end"/>
        </w:r>
      </w:hyperlink>
    </w:p>
    <w:p w14:paraId="699F9522" w14:textId="77777777" w:rsidR="007F4FA2" w:rsidRDefault="00C738EB">
      <w:pPr>
        <w:pStyle w:val="Spistreci1"/>
        <w:tabs>
          <w:tab w:val="left" w:pos="440"/>
          <w:tab w:val="right" w:leader="underscore" w:pos="9062"/>
        </w:tabs>
        <w:rPr>
          <w:rFonts w:asciiTheme="minorHAnsi" w:eastAsiaTheme="minorEastAsia" w:hAnsiTheme="minorHAnsi" w:cstheme="minorBidi"/>
          <w:b w:val="0"/>
          <w:bCs w:val="0"/>
          <w:caps w:val="0"/>
          <w:noProof/>
          <w:color w:val="auto"/>
          <w:sz w:val="22"/>
          <w:szCs w:val="22"/>
          <w:lang w:eastAsia="pl-PL"/>
        </w:rPr>
      </w:pPr>
      <w:hyperlink w:anchor="_Toc5699456" w:history="1">
        <w:r w:rsidR="007F4FA2" w:rsidRPr="00D61321">
          <w:rPr>
            <w:rStyle w:val="Hipercze"/>
            <w:noProof/>
          </w:rPr>
          <w:t>3.</w:t>
        </w:r>
        <w:r w:rsidR="007F4FA2">
          <w:rPr>
            <w:rFonts w:asciiTheme="minorHAnsi" w:eastAsiaTheme="minorEastAsia" w:hAnsiTheme="minorHAnsi" w:cstheme="minorBidi"/>
            <w:b w:val="0"/>
            <w:bCs w:val="0"/>
            <w:caps w:val="0"/>
            <w:noProof/>
            <w:color w:val="auto"/>
            <w:sz w:val="22"/>
            <w:szCs w:val="22"/>
            <w:lang w:eastAsia="pl-PL"/>
          </w:rPr>
          <w:tab/>
        </w:r>
        <w:r w:rsidR="007F4FA2" w:rsidRPr="00D61321">
          <w:rPr>
            <w:rStyle w:val="Hipercze"/>
            <w:noProof/>
          </w:rPr>
          <w:t>Środki na rzecz realizacji Strategii</w:t>
        </w:r>
        <w:r w:rsidR="007F4FA2">
          <w:rPr>
            <w:noProof/>
            <w:webHidden/>
          </w:rPr>
          <w:tab/>
        </w:r>
        <w:r w:rsidR="007F4FA2">
          <w:rPr>
            <w:noProof/>
            <w:webHidden/>
          </w:rPr>
          <w:fldChar w:fldCharType="begin"/>
        </w:r>
        <w:r w:rsidR="007F4FA2">
          <w:rPr>
            <w:noProof/>
            <w:webHidden/>
          </w:rPr>
          <w:instrText xml:space="preserve"> PAGEREF _Toc5699456 \h </w:instrText>
        </w:r>
        <w:r w:rsidR="007F4FA2">
          <w:rPr>
            <w:noProof/>
            <w:webHidden/>
          </w:rPr>
        </w:r>
        <w:r w:rsidR="007F4FA2">
          <w:rPr>
            <w:noProof/>
            <w:webHidden/>
          </w:rPr>
          <w:fldChar w:fldCharType="separate"/>
        </w:r>
        <w:r w:rsidR="007F4FA2">
          <w:rPr>
            <w:noProof/>
            <w:webHidden/>
          </w:rPr>
          <w:t>51</w:t>
        </w:r>
        <w:r w:rsidR="007F4FA2">
          <w:rPr>
            <w:noProof/>
            <w:webHidden/>
          </w:rPr>
          <w:fldChar w:fldCharType="end"/>
        </w:r>
      </w:hyperlink>
    </w:p>
    <w:p w14:paraId="2A2920C1" w14:textId="77777777" w:rsidR="007F4FA2" w:rsidRDefault="00C738EB">
      <w:pPr>
        <w:pStyle w:val="Spistreci2"/>
        <w:tabs>
          <w:tab w:val="left" w:pos="880"/>
          <w:tab w:val="right" w:leader="underscore" w:pos="9062"/>
        </w:tabs>
        <w:rPr>
          <w:rFonts w:asciiTheme="minorHAnsi" w:eastAsiaTheme="minorEastAsia" w:hAnsiTheme="minorHAnsi" w:cstheme="minorBidi"/>
          <w:smallCaps w:val="0"/>
          <w:noProof/>
          <w:color w:val="auto"/>
          <w:sz w:val="22"/>
          <w:szCs w:val="22"/>
          <w:lang w:eastAsia="pl-PL"/>
        </w:rPr>
      </w:pPr>
      <w:hyperlink w:anchor="_Toc5699457" w:history="1">
        <w:r w:rsidR="007F4FA2" w:rsidRPr="00D61321">
          <w:rPr>
            <w:rStyle w:val="Hipercze"/>
            <w:noProof/>
          </w:rPr>
          <w:t>3.1.</w:t>
        </w:r>
        <w:r w:rsidR="007F4FA2">
          <w:rPr>
            <w:rFonts w:asciiTheme="minorHAnsi" w:eastAsiaTheme="minorEastAsia" w:hAnsiTheme="minorHAnsi" w:cstheme="minorBidi"/>
            <w:smallCaps w:val="0"/>
            <w:noProof/>
            <w:color w:val="auto"/>
            <w:sz w:val="22"/>
            <w:szCs w:val="22"/>
            <w:lang w:eastAsia="pl-PL"/>
          </w:rPr>
          <w:tab/>
        </w:r>
        <w:r w:rsidR="007F4FA2" w:rsidRPr="00D61321">
          <w:rPr>
            <w:rStyle w:val="Hipercze"/>
            <w:noProof/>
          </w:rPr>
          <w:t>Środki finansowe prorozwojowe</w:t>
        </w:r>
        <w:r w:rsidR="007F4FA2">
          <w:rPr>
            <w:noProof/>
            <w:webHidden/>
          </w:rPr>
          <w:tab/>
        </w:r>
        <w:r w:rsidR="007F4FA2">
          <w:rPr>
            <w:noProof/>
            <w:webHidden/>
          </w:rPr>
          <w:fldChar w:fldCharType="begin"/>
        </w:r>
        <w:r w:rsidR="007F4FA2">
          <w:rPr>
            <w:noProof/>
            <w:webHidden/>
          </w:rPr>
          <w:instrText xml:space="preserve"> PAGEREF _Toc5699457 \h </w:instrText>
        </w:r>
        <w:r w:rsidR="007F4FA2">
          <w:rPr>
            <w:noProof/>
            <w:webHidden/>
          </w:rPr>
        </w:r>
        <w:r w:rsidR="007F4FA2">
          <w:rPr>
            <w:noProof/>
            <w:webHidden/>
          </w:rPr>
          <w:fldChar w:fldCharType="separate"/>
        </w:r>
        <w:r w:rsidR="007F4FA2">
          <w:rPr>
            <w:noProof/>
            <w:webHidden/>
          </w:rPr>
          <w:t>51</w:t>
        </w:r>
        <w:r w:rsidR="007F4FA2">
          <w:rPr>
            <w:noProof/>
            <w:webHidden/>
          </w:rPr>
          <w:fldChar w:fldCharType="end"/>
        </w:r>
      </w:hyperlink>
    </w:p>
    <w:p w14:paraId="06DA5912"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458" w:history="1">
        <w:r w:rsidR="007F4FA2" w:rsidRPr="00D61321">
          <w:rPr>
            <w:rStyle w:val="Hipercze"/>
            <w:noProof/>
          </w:rPr>
          <w:t>3.1.1.</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W poszukiwaniu nowych źródeł finansowania</w:t>
        </w:r>
        <w:r w:rsidR="007F4FA2">
          <w:rPr>
            <w:noProof/>
            <w:webHidden/>
          </w:rPr>
          <w:tab/>
        </w:r>
        <w:r w:rsidR="007F4FA2">
          <w:rPr>
            <w:noProof/>
            <w:webHidden/>
          </w:rPr>
          <w:fldChar w:fldCharType="begin"/>
        </w:r>
        <w:r w:rsidR="007F4FA2">
          <w:rPr>
            <w:noProof/>
            <w:webHidden/>
          </w:rPr>
          <w:instrText xml:space="preserve"> PAGEREF _Toc5699458 \h </w:instrText>
        </w:r>
        <w:r w:rsidR="007F4FA2">
          <w:rPr>
            <w:noProof/>
            <w:webHidden/>
          </w:rPr>
        </w:r>
        <w:r w:rsidR="007F4FA2">
          <w:rPr>
            <w:noProof/>
            <w:webHidden/>
          </w:rPr>
          <w:fldChar w:fldCharType="separate"/>
        </w:r>
        <w:r w:rsidR="007F4FA2">
          <w:rPr>
            <w:noProof/>
            <w:webHidden/>
          </w:rPr>
          <w:t>54</w:t>
        </w:r>
        <w:r w:rsidR="007F4FA2">
          <w:rPr>
            <w:noProof/>
            <w:webHidden/>
          </w:rPr>
          <w:fldChar w:fldCharType="end"/>
        </w:r>
      </w:hyperlink>
    </w:p>
    <w:p w14:paraId="0197A990"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459" w:history="1">
        <w:r w:rsidR="007F4FA2" w:rsidRPr="00D61321">
          <w:rPr>
            <w:rStyle w:val="Hipercze"/>
            <w:noProof/>
          </w:rPr>
          <w:t>3.1.2.</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Obszary zwiększających się potrzeb</w:t>
        </w:r>
        <w:r w:rsidR="007F4FA2">
          <w:rPr>
            <w:noProof/>
            <w:webHidden/>
          </w:rPr>
          <w:tab/>
        </w:r>
        <w:r w:rsidR="007F4FA2">
          <w:rPr>
            <w:noProof/>
            <w:webHidden/>
          </w:rPr>
          <w:fldChar w:fldCharType="begin"/>
        </w:r>
        <w:r w:rsidR="007F4FA2">
          <w:rPr>
            <w:noProof/>
            <w:webHidden/>
          </w:rPr>
          <w:instrText xml:space="preserve"> PAGEREF _Toc5699459 \h </w:instrText>
        </w:r>
        <w:r w:rsidR="007F4FA2">
          <w:rPr>
            <w:noProof/>
            <w:webHidden/>
          </w:rPr>
        </w:r>
        <w:r w:rsidR="007F4FA2">
          <w:rPr>
            <w:noProof/>
            <w:webHidden/>
          </w:rPr>
          <w:fldChar w:fldCharType="separate"/>
        </w:r>
        <w:r w:rsidR="007F4FA2">
          <w:rPr>
            <w:noProof/>
            <w:webHidden/>
          </w:rPr>
          <w:t>56</w:t>
        </w:r>
        <w:r w:rsidR="007F4FA2">
          <w:rPr>
            <w:noProof/>
            <w:webHidden/>
          </w:rPr>
          <w:fldChar w:fldCharType="end"/>
        </w:r>
      </w:hyperlink>
    </w:p>
    <w:p w14:paraId="32509842"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460" w:history="1">
        <w:r w:rsidR="007F4FA2" w:rsidRPr="00D61321">
          <w:rPr>
            <w:rStyle w:val="Hipercze"/>
            <w:noProof/>
          </w:rPr>
          <w:t>3.1.3.</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Czy wykorzystywane są wszystkie możliwości?</w:t>
        </w:r>
        <w:r w:rsidR="007F4FA2">
          <w:rPr>
            <w:noProof/>
            <w:webHidden/>
          </w:rPr>
          <w:tab/>
        </w:r>
        <w:r w:rsidR="007F4FA2">
          <w:rPr>
            <w:noProof/>
            <w:webHidden/>
          </w:rPr>
          <w:fldChar w:fldCharType="begin"/>
        </w:r>
        <w:r w:rsidR="007F4FA2">
          <w:rPr>
            <w:noProof/>
            <w:webHidden/>
          </w:rPr>
          <w:instrText xml:space="preserve"> PAGEREF _Toc5699460 \h </w:instrText>
        </w:r>
        <w:r w:rsidR="007F4FA2">
          <w:rPr>
            <w:noProof/>
            <w:webHidden/>
          </w:rPr>
        </w:r>
        <w:r w:rsidR="007F4FA2">
          <w:rPr>
            <w:noProof/>
            <w:webHidden/>
          </w:rPr>
          <w:fldChar w:fldCharType="separate"/>
        </w:r>
        <w:r w:rsidR="007F4FA2">
          <w:rPr>
            <w:noProof/>
            <w:webHidden/>
          </w:rPr>
          <w:t>57</w:t>
        </w:r>
        <w:r w:rsidR="007F4FA2">
          <w:rPr>
            <w:noProof/>
            <w:webHidden/>
          </w:rPr>
          <w:fldChar w:fldCharType="end"/>
        </w:r>
      </w:hyperlink>
    </w:p>
    <w:p w14:paraId="58EDF67D"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461" w:history="1">
        <w:r w:rsidR="007F4FA2" w:rsidRPr="00D61321">
          <w:rPr>
            <w:rStyle w:val="Hipercze"/>
            <w:noProof/>
          </w:rPr>
          <w:t>3.1.4.</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Nakłady finansowe o efekcie rozwojowym</w:t>
        </w:r>
        <w:r w:rsidR="007F4FA2">
          <w:rPr>
            <w:noProof/>
            <w:webHidden/>
          </w:rPr>
          <w:tab/>
        </w:r>
        <w:r w:rsidR="007F4FA2">
          <w:rPr>
            <w:noProof/>
            <w:webHidden/>
          </w:rPr>
          <w:fldChar w:fldCharType="begin"/>
        </w:r>
        <w:r w:rsidR="007F4FA2">
          <w:rPr>
            <w:noProof/>
            <w:webHidden/>
          </w:rPr>
          <w:instrText xml:space="preserve"> PAGEREF _Toc5699461 \h </w:instrText>
        </w:r>
        <w:r w:rsidR="007F4FA2">
          <w:rPr>
            <w:noProof/>
            <w:webHidden/>
          </w:rPr>
        </w:r>
        <w:r w:rsidR="007F4FA2">
          <w:rPr>
            <w:noProof/>
            <w:webHidden/>
          </w:rPr>
          <w:fldChar w:fldCharType="separate"/>
        </w:r>
        <w:r w:rsidR="007F4FA2">
          <w:rPr>
            <w:noProof/>
            <w:webHidden/>
          </w:rPr>
          <w:t>58</w:t>
        </w:r>
        <w:r w:rsidR="007F4FA2">
          <w:rPr>
            <w:noProof/>
            <w:webHidden/>
          </w:rPr>
          <w:fldChar w:fldCharType="end"/>
        </w:r>
      </w:hyperlink>
    </w:p>
    <w:p w14:paraId="3C160EF0" w14:textId="77777777" w:rsidR="007F4FA2" w:rsidRDefault="00C738EB">
      <w:pPr>
        <w:pStyle w:val="Spistreci2"/>
        <w:tabs>
          <w:tab w:val="left" w:pos="880"/>
          <w:tab w:val="right" w:leader="underscore" w:pos="9062"/>
        </w:tabs>
        <w:rPr>
          <w:rFonts w:asciiTheme="minorHAnsi" w:eastAsiaTheme="minorEastAsia" w:hAnsiTheme="minorHAnsi" w:cstheme="minorBidi"/>
          <w:smallCaps w:val="0"/>
          <w:noProof/>
          <w:color w:val="auto"/>
          <w:sz w:val="22"/>
          <w:szCs w:val="22"/>
          <w:lang w:eastAsia="pl-PL"/>
        </w:rPr>
      </w:pPr>
      <w:hyperlink w:anchor="_Toc5699462" w:history="1">
        <w:r w:rsidR="007F4FA2" w:rsidRPr="00D61321">
          <w:rPr>
            <w:rStyle w:val="Hipercze"/>
            <w:noProof/>
          </w:rPr>
          <w:t>3.2.</w:t>
        </w:r>
        <w:r w:rsidR="007F4FA2">
          <w:rPr>
            <w:rFonts w:asciiTheme="minorHAnsi" w:eastAsiaTheme="minorEastAsia" w:hAnsiTheme="minorHAnsi" w:cstheme="minorBidi"/>
            <w:smallCaps w:val="0"/>
            <w:noProof/>
            <w:color w:val="auto"/>
            <w:sz w:val="22"/>
            <w:szCs w:val="22"/>
            <w:lang w:eastAsia="pl-PL"/>
          </w:rPr>
          <w:tab/>
        </w:r>
        <w:r w:rsidR="007F4FA2" w:rsidRPr="00D61321">
          <w:rPr>
            <w:rStyle w:val="Hipercze"/>
            <w:noProof/>
          </w:rPr>
          <w:t>Zasoby pozafinansowe</w:t>
        </w:r>
        <w:r w:rsidR="007F4FA2">
          <w:rPr>
            <w:noProof/>
            <w:webHidden/>
          </w:rPr>
          <w:tab/>
        </w:r>
        <w:r w:rsidR="007F4FA2">
          <w:rPr>
            <w:noProof/>
            <w:webHidden/>
          </w:rPr>
          <w:fldChar w:fldCharType="begin"/>
        </w:r>
        <w:r w:rsidR="007F4FA2">
          <w:rPr>
            <w:noProof/>
            <w:webHidden/>
          </w:rPr>
          <w:instrText xml:space="preserve"> PAGEREF _Toc5699462 \h </w:instrText>
        </w:r>
        <w:r w:rsidR="007F4FA2">
          <w:rPr>
            <w:noProof/>
            <w:webHidden/>
          </w:rPr>
        </w:r>
        <w:r w:rsidR="007F4FA2">
          <w:rPr>
            <w:noProof/>
            <w:webHidden/>
          </w:rPr>
          <w:fldChar w:fldCharType="separate"/>
        </w:r>
        <w:r w:rsidR="007F4FA2">
          <w:rPr>
            <w:noProof/>
            <w:webHidden/>
          </w:rPr>
          <w:t>59</w:t>
        </w:r>
        <w:r w:rsidR="007F4FA2">
          <w:rPr>
            <w:noProof/>
            <w:webHidden/>
          </w:rPr>
          <w:fldChar w:fldCharType="end"/>
        </w:r>
      </w:hyperlink>
    </w:p>
    <w:p w14:paraId="3547D02D" w14:textId="77777777" w:rsidR="007F4FA2" w:rsidRDefault="00C738EB">
      <w:pPr>
        <w:pStyle w:val="Spistreci2"/>
        <w:tabs>
          <w:tab w:val="left" w:pos="880"/>
          <w:tab w:val="right" w:leader="underscore" w:pos="9062"/>
        </w:tabs>
        <w:rPr>
          <w:rFonts w:asciiTheme="minorHAnsi" w:eastAsiaTheme="minorEastAsia" w:hAnsiTheme="minorHAnsi" w:cstheme="minorBidi"/>
          <w:smallCaps w:val="0"/>
          <w:noProof/>
          <w:color w:val="auto"/>
          <w:sz w:val="22"/>
          <w:szCs w:val="22"/>
          <w:lang w:eastAsia="pl-PL"/>
        </w:rPr>
      </w:pPr>
      <w:hyperlink w:anchor="_Toc5699463" w:history="1">
        <w:r w:rsidR="007F4FA2" w:rsidRPr="00D61321">
          <w:rPr>
            <w:rStyle w:val="Hipercze"/>
            <w:noProof/>
          </w:rPr>
          <w:t>3.3.</w:t>
        </w:r>
        <w:r w:rsidR="007F4FA2">
          <w:rPr>
            <w:rFonts w:asciiTheme="minorHAnsi" w:eastAsiaTheme="minorEastAsia" w:hAnsiTheme="minorHAnsi" w:cstheme="minorBidi"/>
            <w:smallCaps w:val="0"/>
            <w:noProof/>
            <w:color w:val="auto"/>
            <w:sz w:val="22"/>
            <w:szCs w:val="22"/>
            <w:lang w:eastAsia="pl-PL"/>
          </w:rPr>
          <w:tab/>
        </w:r>
        <w:r w:rsidR="007F4FA2" w:rsidRPr="00D61321">
          <w:rPr>
            <w:rStyle w:val="Hipercze"/>
            <w:noProof/>
          </w:rPr>
          <w:t>Mobilizacja zasobów finansowych i pozafinansowych</w:t>
        </w:r>
        <w:r w:rsidR="007F4FA2">
          <w:rPr>
            <w:noProof/>
            <w:webHidden/>
          </w:rPr>
          <w:tab/>
        </w:r>
        <w:r w:rsidR="007F4FA2">
          <w:rPr>
            <w:noProof/>
            <w:webHidden/>
          </w:rPr>
          <w:fldChar w:fldCharType="begin"/>
        </w:r>
        <w:r w:rsidR="007F4FA2">
          <w:rPr>
            <w:noProof/>
            <w:webHidden/>
          </w:rPr>
          <w:instrText xml:space="preserve"> PAGEREF _Toc5699463 \h </w:instrText>
        </w:r>
        <w:r w:rsidR="007F4FA2">
          <w:rPr>
            <w:noProof/>
            <w:webHidden/>
          </w:rPr>
        </w:r>
        <w:r w:rsidR="007F4FA2">
          <w:rPr>
            <w:noProof/>
            <w:webHidden/>
          </w:rPr>
          <w:fldChar w:fldCharType="separate"/>
        </w:r>
        <w:r w:rsidR="007F4FA2">
          <w:rPr>
            <w:noProof/>
            <w:webHidden/>
          </w:rPr>
          <w:t>62</w:t>
        </w:r>
        <w:r w:rsidR="007F4FA2">
          <w:rPr>
            <w:noProof/>
            <w:webHidden/>
          </w:rPr>
          <w:fldChar w:fldCharType="end"/>
        </w:r>
      </w:hyperlink>
    </w:p>
    <w:p w14:paraId="1F0A10A9"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464" w:history="1">
        <w:r w:rsidR="007F4FA2" w:rsidRPr="00D61321">
          <w:rPr>
            <w:rStyle w:val="Hipercze"/>
            <w:noProof/>
          </w:rPr>
          <w:t>3.3.1.</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Co jest ważne</w:t>
        </w:r>
        <w:r w:rsidR="007F4FA2">
          <w:rPr>
            <w:noProof/>
            <w:webHidden/>
          </w:rPr>
          <w:tab/>
        </w:r>
        <w:r w:rsidR="007F4FA2">
          <w:rPr>
            <w:noProof/>
            <w:webHidden/>
          </w:rPr>
          <w:fldChar w:fldCharType="begin"/>
        </w:r>
        <w:r w:rsidR="007F4FA2">
          <w:rPr>
            <w:noProof/>
            <w:webHidden/>
          </w:rPr>
          <w:instrText xml:space="preserve"> PAGEREF _Toc5699464 \h </w:instrText>
        </w:r>
        <w:r w:rsidR="007F4FA2">
          <w:rPr>
            <w:noProof/>
            <w:webHidden/>
          </w:rPr>
        </w:r>
        <w:r w:rsidR="007F4FA2">
          <w:rPr>
            <w:noProof/>
            <w:webHidden/>
          </w:rPr>
          <w:fldChar w:fldCharType="separate"/>
        </w:r>
        <w:r w:rsidR="007F4FA2">
          <w:rPr>
            <w:noProof/>
            <w:webHidden/>
          </w:rPr>
          <w:t>62</w:t>
        </w:r>
        <w:r w:rsidR="007F4FA2">
          <w:rPr>
            <w:noProof/>
            <w:webHidden/>
          </w:rPr>
          <w:fldChar w:fldCharType="end"/>
        </w:r>
      </w:hyperlink>
    </w:p>
    <w:p w14:paraId="602DF3B7"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465" w:history="1">
        <w:r w:rsidR="007F4FA2" w:rsidRPr="00D61321">
          <w:rPr>
            <w:rStyle w:val="Hipercze"/>
            <w:noProof/>
          </w:rPr>
          <w:t>3.3.2.</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Nad czym warto podyskutować i popracować?</w:t>
        </w:r>
        <w:r w:rsidR="007F4FA2">
          <w:rPr>
            <w:noProof/>
            <w:webHidden/>
          </w:rPr>
          <w:tab/>
        </w:r>
        <w:r w:rsidR="007F4FA2">
          <w:rPr>
            <w:noProof/>
            <w:webHidden/>
          </w:rPr>
          <w:fldChar w:fldCharType="begin"/>
        </w:r>
        <w:r w:rsidR="007F4FA2">
          <w:rPr>
            <w:noProof/>
            <w:webHidden/>
          </w:rPr>
          <w:instrText xml:space="preserve"> PAGEREF _Toc5699465 \h </w:instrText>
        </w:r>
        <w:r w:rsidR="007F4FA2">
          <w:rPr>
            <w:noProof/>
            <w:webHidden/>
          </w:rPr>
        </w:r>
        <w:r w:rsidR="007F4FA2">
          <w:rPr>
            <w:noProof/>
            <w:webHidden/>
          </w:rPr>
          <w:fldChar w:fldCharType="separate"/>
        </w:r>
        <w:r w:rsidR="007F4FA2">
          <w:rPr>
            <w:noProof/>
            <w:webHidden/>
          </w:rPr>
          <w:t>63</w:t>
        </w:r>
        <w:r w:rsidR="007F4FA2">
          <w:rPr>
            <w:noProof/>
            <w:webHidden/>
          </w:rPr>
          <w:fldChar w:fldCharType="end"/>
        </w:r>
      </w:hyperlink>
    </w:p>
    <w:p w14:paraId="5DEBA8E4" w14:textId="77777777" w:rsidR="007F4FA2" w:rsidRDefault="00C738EB">
      <w:pPr>
        <w:pStyle w:val="Spistreci1"/>
        <w:tabs>
          <w:tab w:val="left" w:pos="440"/>
          <w:tab w:val="right" w:leader="underscore" w:pos="9062"/>
        </w:tabs>
        <w:rPr>
          <w:rFonts w:asciiTheme="minorHAnsi" w:eastAsiaTheme="minorEastAsia" w:hAnsiTheme="minorHAnsi" w:cstheme="minorBidi"/>
          <w:b w:val="0"/>
          <w:bCs w:val="0"/>
          <w:caps w:val="0"/>
          <w:noProof/>
          <w:color w:val="auto"/>
          <w:sz w:val="22"/>
          <w:szCs w:val="22"/>
          <w:lang w:eastAsia="pl-PL"/>
        </w:rPr>
      </w:pPr>
      <w:hyperlink w:anchor="_Toc5699466" w:history="1">
        <w:r w:rsidR="007F4FA2" w:rsidRPr="00D61321">
          <w:rPr>
            <w:rStyle w:val="Hipercze"/>
            <w:noProof/>
          </w:rPr>
          <w:t>4.</w:t>
        </w:r>
        <w:r w:rsidR="007F4FA2">
          <w:rPr>
            <w:rFonts w:asciiTheme="minorHAnsi" w:eastAsiaTheme="minorEastAsia" w:hAnsiTheme="minorHAnsi" w:cstheme="minorBidi"/>
            <w:b w:val="0"/>
            <w:bCs w:val="0"/>
            <w:caps w:val="0"/>
            <w:noProof/>
            <w:color w:val="auto"/>
            <w:sz w:val="22"/>
            <w:szCs w:val="22"/>
            <w:lang w:eastAsia="pl-PL"/>
          </w:rPr>
          <w:tab/>
        </w:r>
        <w:r w:rsidR="007F4FA2" w:rsidRPr="00D61321">
          <w:rPr>
            <w:rStyle w:val="Hipercze"/>
            <w:noProof/>
          </w:rPr>
          <w:t>Wymiar terytorialny polityki rozwoju – zagadnienie szczególne</w:t>
        </w:r>
        <w:r w:rsidR="007F4FA2">
          <w:rPr>
            <w:noProof/>
            <w:webHidden/>
          </w:rPr>
          <w:tab/>
        </w:r>
        <w:r w:rsidR="007F4FA2">
          <w:rPr>
            <w:noProof/>
            <w:webHidden/>
          </w:rPr>
          <w:fldChar w:fldCharType="begin"/>
        </w:r>
        <w:r w:rsidR="007F4FA2">
          <w:rPr>
            <w:noProof/>
            <w:webHidden/>
          </w:rPr>
          <w:instrText xml:space="preserve"> PAGEREF _Toc5699466 \h </w:instrText>
        </w:r>
        <w:r w:rsidR="007F4FA2">
          <w:rPr>
            <w:noProof/>
            <w:webHidden/>
          </w:rPr>
        </w:r>
        <w:r w:rsidR="007F4FA2">
          <w:rPr>
            <w:noProof/>
            <w:webHidden/>
          </w:rPr>
          <w:fldChar w:fldCharType="separate"/>
        </w:r>
        <w:r w:rsidR="007F4FA2">
          <w:rPr>
            <w:noProof/>
            <w:webHidden/>
          </w:rPr>
          <w:t>67</w:t>
        </w:r>
        <w:r w:rsidR="007F4FA2">
          <w:rPr>
            <w:noProof/>
            <w:webHidden/>
          </w:rPr>
          <w:fldChar w:fldCharType="end"/>
        </w:r>
      </w:hyperlink>
    </w:p>
    <w:p w14:paraId="34BB24DF" w14:textId="77777777" w:rsidR="007F4FA2" w:rsidRDefault="00C738EB">
      <w:pPr>
        <w:pStyle w:val="Spistreci2"/>
        <w:tabs>
          <w:tab w:val="left" w:pos="880"/>
          <w:tab w:val="right" w:leader="underscore" w:pos="9062"/>
        </w:tabs>
        <w:rPr>
          <w:rFonts w:asciiTheme="minorHAnsi" w:eastAsiaTheme="minorEastAsia" w:hAnsiTheme="minorHAnsi" w:cstheme="minorBidi"/>
          <w:smallCaps w:val="0"/>
          <w:noProof/>
          <w:color w:val="auto"/>
          <w:sz w:val="22"/>
          <w:szCs w:val="22"/>
          <w:lang w:eastAsia="pl-PL"/>
        </w:rPr>
      </w:pPr>
      <w:hyperlink w:anchor="_Toc5699467" w:history="1">
        <w:r w:rsidR="007F4FA2" w:rsidRPr="00D61321">
          <w:rPr>
            <w:rStyle w:val="Hipercze"/>
            <w:noProof/>
          </w:rPr>
          <w:t>4.1.</w:t>
        </w:r>
        <w:r w:rsidR="007F4FA2">
          <w:rPr>
            <w:rFonts w:asciiTheme="minorHAnsi" w:eastAsiaTheme="minorEastAsia" w:hAnsiTheme="minorHAnsi" w:cstheme="minorBidi"/>
            <w:smallCaps w:val="0"/>
            <w:noProof/>
            <w:color w:val="auto"/>
            <w:sz w:val="22"/>
            <w:szCs w:val="22"/>
            <w:lang w:eastAsia="pl-PL"/>
          </w:rPr>
          <w:tab/>
        </w:r>
        <w:r w:rsidR="007F4FA2" w:rsidRPr="00D61321">
          <w:rPr>
            <w:rStyle w:val="Hipercze"/>
            <w:noProof/>
          </w:rPr>
          <w:t>Zakres terytorializacji w kontekście paradygmatu rozwoju</w:t>
        </w:r>
        <w:r w:rsidR="007F4FA2">
          <w:rPr>
            <w:noProof/>
            <w:webHidden/>
          </w:rPr>
          <w:tab/>
        </w:r>
        <w:r w:rsidR="007F4FA2">
          <w:rPr>
            <w:noProof/>
            <w:webHidden/>
          </w:rPr>
          <w:fldChar w:fldCharType="begin"/>
        </w:r>
        <w:r w:rsidR="007F4FA2">
          <w:rPr>
            <w:noProof/>
            <w:webHidden/>
          </w:rPr>
          <w:instrText xml:space="preserve"> PAGEREF _Toc5699467 \h </w:instrText>
        </w:r>
        <w:r w:rsidR="007F4FA2">
          <w:rPr>
            <w:noProof/>
            <w:webHidden/>
          </w:rPr>
        </w:r>
        <w:r w:rsidR="007F4FA2">
          <w:rPr>
            <w:noProof/>
            <w:webHidden/>
          </w:rPr>
          <w:fldChar w:fldCharType="separate"/>
        </w:r>
        <w:r w:rsidR="007F4FA2">
          <w:rPr>
            <w:noProof/>
            <w:webHidden/>
          </w:rPr>
          <w:t>67</w:t>
        </w:r>
        <w:r w:rsidR="007F4FA2">
          <w:rPr>
            <w:noProof/>
            <w:webHidden/>
          </w:rPr>
          <w:fldChar w:fldCharType="end"/>
        </w:r>
      </w:hyperlink>
    </w:p>
    <w:p w14:paraId="0A824406" w14:textId="77777777" w:rsidR="007F4FA2" w:rsidRDefault="00C738EB">
      <w:pPr>
        <w:pStyle w:val="Spistreci2"/>
        <w:tabs>
          <w:tab w:val="left" w:pos="880"/>
          <w:tab w:val="right" w:leader="underscore" w:pos="9062"/>
        </w:tabs>
        <w:rPr>
          <w:rFonts w:asciiTheme="minorHAnsi" w:eastAsiaTheme="minorEastAsia" w:hAnsiTheme="minorHAnsi" w:cstheme="minorBidi"/>
          <w:smallCaps w:val="0"/>
          <w:noProof/>
          <w:color w:val="auto"/>
          <w:sz w:val="22"/>
          <w:szCs w:val="22"/>
          <w:lang w:eastAsia="pl-PL"/>
        </w:rPr>
      </w:pPr>
      <w:hyperlink w:anchor="_Toc5699468" w:history="1">
        <w:r w:rsidR="007F4FA2" w:rsidRPr="00D61321">
          <w:rPr>
            <w:rStyle w:val="Hipercze"/>
            <w:noProof/>
          </w:rPr>
          <w:t>4.2.</w:t>
        </w:r>
        <w:r w:rsidR="007F4FA2">
          <w:rPr>
            <w:rFonts w:asciiTheme="minorHAnsi" w:eastAsiaTheme="minorEastAsia" w:hAnsiTheme="minorHAnsi" w:cstheme="minorBidi"/>
            <w:smallCaps w:val="0"/>
            <w:noProof/>
            <w:color w:val="auto"/>
            <w:sz w:val="22"/>
            <w:szCs w:val="22"/>
            <w:lang w:eastAsia="pl-PL"/>
          </w:rPr>
          <w:tab/>
        </w:r>
        <w:r w:rsidR="007F4FA2" w:rsidRPr="00D61321">
          <w:rPr>
            <w:rStyle w:val="Hipercze"/>
            <w:noProof/>
          </w:rPr>
          <w:t>Terytorializacja strategii a realizacja programów</w:t>
        </w:r>
        <w:r w:rsidR="007F4FA2">
          <w:rPr>
            <w:noProof/>
            <w:webHidden/>
          </w:rPr>
          <w:tab/>
        </w:r>
        <w:r w:rsidR="007F4FA2">
          <w:rPr>
            <w:noProof/>
            <w:webHidden/>
          </w:rPr>
          <w:fldChar w:fldCharType="begin"/>
        </w:r>
        <w:r w:rsidR="007F4FA2">
          <w:rPr>
            <w:noProof/>
            <w:webHidden/>
          </w:rPr>
          <w:instrText xml:space="preserve"> PAGEREF _Toc5699468 \h </w:instrText>
        </w:r>
        <w:r w:rsidR="007F4FA2">
          <w:rPr>
            <w:noProof/>
            <w:webHidden/>
          </w:rPr>
        </w:r>
        <w:r w:rsidR="007F4FA2">
          <w:rPr>
            <w:noProof/>
            <w:webHidden/>
          </w:rPr>
          <w:fldChar w:fldCharType="separate"/>
        </w:r>
        <w:r w:rsidR="007F4FA2">
          <w:rPr>
            <w:noProof/>
            <w:webHidden/>
          </w:rPr>
          <w:t>72</w:t>
        </w:r>
        <w:r w:rsidR="007F4FA2">
          <w:rPr>
            <w:noProof/>
            <w:webHidden/>
          </w:rPr>
          <w:fldChar w:fldCharType="end"/>
        </w:r>
      </w:hyperlink>
    </w:p>
    <w:p w14:paraId="427858D2" w14:textId="77777777" w:rsidR="007F4FA2" w:rsidRDefault="00C738EB">
      <w:pPr>
        <w:pStyle w:val="Spistreci2"/>
        <w:tabs>
          <w:tab w:val="left" w:pos="880"/>
          <w:tab w:val="right" w:leader="underscore" w:pos="9062"/>
        </w:tabs>
        <w:rPr>
          <w:rFonts w:asciiTheme="minorHAnsi" w:eastAsiaTheme="minorEastAsia" w:hAnsiTheme="minorHAnsi" w:cstheme="minorBidi"/>
          <w:smallCaps w:val="0"/>
          <w:noProof/>
          <w:color w:val="auto"/>
          <w:sz w:val="22"/>
          <w:szCs w:val="22"/>
          <w:lang w:eastAsia="pl-PL"/>
        </w:rPr>
      </w:pPr>
      <w:hyperlink w:anchor="_Toc5699469" w:history="1">
        <w:r w:rsidR="007F4FA2" w:rsidRPr="00D61321">
          <w:rPr>
            <w:rStyle w:val="Hipercze"/>
            <w:noProof/>
          </w:rPr>
          <w:t>4.3.</w:t>
        </w:r>
        <w:r w:rsidR="007F4FA2">
          <w:rPr>
            <w:rFonts w:asciiTheme="minorHAnsi" w:eastAsiaTheme="minorEastAsia" w:hAnsiTheme="minorHAnsi" w:cstheme="minorBidi"/>
            <w:smallCaps w:val="0"/>
            <w:noProof/>
            <w:color w:val="auto"/>
            <w:sz w:val="22"/>
            <w:szCs w:val="22"/>
            <w:lang w:eastAsia="pl-PL"/>
          </w:rPr>
          <w:tab/>
        </w:r>
        <w:r w:rsidR="007F4FA2" w:rsidRPr="00D61321">
          <w:rPr>
            <w:rStyle w:val="Hipercze"/>
            <w:noProof/>
          </w:rPr>
          <w:t>Efekty terytorializacji</w:t>
        </w:r>
        <w:r w:rsidR="007F4FA2">
          <w:rPr>
            <w:noProof/>
            <w:webHidden/>
          </w:rPr>
          <w:tab/>
        </w:r>
        <w:r w:rsidR="007F4FA2">
          <w:rPr>
            <w:noProof/>
            <w:webHidden/>
          </w:rPr>
          <w:fldChar w:fldCharType="begin"/>
        </w:r>
        <w:r w:rsidR="007F4FA2">
          <w:rPr>
            <w:noProof/>
            <w:webHidden/>
          </w:rPr>
          <w:instrText xml:space="preserve"> PAGEREF _Toc5699469 \h </w:instrText>
        </w:r>
        <w:r w:rsidR="007F4FA2">
          <w:rPr>
            <w:noProof/>
            <w:webHidden/>
          </w:rPr>
        </w:r>
        <w:r w:rsidR="007F4FA2">
          <w:rPr>
            <w:noProof/>
            <w:webHidden/>
          </w:rPr>
          <w:fldChar w:fldCharType="separate"/>
        </w:r>
        <w:r w:rsidR="007F4FA2">
          <w:rPr>
            <w:noProof/>
            <w:webHidden/>
          </w:rPr>
          <w:t>76</w:t>
        </w:r>
        <w:r w:rsidR="007F4FA2">
          <w:rPr>
            <w:noProof/>
            <w:webHidden/>
          </w:rPr>
          <w:fldChar w:fldCharType="end"/>
        </w:r>
      </w:hyperlink>
    </w:p>
    <w:p w14:paraId="1DF44470" w14:textId="77777777" w:rsidR="007F4FA2" w:rsidRDefault="00C738EB">
      <w:pPr>
        <w:pStyle w:val="Spistreci2"/>
        <w:tabs>
          <w:tab w:val="left" w:pos="880"/>
          <w:tab w:val="right" w:leader="underscore" w:pos="9062"/>
        </w:tabs>
        <w:rPr>
          <w:rFonts w:asciiTheme="minorHAnsi" w:eastAsiaTheme="minorEastAsia" w:hAnsiTheme="minorHAnsi" w:cstheme="minorBidi"/>
          <w:smallCaps w:val="0"/>
          <w:noProof/>
          <w:color w:val="auto"/>
          <w:sz w:val="22"/>
          <w:szCs w:val="22"/>
          <w:lang w:eastAsia="pl-PL"/>
        </w:rPr>
      </w:pPr>
      <w:hyperlink w:anchor="_Toc5699470" w:history="1">
        <w:r w:rsidR="007F4FA2" w:rsidRPr="00D61321">
          <w:rPr>
            <w:rStyle w:val="Hipercze"/>
            <w:noProof/>
          </w:rPr>
          <w:t>4.4.</w:t>
        </w:r>
        <w:r w:rsidR="007F4FA2">
          <w:rPr>
            <w:rFonts w:asciiTheme="minorHAnsi" w:eastAsiaTheme="minorEastAsia" w:hAnsiTheme="minorHAnsi" w:cstheme="minorBidi"/>
            <w:smallCaps w:val="0"/>
            <w:noProof/>
            <w:color w:val="auto"/>
            <w:sz w:val="22"/>
            <w:szCs w:val="22"/>
            <w:lang w:eastAsia="pl-PL"/>
          </w:rPr>
          <w:tab/>
        </w:r>
        <w:r w:rsidR="007F4FA2" w:rsidRPr="00D61321">
          <w:rPr>
            <w:rStyle w:val="Hipercze"/>
            <w:noProof/>
          </w:rPr>
          <w:t>W poszukiwaniu innych form terytorializacji</w:t>
        </w:r>
        <w:r w:rsidR="007F4FA2">
          <w:rPr>
            <w:noProof/>
            <w:webHidden/>
          </w:rPr>
          <w:tab/>
        </w:r>
        <w:r w:rsidR="007F4FA2">
          <w:rPr>
            <w:noProof/>
            <w:webHidden/>
          </w:rPr>
          <w:fldChar w:fldCharType="begin"/>
        </w:r>
        <w:r w:rsidR="007F4FA2">
          <w:rPr>
            <w:noProof/>
            <w:webHidden/>
          </w:rPr>
          <w:instrText xml:space="preserve"> PAGEREF _Toc5699470 \h </w:instrText>
        </w:r>
        <w:r w:rsidR="007F4FA2">
          <w:rPr>
            <w:noProof/>
            <w:webHidden/>
          </w:rPr>
        </w:r>
        <w:r w:rsidR="007F4FA2">
          <w:rPr>
            <w:noProof/>
            <w:webHidden/>
          </w:rPr>
          <w:fldChar w:fldCharType="separate"/>
        </w:r>
        <w:r w:rsidR="007F4FA2">
          <w:rPr>
            <w:noProof/>
            <w:webHidden/>
          </w:rPr>
          <w:t>78</w:t>
        </w:r>
        <w:r w:rsidR="007F4FA2">
          <w:rPr>
            <w:noProof/>
            <w:webHidden/>
          </w:rPr>
          <w:fldChar w:fldCharType="end"/>
        </w:r>
      </w:hyperlink>
    </w:p>
    <w:p w14:paraId="3EF22F7D"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471" w:history="1">
        <w:r w:rsidR="007F4FA2" w:rsidRPr="00D61321">
          <w:rPr>
            <w:rStyle w:val="Hipercze"/>
            <w:noProof/>
          </w:rPr>
          <w:t>4.4.1.</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Skuteczność terytorializacji</w:t>
        </w:r>
        <w:r w:rsidR="007F4FA2">
          <w:rPr>
            <w:noProof/>
            <w:webHidden/>
          </w:rPr>
          <w:tab/>
        </w:r>
        <w:r w:rsidR="007F4FA2">
          <w:rPr>
            <w:noProof/>
            <w:webHidden/>
          </w:rPr>
          <w:fldChar w:fldCharType="begin"/>
        </w:r>
        <w:r w:rsidR="007F4FA2">
          <w:rPr>
            <w:noProof/>
            <w:webHidden/>
          </w:rPr>
          <w:instrText xml:space="preserve"> PAGEREF _Toc5699471 \h </w:instrText>
        </w:r>
        <w:r w:rsidR="007F4FA2">
          <w:rPr>
            <w:noProof/>
            <w:webHidden/>
          </w:rPr>
        </w:r>
        <w:r w:rsidR="007F4FA2">
          <w:rPr>
            <w:noProof/>
            <w:webHidden/>
          </w:rPr>
          <w:fldChar w:fldCharType="separate"/>
        </w:r>
        <w:r w:rsidR="007F4FA2">
          <w:rPr>
            <w:noProof/>
            <w:webHidden/>
          </w:rPr>
          <w:t>79</w:t>
        </w:r>
        <w:r w:rsidR="007F4FA2">
          <w:rPr>
            <w:noProof/>
            <w:webHidden/>
          </w:rPr>
          <w:fldChar w:fldCharType="end"/>
        </w:r>
      </w:hyperlink>
    </w:p>
    <w:p w14:paraId="6C14AE17"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472" w:history="1">
        <w:r w:rsidR="007F4FA2" w:rsidRPr="00D61321">
          <w:rPr>
            <w:rStyle w:val="Hipercze"/>
            <w:noProof/>
          </w:rPr>
          <w:t>4.4.2.</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Instrumenty terytorializacji</w:t>
        </w:r>
        <w:r w:rsidR="007F4FA2">
          <w:rPr>
            <w:noProof/>
            <w:webHidden/>
          </w:rPr>
          <w:tab/>
        </w:r>
        <w:r w:rsidR="007F4FA2">
          <w:rPr>
            <w:noProof/>
            <w:webHidden/>
          </w:rPr>
          <w:fldChar w:fldCharType="begin"/>
        </w:r>
        <w:r w:rsidR="007F4FA2">
          <w:rPr>
            <w:noProof/>
            <w:webHidden/>
          </w:rPr>
          <w:instrText xml:space="preserve"> PAGEREF _Toc5699472 \h </w:instrText>
        </w:r>
        <w:r w:rsidR="007F4FA2">
          <w:rPr>
            <w:noProof/>
            <w:webHidden/>
          </w:rPr>
        </w:r>
        <w:r w:rsidR="007F4FA2">
          <w:rPr>
            <w:noProof/>
            <w:webHidden/>
          </w:rPr>
          <w:fldChar w:fldCharType="separate"/>
        </w:r>
        <w:r w:rsidR="007F4FA2">
          <w:rPr>
            <w:noProof/>
            <w:webHidden/>
          </w:rPr>
          <w:t>80</w:t>
        </w:r>
        <w:r w:rsidR="007F4FA2">
          <w:rPr>
            <w:noProof/>
            <w:webHidden/>
          </w:rPr>
          <w:fldChar w:fldCharType="end"/>
        </w:r>
      </w:hyperlink>
    </w:p>
    <w:p w14:paraId="7067A6D5"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473" w:history="1">
        <w:r w:rsidR="007F4FA2" w:rsidRPr="00D61321">
          <w:rPr>
            <w:rStyle w:val="Hipercze"/>
            <w:noProof/>
          </w:rPr>
          <w:t>4.4.3.</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Terytorializacja a spójność</w:t>
        </w:r>
        <w:r w:rsidR="007F4FA2">
          <w:rPr>
            <w:noProof/>
            <w:webHidden/>
          </w:rPr>
          <w:tab/>
        </w:r>
        <w:r w:rsidR="007F4FA2">
          <w:rPr>
            <w:noProof/>
            <w:webHidden/>
          </w:rPr>
          <w:fldChar w:fldCharType="begin"/>
        </w:r>
        <w:r w:rsidR="007F4FA2">
          <w:rPr>
            <w:noProof/>
            <w:webHidden/>
          </w:rPr>
          <w:instrText xml:space="preserve"> PAGEREF _Toc5699473 \h </w:instrText>
        </w:r>
        <w:r w:rsidR="007F4FA2">
          <w:rPr>
            <w:noProof/>
            <w:webHidden/>
          </w:rPr>
        </w:r>
        <w:r w:rsidR="007F4FA2">
          <w:rPr>
            <w:noProof/>
            <w:webHidden/>
          </w:rPr>
          <w:fldChar w:fldCharType="separate"/>
        </w:r>
        <w:r w:rsidR="007F4FA2">
          <w:rPr>
            <w:noProof/>
            <w:webHidden/>
          </w:rPr>
          <w:t>82</w:t>
        </w:r>
        <w:r w:rsidR="007F4FA2">
          <w:rPr>
            <w:noProof/>
            <w:webHidden/>
          </w:rPr>
          <w:fldChar w:fldCharType="end"/>
        </w:r>
      </w:hyperlink>
    </w:p>
    <w:p w14:paraId="53782A98"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474" w:history="1">
        <w:r w:rsidR="007F4FA2" w:rsidRPr="00D61321">
          <w:rPr>
            <w:rStyle w:val="Hipercze"/>
            <w:noProof/>
          </w:rPr>
          <w:t>4.4.4.</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Terytorializacja RPO i PROW</w:t>
        </w:r>
        <w:r w:rsidR="007F4FA2">
          <w:rPr>
            <w:noProof/>
            <w:webHidden/>
          </w:rPr>
          <w:tab/>
        </w:r>
        <w:r w:rsidR="007F4FA2">
          <w:rPr>
            <w:noProof/>
            <w:webHidden/>
          </w:rPr>
          <w:fldChar w:fldCharType="begin"/>
        </w:r>
        <w:r w:rsidR="007F4FA2">
          <w:rPr>
            <w:noProof/>
            <w:webHidden/>
          </w:rPr>
          <w:instrText xml:space="preserve"> PAGEREF _Toc5699474 \h </w:instrText>
        </w:r>
        <w:r w:rsidR="007F4FA2">
          <w:rPr>
            <w:noProof/>
            <w:webHidden/>
          </w:rPr>
        </w:r>
        <w:r w:rsidR="007F4FA2">
          <w:rPr>
            <w:noProof/>
            <w:webHidden/>
          </w:rPr>
          <w:fldChar w:fldCharType="separate"/>
        </w:r>
        <w:r w:rsidR="007F4FA2">
          <w:rPr>
            <w:noProof/>
            <w:webHidden/>
          </w:rPr>
          <w:t>83</w:t>
        </w:r>
        <w:r w:rsidR="007F4FA2">
          <w:rPr>
            <w:noProof/>
            <w:webHidden/>
          </w:rPr>
          <w:fldChar w:fldCharType="end"/>
        </w:r>
      </w:hyperlink>
    </w:p>
    <w:p w14:paraId="4406F4BE" w14:textId="77777777" w:rsidR="007F4FA2" w:rsidRDefault="00C738EB">
      <w:pPr>
        <w:pStyle w:val="Spistreci1"/>
        <w:tabs>
          <w:tab w:val="left" w:pos="440"/>
          <w:tab w:val="right" w:leader="underscore" w:pos="9062"/>
        </w:tabs>
        <w:rPr>
          <w:rFonts w:asciiTheme="minorHAnsi" w:eastAsiaTheme="minorEastAsia" w:hAnsiTheme="minorHAnsi" w:cstheme="minorBidi"/>
          <w:b w:val="0"/>
          <w:bCs w:val="0"/>
          <w:caps w:val="0"/>
          <w:noProof/>
          <w:color w:val="auto"/>
          <w:sz w:val="22"/>
          <w:szCs w:val="22"/>
          <w:lang w:eastAsia="pl-PL"/>
        </w:rPr>
      </w:pPr>
      <w:hyperlink w:anchor="_Toc5699475" w:history="1">
        <w:r w:rsidR="007F4FA2" w:rsidRPr="00D61321">
          <w:rPr>
            <w:rStyle w:val="Hipercze"/>
            <w:noProof/>
          </w:rPr>
          <w:t>5.</w:t>
        </w:r>
        <w:r w:rsidR="007F4FA2">
          <w:rPr>
            <w:rFonts w:asciiTheme="minorHAnsi" w:eastAsiaTheme="minorEastAsia" w:hAnsiTheme="minorHAnsi" w:cstheme="minorBidi"/>
            <w:b w:val="0"/>
            <w:bCs w:val="0"/>
            <w:caps w:val="0"/>
            <w:noProof/>
            <w:color w:val="auto"/>
            <w:sz w:val="22"/>
            <w:szCs w:val="22"/>
            <w:lang w:eastAsia="pl-PL"/>
          </w:rPr>
          <w:tab/>
        </w:r>
        <w:r w:rsidR="007F4FA2" w:rsidRPr="00D61321">
          <w:rPr>
            <w:rStyle w:val="Hipercze"/>
            <w:noProof/>
          </w:rPr>
          <w:t>Wdrażanie Strategii</w:t>
        </w:r>
        <w:r w:rsidR="007F4FA2">
          <w:rPr>
            <w:noProof/>
            <w:webHidden/>
          </w:rPr>
          <w:tab/>
        </w:r>
        <w:r w:rsidR="007F4FA2">
          <w:rPr>
            <w:noProof/>
            <w:webHidden/>
          </w:rPr>
          <w:fldChar w:fldCharType="begin"/>
        </w:r>
        <w:r w:rsidR="007F4FA2">
          <w:rPr>
            <w:noProof/>
            <w:webHidden/>
          </w:rPr>
          <w:instrText xml:space="preserve"> PAGEREF _Toc5699475 \h </w:instrText>
        </w:r>
        <w:r w:rsidR="007F4FA2">
          <w:rPr>
            <w:noProof/>
            <w:webHidden/>
          </w:rPr>
        </w:r>
        <w:r w:rsidR="007F4FA2">
          <w:rPr>
            <w:noProof/>
            <w:webHidden/>
          </w:rPr>
          <w:fldChar w:fldCharType="separate"/>
        </w:r>
        <w:r w:rsidR="007F4FA2">
          <w:rPr>
            <w:noProof/>
            <w:webHidden/>
          </w:rPr>
          <w:t>85</w:t>
        </w:r>
        <w:r w:rsidR="007F4FA2">
          <w:rPr>
            <w:noProof/>
            <w:webHidden/>
          </w:rPr>
          <w:fldChar w:fldCharType="end"/>
        </w:r>
      </w:hyperlink>
    </w:p>
    <w:p w14:paraId="59E7E999" w14:textId="77777777" w:rsidR="007F4FA2" w:rsidRDefault="00C738EB">
      <w:pPr>
        <w:pStyle w:val="Spistreci2"/>
        <w:tabs>
          <w:tab w:val="left" w:pos="880"/>
          <w:tab w:val="right" w:leader="underscore" w:pos="9062"/>
        </w:tabs>
        <w:rPr>
          <w:rFonts w:asciiTheme="minorHAnsi" w:eastAsiaTheme="minorEastAsia" w:hAnsiTheme="minorHAnsi" w:cstheme="minorBidi"/>
          <w:smallCaps w:val="0"/>
          <w:noProof/>
          <w:color w:val="auto"/>
          <w:sz w:val="22"/>
          <w:szCs w:val="22"/>
          <w:lang w:eastAsia="pl-PL"/>
        </w:rPr>
      </w:pPr>
      <w:hyperlink w:anchor="_Toc5699476" w:history="1">
        <w:r w:rsidR="007F4FA2" w:rsidRPr="00D61321">
          <w:rPr>
            <w:rStyle w:val="Hipercze"/>
            <w:noProof/>
          </w:rPr>
          <w:t>5.1.</w:t>
        </w:r>
        <w:r w:rsidR="007F4FA2">
          <w:rPr>
            <w:rFonts w:asciiTheme="minorHAnsi" w:eastAsiaTheme="minorEastAsia" w:hAnsiTheme="minorHAnsi" w:cstheme="minorBidi"/>
            <w:smallCaps w:val="0"/>
            <w:noProof/>
            <w:color w:val="auto"/>
            <w:sz w:val="22"/>
            <w:szCs w:val="22"/>
            <w:lang w:eastAsia="pl-PL"/>
          </w:rPr>
          <w:tab/>
        </w:r>
        <w:r w:rsidR="007F4FA2" w:rsidRPr="00D61321">
          <w:rPr>
            <w:rStyle w:val="Hipercze"/>
            <w:noProof/>
          </w:rPr>
          <w:t>Co chciałby i co może robić samorząd województwa?</w:t>
        </w:r>
        <w:r w:rsidR="007F4FA2">
          <w:rPr>
            <w:noProof/>
            <w:webHidden/>
          </w:rPr>
          <w:tab/>
        </w:r>
        <w:r w:rsidR="007F4FA2">
          <w:rPr>
            <w:noProof/>
            <w:webHidden/>
          </w:rPr>
          <w:fldChar w:fldCharType="begin"/>
        </w:r>
        <w:r w:rsidR="007F4FA2">
          <w:rPr>
            <w:noProof/>
            <w:webHidden/>
          </w:rPr>
          <w:instrText xml:space="preserve"> PAGEREF _Toc5699476 \h </w:instrText>
        </w:r>
        <w:r w:rsidR="007F4FA2">
          <w:rPr>
            <w:noProof/>
            <w:webHidden/>
          </w:rPr>
        </w:r>
        <w:r w:rsidR="007F4FA2">
          <w:rPr>
            <w:noProof/>
            <w:webHidden/>
          </w:rPr>
          <w:fldChar w:fldCharType="separate"/>
        </w:r>
        <w:r w:rsidR="007F4FA2">
          <w:rPr>
            <w:noProof/>
            <w:webHidden/>
          </w:rPr>
          <w:t>85</w:t>
        </w:r>
        <w:r w:rsidR="007F4FA2">
          <w:rPr>
            <w:noProof/>
            <w:webHidden/>
          </w:rPr>
          <w:fldChar w:fldCharType="end"/>
        </w:r>
      </w:hyperlink>
    </w:p>
    <w:p w14:paraId="30F984D9" w14:textId="77777777" w:rsidR="007F4FA2" w:rsidRDefault="00C738EB">
      <w:pPr>
        <w:pStyle w:val="Spistreci2"/>
        <w:tabs>
          <w:tab w:val="left" w:pos="880"/>
          <w:tab w:val="right" w:leader="underscore" w:pos="9062"/>
        </w:tabs>
        <w:rPr>
          <w:rFonts w:asciiTheme="minorHAnsi" w:eastAsiaTheme="minorEastAsia" w:hAnsiTheme="minorHAnsi" w:cstheme="minorBidi"/>
          <w:smallCaps w:val="0"/>
          <w:noProof/>
          <w:color w:val="auto"/>
          <w:sz w:val="22"/>
          <w:szCs w:val="22"/>
          <w:lang w:eastAsia="pl-PL"/>
        </w:rPr>
      </w:pPr>
      <w:hyperlink w:anchor="_Toc5699477" w:history="1">
        <w:r w:rsidR="007F4FA2" w:rsidRPr="00D61321">
          <w:rPr>
            <w:rStyle w:val="Hipercze"/>
            <w:noProof/>
          </w:rPr>
          <w:t>5.2.</w:t>
        </w:r>
        <w:r w:rsidR="007F4FA2">
          <w:rPr>
            <w:rFonts w:asciiTheme="minorHAnsi" w:eastAsiaTheme="minorEastAsia" w:hAnsiTheme="minorHAnsi" w:cstheme="minorBidi"/>
            <w:smallCaps w:val="0"/>
            <w:noProof/>
            <w:color w:val="auto"/>
            <w:sz w:val="22"/>
            <w:szCs w:val="22"/>
            <w:lang w:eastAsia="pl-PL"/>
          </w:rPr>
          <w:tab/>
        </w:r>
        <w:r w:rsidR="007F4FA2" w:rsidRPr="00D61321">
          <w:rPr>
            <w:rStyle w:val="Hipercze"/>
            <w:noProof/>
          </w:rPr>
          <w:t>Cele i kierunki interwencji a kompetencje</w:t>
        </w:r>
        <w:r w:rsidR="007F4FA2">
          <w:rPr>
            <w:noProof/>
            <w:webHidden/>
          </w:rPr>
          <w:tab/>
        </w:r>
        <w:r w:rsidR="007F4FA2">
          <w:rPr>
            <w:noProof/>
            <w:webHidden/>
          </w:rPr>
          <w:fldChar w:fldCharType="begin"/>
        </w:r>
        <w:r w:rsidR="007F4FA2">
          <w:rPr>
            <w:noProof/>
            <w:webHidden/>
          </w:rPr>
          <w:instrText xml:space="preserve"> PAGEREF _Toc5699477 \h </w:instrText>
        </w:r>
        <w:r w:rsidR="007F4FA2">
          <w:rPr>
            <w:noProof/>
            <w:webHidden/>
          </w:rPr>
        </w:r>
        <w:r w:rsidR="007F4FA2">
          <w:rPr>
            <w:noProof/>
            <w:webHidden/>
          </w:rPr>
          <w:fldChar w:fldCharType="separate"/>
        </w:r>
        <w:r w:rsidR="007F4FA2">
          <w:rPr>
            <w:noProof/>
            <w:webHidden/>
          </w:rPr>
          <w:t>85</w:t>
        </w:r>
        <w:r w:rsidR="007F4FA2">
          <w:rPr>
            <w:noProof/>
            <w:webHidden/>
          </w:rPr>
          <w:fldChar w:fldCharType="end"/>
        </w:r>
      </w:hyperlink>
    </w:p>
    <w:p w14:paraId="6F6A52BE" w14:textId="77777777" w:rsidR="007F4FA2" w:rsidRDefault="00C738EB">
      <w:pPr>
        <w:pStyle w:val="Spistreci2"/>
        <w:tabs>
          <w:tab w:val="left" w:pos="880"/>
          <w:tab w:val="right" w:leader="underscore" w:pos="9062"/>
        </w:tabs>
        <w:rPr>
          <w:rFonts w:asciiTheme="minorHAnsi" w:eastAsiaTheme="minorEastAsia" w:hAnsiTheme="minorHAnsi" w:cstheme="minorBidi"/>
          <w:smallCaps w:val="0"/>
          <w:noProof/>
          <w:color w:val="auto"/>
          <w:sz w:val="22"/>
          <w:szCs w:val="22"/>
          <w:lang w:eastAsia="pl-PL"/>
        </w:rPr>
      </w:pPr>
      <w:hyperlink w:anchor="_Toc5699478" w:history="1">
        <w:r w:rsidR="007F4FA2" w:rsidRPr="00D61321">
          <w:rPr>
            <w:rStyle w:val="Hipercze"/>
            <w:noProof/>
          </w:rPr>
          <w:t>5.3.</w:t>
        </w:r>
        <w:r w:rsidR="007F4FA2">
          <w:rPr>
            <w:rFonts w:asciiTheme="minorHAnsi" w:eastAsiaTheme="minorEastAsia" w:hAnsiTheme="minorHAnsi" w:cstheme="minorBidi"/>
            <w:smallCaps w:val="0"/>
            <w:noProof/>
            <w:color w:val="auto"/>
            <w:sz w:val="22"/>
            <w:szCs w:val="22"/>
            <w:lang w:eastAsia="pl-PL"/>
          </w:rPr>
          <w:tab/>
        </w:r>
        <w:r w:rsidR="007F4FA2" w:rsidRPr="00D61321">
          <w:rPr>
            <w:rStyle w:val="Hipercze"/>
            <w:noProof/>
          </w:rPr>
          <w:t>Strategia bez działań bieżących</w:t>
        </w:r>
        <w:r w:rsidR="007F4FA2">
          <w:rPr>
            <w:noProof/>
            <w:webHidden/>
          </w:rPr>
          <w:tab/>
        </w:r>
        <w:r w:rsidR="007F4FA2">
          <w:rPr>
            <w:noProof/>
            <w:webHidden/>
          </w:rPr>
          <w:fldChar w:fldCharType="begin"/>
        </w:r>
        <w:r w:rsidR="007F4FA2">
          <w:rPr>
            <w:noProof/>
            <w:webHidden/>
          </w:rPr>
          <w:instrText xml:space="preserve"> PAGEREF _Toc5699478 \h </w:instrText>
        </w:r>
        <w:r w:rsidR="007F4FA2">
          <w:rPr>
            <w:noProof/>
            <w:webHidden/>
          </w:rPr>
        </w:r>
        <w:r w:rsidR="007F4FA2">
          <w:rPr>
            <w:noProof/>
            <w:webHidden/>
          </w:rPr>
          <w:fldChar w:fldCharType="separate"/>
        </w:r>
        <w:r w:rsidR="007F4FA2">
          <w:rPr>
            <w:noProof/>
            <w:webHidden/>
          </w:rPr>
          <w:t>90</w:t>
        </w:r>
        <w:r w:rsidR="007F4FA2">
          <w:rPr>
            <w:noProof/>
            <w:webHidden/>
          </w:rPr>
          <w:fldChar w:fldCharType="end"/>
        </w:r>
      </w:hyperlink>
    </w:p>
    <w:p w14:paraId="5CF54207" w14:textId="77777777" w:rsidR="007F4FA2" w:rsidRDefault="00C738EB">
      <w:pPr>
        <w:pStyle w:val="Spistreci2"/>
        <w:tabs>
          <w:tab w:val="left" w:pos="880"/>
          <w:tab w:val="right" w:leader="underscore" w:pos="9062"/>
        </w:tabs>
        <w:rPr>
          <w:rFonts w:asciiTheme="minorHAnsi" w:eastAsiaTheme="minorEastAsia" w:hAnsiTheme="minorHAnsi" w:cstheme="minorBidi"/>
          <w:smallCaps w:val="0"/>
          <w:noProof/>
          <w:color w:val="auto"/>
          <w:sz w:val="22"/>
          <w:szCs w:val="22"/>
          <w:lang w:eastAsia="pl-PL"/>
        </w:rPr>
      </w:pPr>
      <w:hyperlink w:anchor="_Toc5699479" w:history="1">
        <w:r w:rsidR="007F4FA2" w:rsidRPr="00D61321">
          <w:rPr>
            <w:rStyle w:val="Hipercze"/>
            <w:noProof/>
          </w:rPr>
          <w:t>5.4.</w:t>
        </w:r>
        <w:r w:rsidR="007F4FA2">
          <w:rPr>
            <w:rFonts w:asciiTheme="minorHAnsi" w:eastAsiaTheme="minorEastAsia" w:hAnsiTheme="minorHAnsi" w:cstheme="minorBidi"/>
            <w:smallCaps w:val="0"/>
            <w:noProof/>
            <w:color w:val="auto"/>
            <w:sz w:val="22"/>
            <w:szCs w:val="22"/>
            <w:lang w:eastAsia="pl-PL"/>
          </w:rPr>
          <w:tab/>
        </w:r>
        <w:r w:rsidR="007F4FA2" w:rsidRPr="00D61321">
          <w:rPr>
            <w:rStyle w:val="Hipercze"/>
            <w:noProof/>
          </w:rPr>
          <w:t>Czy rząd pomoże?</w:t>
        </w:r>
        <w:r w:rsidR="007F4FA2">
          <w:rPr>
            <w:noProof/>
            <w:webHidden/>
          </w:rPr>
          <w:tab/>
        </w:r>
        <w:r w:rsidR="007F4FA2">
          <w:rPr>
            <w:noProof/>
            <w:webHidden/>
          </w:rPr>
          <w:fldChar w:fldCharType="begin"/>
        </w:r>
        <w:r w:rsidR="007F4FA2">
          <w:rPr>
            <w:noProof/>
            <w:webHidden/>
          </w:rPr>
          <w:instrText xml:space="preserve"> PAGEREF _Toc5699479 \h </w:instrText>
        </w:r>
        <w:r w:rsidR="007F4FA2">
          <w:rPr>
            <w:noProof/>
            <w:webHidden/>
          </w:rPr>
        </w:r>
        <w:r w:rsidR="007F4FA2">
          <w:rPr>
            <w:noProof/>
            <w:webHidden/>
          </w:rPr>
          <w:fldChar w:fldCharType="separate"/>
        </w:r>
        <w:r w:rsidR="007F4FA2">
          <w:rPr>
            <w:noProof/>
            <w:webHidden/>
          </w:rPr>
          <w:t>91</w:t>
        </w:r>
        <w:r w:rsidR="007F4FA2">
          <w:rPr>
            <w:noProof/>
            <w:webHidden/>
          </w:rPr>
          <w:fldChar w:fldCharType="end"/>
        </w:r>
      </w:hyperlink>
    </w:p>
    <w:p w14:paraId="47F2DBE3" w14:textId="77777777" w:rsidR="007F4FA2" w:rsidRDefault="00C738EB">
      <w:pPr>
        <w:pStyle w:val="Spistreci2"/>
        <w:tabs>
          <w:tab w:val="left" w:pos="880"/>
          <w:tab w:val="right" w:leader="underscore" w:pos="9062"/>
        </w:tabs>
        <w:rPr>
          <w:rFonts w:asciiTheme="minorHAnsi" w:eastAsiaTheme="minorEastAsia" w:hAnsiTheme="minorHAnsi" w:cstheme="minorBidi"/>
          <w:smallCaps w:val="0"/>
          <w:noProof/>
          <w:color w:val="auto"/>
          <w:sz w:val="22"/>
          <w:szCs w:val="22"/>
          <w:lang w:eastAsia="pl-PL"/>
        </w:rPr>
      </w:pPr>
      <w:hyperlink w:anchor="_Toc5699480" w:history="1">
        <w:r w:rsidR="007F4FA2" w:rsidRPr="00D61321">
          <w:rPr>
            <w:rStyle w:val="Hipercze"/>
            <w:noProof/>
          </w:rPr>
          <w:t>5.5.</w:t>
        </w:r>
        <w:r w:rsidR="007F4FA2">
          <w:rPr>
            <w:rFonts w:asciiTheme="minorHAnsi" w:eastAsiaTheme="minorEastAsia" w:hAnsiTheme="minorHAnsi" w:cstheme="minorBidi"/>
            <w:smallCaps w:val="0"/>
            <w:noProof/>
            <w:color w:val="auto"/>
            <w:sz w:val="22"/>
            <w:szCs w:val="22"/>
            <w:lang w:eastAsia="pl-PL"/>
          </w:rPr>
          <w:tab/>
        </w:r>
        <w:r w:rsidR="007F4FA2" w:rsidRPr="00D61321">
          <w:rPr>
            <w:rStyle w:val="Hipercze"/>
            <w:noProof/>
          </w:rPr>
          <w:t>Budowanie zasobów instytucjonalnych na rzecz realizacji Strategii</w:t>
        </w:r>
        <w:r w:rsidR="007F4FA2">
          <w:rPr>
            <w:noProof/>
            <w:webHidden/>
          </w:rPr>
          <w:tab/>
        </w:r>
        <w:r w:rsidR="007F4FA2">
          <w:rPr>
            <w:noProof/>
            <w:webHidden/>
          </w:rPr>
          <w:fldChar w:fldCharType="begin"/>
        </w:r>
        <w:r w:rsidR="007F4FA2">
          <w:rPr>
            <w:noProof/>
            <w:webHidden/>
          </w:rPr>
          <w:instrText xml:space="preserve"> PAGEREF _Toc5699480 \h </w:instrText>
        </w:r>
        <w:r w:rsidR="007F4FA2">
          <w:rPr>
            <w:noProof/>
            <w:webHidden/>
          </w:rPr>
        </w:r>
        <w:r w:rsidR="007F4FA2">
          <w:rPr>
            <w:noProof/>
            <w:webHidden/>
          </w:rPr>
          <w:fldChar w:fldCharType="separate"/>
        </w:r>
        <w:r w:rsidR="007F4FA2">
          <w:rPr>
            <w:noProof/>
            <w:webHidden/>
          </w:rPr>
          <w:t>92</w:t>
        </w:r>
        <w:r w:rsidR="007F4FA2">
          <w:rPr>
            <w:noProof/>
            <w:webHidden/>
          </w:rPr>
          <w:fldChar w:fldCharType="end"/>
        </w:r>
      </w:hyperlink>
    </w:p>
    <w:p w14:paraId="4AEA6908" w14:textId="77777777" w:rsidR="007F4FA2" w:rsidRDefault="00C738EB">
      <w:pPr>
        <w:pStyle w:val="Spistreci1"/>
        <w:tabs>
          <w:tab w:val="left" w:pos="440"/>
          <w:tab w:val="right" w:leader="underscore" w:pos="9062"/>
        </w:tabs>
        <w:rPr>
          <w:rFonts w:asciiTheme="minorHAnsi" w:eastAsiaTheme="minorEastAsia" w:hAnsiTheme="minorHAnsi" w:cstheme="minorBidi"/>
          <w:b w:val="0"/>
          <w:bCs w:val="0"/>
          <w:caps w:val="0"/>
          <w:noProof/>
          <w:color w:val="auto"/>
          <w:sz w:val="22"/>
          <w:szCs w:val="22"/>
          <w:lang w:eastAsia="pl-PL"/>
        </w:rPr>
      </w:pPr>
      <w:hyperlink w:anchor="_Toc5699481" w:history="1">
        <w:r w:rsidR="007F4FA2" w:rsidRPr="00D61321">
          <w:rPr>
            <w:rStyle w:val="Hipercze"/>
            <w:noProof/>
          </w:rPr>
          <w:t>6.</w:t>
        </w:r>
        <w:r w:rsidR="007F4FA2">
          <w:rPr>
            <w:rFonts w:asciiTheme="minorHAnsi" w:eastAsiaTheme="minorEastAsia" w:hAnsiTheme="minorHAnsi" w:cstheme="minorBidi"/>
            <w:b w:val="0"/>
            <w:bCs w:val="0"/>
            <w:caps w:val="0"/>
            <w:noProof/>
            <w:color w:val="auto"/>
            <w:sz w:val="22"/>
            <w:szCs w:val="22"/>
            <w:lang w:eastAsia="pl-PL"/>
          </w:rPr>
          <w:tab/>
        </w:r>
        <w:r w:rsidR="007F4FA2" w:rsidRPr="00D61321">
          <w:rPr>
            <w:rStyle w:val="Hipercze"/>
            <w:noProof/>
          </w:rPr>
          <w:t>Monitoring, czyli uczenie się</w:t>
        </w:r>
        <w:r w:rsidR="007F4FA2">
          <w:rPr>
            <w:noProof/>
            <w:webHidden/>
          </w:rPr>
          <w:tab/>
        </w:r>
        <w:r w:rsidR="007F4FA2">
          <w:rPr>
            <w:noProof/>
            <w:webHidden/>
          </w:rPr>
          <w:fldChar w:fldCharType="begin"/>
        </w:r>
        <w:r w:rsidR="007F4FA2">
          <w:rPr>
            <w:noProof/>
            <w:webHidden/>
          </w:rPr>
          <w:instrText xml:space="preserve"> PAGEREF _Toc5699481 \h </w:instrText>
        </w:r>
        <w:r w:rsidR="007F4FA2">
          <w:rPr>
            <w:noProof/>
            <w:webHidden/>
          </w:rPr>
        </w:r>
        <w:r w:rsidR="007F4FA2">
          <w:rPr>
            <w:noProof/>
            <w:webHidden/>
          </w:rPr>
          <w:fldChar w:fldCharType="separate"/>
        </w:r>
        <w:r w:rsidR="007F4FA2">
          <w:rPr>
            <w:noProof/>
            <w:webHidden/>
          </w:rPr>
          <w:t>94</w:t>
        </w:r>
        <w:r w:rsidR="007F4FA2">
          <w:rPr>
            <w:noProof/>
            <w:webHidden/>
          </w:rPr>
          <w:fldChar w:fldCharType="end"/>
        </w:r>
      </w:hyperlink>
    </w:p>
    <w:p w14:paraId="1DCC4262" w14:textId="77777777" w:rsidR="007F4FA2" w:rsidRDefault="00C738EB">
      <w:pPr>
        <w:pStyle w:val="Spistreci2"/>
        <w:tabs>
          <w:tab w:val="left" w:pos="880"/>
          <w:tab w:val="right" w:leader="underscore" w:pos="9062"/>
        </w:tabs>
        <w:rPr>
          <w:rFonts w:asciiTheme="minorHAnsi" w:eastAsiaTheme="minorEastAsia" w:hAnsiTheme="minorHAnsi" w:cstheme="minorBidi"/>
          <w:smallCaps w:val="0"/>
          <w:noProof/>
          <w:color w:val="auto"/>
          <w:sz w:val="22"/>
          <w:szCs w:val="22"/>
          <w:lang w:eastAsia="pl-PL"/>
        </w:rPr>
      </w:pPr>
      <w:hyperlink w:anchor="_Toc5699482" w:history="1">
        <w:r w:rsidR="007F4FA2" w:rsidRPr="00D61321">
          <w:rPr>
            <w:rStyle w:val="Hipercze"/>
            <w:noProof/>
          </w:rPr>
          <w:t>6.1.</w:t>
        </w:r>
        <w:r w:rsidR="007F4FA2">
          <w:rPr>
            <w:rFonts w:asciiTheme="minorHAnsi" w:eastAsiaTheme="minorEastAsia" w:hAnsiTheme="minorHAnsi" w:cstheme="minorBidi"/>
            <w:smallCaps w:val="0"/>
            <w:noProof/>
            <w:color w:val="auto"/>
            <w:sz w:val="22"/>
            <w:szCs w:val="22"/>
            <w:lang w:eastAsia="pl-PL"/>
          </w:rPr>
          <w:tab/>
        </w:r>
        <w:r w:rsidR="007F4FA2" w:rsidRPr="00D61321">
          <w:rPr>
            <w:rStyle w:val="Hipercze"/>
            <w:noProof/>
          </w:rPr>
          <w:t>Mierzenie sukcesów</w:t>
        </w:r>
        <w:r w:rsidR="007F4FA2">
          <w:rPr>
            <w:noProof/>
            <w:webHidden/>
          </w:rPr>
          <w:tab/>
        </w:r>
        <w:r w:rsidR="007F4FA2">
          <w:rPr>
            <w:noProof/>
            <w:webHidden/>
          </w:rPr>
          <w:fldChar w:fldCharType="begin"/>
        </w:r>
        <w:r w:rsidR="007F4FA2">
          <w:rPr>
            <w:noProof/>
            <w:webHidden/>
          </w:rPr>
          <w:instrText xml:space="preserve"> PAGEREF _Toc5699482 \h </w:instrText>
        </w:r>
        <w:r w:rsidR="007F4FA2">
          <w:rPr>
            <w:noProof/>
            <w:webHidden/>
          </w:rPr>
        </w:r>
        <w:r w:rsidR="007F4FA2">
          <w:rPr>
            <w:noProof/>
            <w:webHidden/>
          </w:rPr>
          <w:fldChar w:fldCharType="separate"/>
        </w:r>
        <w:r w:rsidR="007F4FA2">
          <w:rPr>
            <w:noProof/>
            <w:webHidden/>
          </w:rPr>
          <w:t>94</w:t>
        </w:r>
        <w:r w:rsidR="007F4FA2">
          <w:rPr>
            <w:noProof/>
            <w:webHidden/>
          </w:rPr>
          <w:fldChar w:fldCharType="end"/>
        </w:r>
      </w:hyperlink>
    </w:p>
    <w:p w14:paraId="401B6159"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483" w:history="1">
        <w:r w:rsidR="007F4FA2" w:rsidRPr="00D61321">
          <w:rPr>
            <w:rStyle w:val="Hipercze"/>
            <w:noProof/>
          </w:rPr>
          <w:t>6.1.1.</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Odwieczny problem doboru wskaźników</w:t>
        </w:r>
        <w:r w:rsidR="007F4FA2">
          <w:rPr>
            <w:noProof/>
            <w:webHidden/>
          </w:rPr>
          <w:tab/>
        </w:r>
        <w:r w:rsidR="007F4FA2">
          <w:rPr>
            <w:noProof/>
            <w:webHidden/>
          </w:rPr>
          <w:fldChar w:fldCharType="begin"/>
        </w:r>
        <w:r w:rsidR="007F4FA2">
          <w:rPr>
            <w:noProof/>
            <w:webHidden/>
          </w:rPr>
          <w:instrText xml:space="preserve"> PAGEREF _Toc5699483 \h </w:instrText>
        </w:r>
        <w:r w:rsidR="007F4FA2">
          <w:rPr>
            <w:noProof/>
            <w:webHidden/>
          </w:rPr>
        </w:r>
        <w:r w:rsidR="007F4FA2">
          <w:rPr>
            <w:noProof/>
            <w:webHidden/>
          </w:rPr>
          <w:fldChar w:fldCharType="separate"/>
        </w:r>
        <w:r w:rsidR="007F4FA2">
          <w:rPr>
            <w:noProof/>
            <w:webHidden/>
          </w:rPr>
          <w:t>94</w:t>
        </w:r>
        <w:r w:rsidR="007F4FA2">
          <w:rPr>
            <w:noProof/>
            <w:webHidden/>
          </w:rPr>
          <w:fldChar w:fldCharType="end"/>
        </w:r>
      </w:hyperlink>
    </w:p>
    <w:p w14:paraId="75727290"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484" w:history="1">
        <w:r w:rsidR="007F4FA2" w:rsidRPr="00D61321">
          <w:rPr>
            <w:rStyle w:val="Hipercze"/>
            <w:noProof/>
          </w:rPr>
          <w:t>6.1.2.</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Obszary tematyczne bez wskaźników</w:t>
        </w:r>
        <w:r w:rsidR="007F4FA2">
          <w:rPr>
            <w:noProof/>
            <w:webHidden/>
          </w:rPr>
          <w:tab/>
        </w:r>
        <w:r w:rsidR="007F4FA2">
          <w:rPr>
            <w:noProof/>
            <w:webHidden/>
          </w:rPr>
          <w:fldChar w:fldCharType="begin"/>
        </w:r>
        <w:r w:rsidR="007F4FA2">
          <w:rPr>
            <w:noProof/>
            <w:webHidden/>
          </w:rPr>
          <w:instrText xml:space="preserve"> PAGEREF _Toc5699484 \h </w:instrText>
        </w:r>
        <w:r w:rsidR="007F4FA2">
          <w:rPr>
            <w:noProof/>
            <w:webHidden/>
          </w:rPr>
        </w:r>
        <w:r w:rsidR="007F4FA2">
          <w:rPr>
            <w:noProof/>
            <w:webHidden/>
          </w:rPr>
          <w:fldChar w:fldCharType="separate"/>
        </w:r>
        <w:r w:rsidR="007F4FA2">
          <w:rPr>
            <w:noProof/>
            <w:webHidden/>
          </w:rPr>
          <w:t>96</w:t>
        </w:r>
        <w:r w:rsidR="007F4FA2">
          <w:rPr>
            <w:noProof/>
            <w:webHidden/>
          </w:rPr>
          <w:fldChar w:fldCharType="end"/>
        </w:r>
      </w:hyperlink>
    </w:p>
    <w:p w14:paraId="42A1F958"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485" w:history="1">
        <w:r w:rsidR="007F4FA2" w:rsidRPr="00D61321">
          <w:rPr>
            <w:rStyle w:val="Hipercze"/>
            <w:noProof/>
          </w:rPr>
          <w:t>6.1.3.</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Gdy opieramy się na statystyce publicznej</w:t>
        </w:r>
        <w:r w:rsidR="007F4FA2">
          <w:rPr>
            <w:noProof/>
            <w:webHidden/>
          </w:rPr>
          <w:tab/>
        </w:r>
        <w:r w:rsidR="007F4FA2">
          <w:rPr>
            <w:noProof/>
            <w:webHidden/>
          </w:rPr>
          <w:fldChar w:fldCharType="begin"/>
        </w:r>
        <w:r w:rsidR="007F4FA2">
          <w:rPr>
            <w:noProof/>
            <w:webHidden/>
          </w:rPr>
          <w:instrText xml:space="preserve"> PAGEREF _Toc5699485 \h </w:instrText>
        </w:r>
        <w:r w:rsidR="007F4FA2">
          <w:rPr>
            <w:noProof/>
            <w:webHidden/>
          </w:rPr>
        </w:r>
        <w:r w:rsidR="007F4FA2">
          <w:rPr>
            <w:noProof/>
            <w:webHidden/>
          </w:rPr>
          <w:fldChar w:fldCharType="separate"/>
        </w:r>
        <w:r w:rsidR="007F4FA2">
          <w:rPr>
            <w:noProof/>
            <w:webHidden/>
          </w:rPr>
          <w:t>97</w:t>
        </w:r>
        <w:r w:rsidR="007F4FA2">
          <w:rPr>
            <w:noProof/>
            <w:webHidden/>
          </w:rPr>
          <w:fldChar w:fldCharType="end"/>
        </w:r>
      </w:hyperlink>
    </w:p>
    <w:p w14:paraId="5AE788B2"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486" w:history="1">
        <w:r w:rsidR="007F4FA2" w:rsidRPr="00D61321">
          <w:rPr>
            <w:rStyle w:val="Hipercze"/>
            <w:noProof/>
          </w:rPr>
          <w:t>6.1.4.</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Ku lepszym wskaźnikom</w:t>
        </w:r>
        <w:r w:rsidR="007F4FA2">
          <w:rPr>
            <w:noProof/>
            <w:webHidden/>
          </w:rPr>
          <w:tab/>
        </w:r>
        <w:r w:rsidR="007F4FA2">
          <w:rPr>
            <w:noProof/>
            <w:webHidden/>
          </w:rPr>
          <w:fldChar w:fldCharType="begin"/>
        </w:r>
        <w:r w:rsidR="007F4FA2">
          <w:rPr>
            <w:noProof/>
            <w:webHidden/>
          </w:rPr>
          <w:instrText xml:space="preserve"> PAGEREF _Toc5699486 \h </w:instrText>
        </w:r>
        <w:r w:rsidR="007F4FA2">
          <w:rPr>
            <w:noProof/>
            <w:webHidden/>
          </w:rPr>
        </w:r>
        <w:r w:rsidR="007F4FA2">
          <w:rPr>
            <w:noProof/>
            <w:webHidden/>
          </w:rPr>
          <w:fldChar w:fldCharType="separate"/>
        </w:r>
        <w:r w:rsidR="007F4FA2">
          <w:rPr>
            <w:noProof/>
            <w:webHidden/>
          </w:rPr>
          <w:t>97</w:t>
        </w:r>
        <w:r w:rsidR="007F4FA2">
          <w:rPr>
            <w:noProof/>
            <w:webHidden/>
          </w:rPr>
          <w:fldChar w:fldCharType="end"/>
        </w:r>
      </w:hyperlink>
    </w:p>
    <w:p w14:paraId="7F740BCC" w14:textId="77777777" w:rsidR="007F4FA2" w:rsidRDefault="00C738EB">
      <w:pPr>
        <w:pStyle w:val="Spistreci2"/>
        <w:tabs>
          <w:tab w:val="left" w:pos="880"/>
          <w:tab w:val="right" w:leader="underscore" w:pos="9062"/>
        </w:tabs>
        <w:rPr>
          <w:rFonts w:asciiTheme="minorHAnsi" w:eastAsiaTheme="minorEastAsia" w:hAnsiTheme="minorHAnsi" w:cstheme="minorBidi"/>
          <w:smallCaps w:val="0"/>
          <w:noProof/>
          <w:color w:val="auto"/>
          <w:sz w:val="22"/>
          <w:szCs w:val="22"/>
          <w:lang w:eastAsia="pl-PL"/>
        </w:rPr>
      </w:pPr>
      <w:hyperlink w:anchor="_Toc5699487" w:history="1">
        <w:r w:rsidR="007F4FA2" w:rsidRPr="00D61321">
          <w:rPr>
            <w:rStyle w:val="Hipercze"/>
            <w:noProof/>
          </w:rPr>
          <w:t>6.2.</w:t>
        </w:r>
        <w:r w:rsidR="007F4FA2">
          <w:rPr>
            <w:rFonts w:asciiTheme="minorHAnsi" w:eastAsiaTheme="minorEastAsia" w:hAnsiTheme="minorHAnsi" w:cstheme="minorBidi"/>
            <w:smallCaps w:val="0"/>
            <w:noProof/>
            <w:color w:val="auto"/>
            <w:sz w:val="22"/>
            <w:szCs w:val="22"/>
            <w:lang w:eastAsia="pl-PL"/>
          </w:rPr>
          <w:tab/>
        </w:r>
        <w:r w:rsidR="007F4FA2" w:rsidRPr="00D61321">
          <w:rPr>
            <w:rStyle w:val="Hipercze"/>
            <w:noProof/>
          </w:rPr>
          <w:t>W kierunku optymalnego monitoringu</w:t>
        </w:r>
        <w:r w:rsidR="007F4FA2">
          <w:rPr>
            <w:noProof/>
            <w:webHidden/>
          </w:rPr>
          <w:tab/>
        </w:r>
        <w:r w:rsidR="007F4FA2">
          <w:rPr>
            <w:noProof/>
            <w:webHidden/>
          </w:rPr>
          <w:fldChar w:fldCharType="begin"/>
        </w:r>
        <w:r w:rsidR="007F4FA2">
          <w:rPr>
            <w:noProof/>
            <w:webHidden/>
          </w:rPr>
          <w:instrText xml:space="preserve"> PAGEREF _Toc5699487 \h </w:instrText>
        </w:r>
        <w:r w:rsidR="007F4FA2">
          <w:rPr>
            <w:noProof/>
            <w:webHidden/>
          </w:rPr>
        </w:r>
        <w:r w:rsidR="007F4FA2">
          <w:rPr>
            <w:noProof/>
            <w:webHidden/>
          </w:rPr>
          <w:fldChar w:fldCharType="separate"/>
        </w:r>
        <w:r w:rsidR="007F4FA2">
          <w:rPr>
            <w:noProof/>
            <w:webHidden/>
          </w:rPr>
          <w:t>98</w:t>
        </w:r>
        <w:r w:rsidR="007F4FA2">
          <w:rPr>
            <w:noProof/>
            <w:webHidden/>
          </w:rPr>
          <w:fldChar w:fldCharType="end"/>
        </w:r>
      </w:hyperlink>
    </w:p>
    <w:p w14:paraId="21F589F9"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488" w:history="1">
        <w:r w:rsidR="007F4FA2" w:rsidRPr="00D61321">
          <w:rPr>
            <w:rStyle w:val="Hipercze"/>
            <w:noProof/>
          </w:rPr>
          <w:t>6.2.1.</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Czego nas uczą inne regiony?</w:t>
        </w:r>
        <w:r w:rsidR="007F4FA2">
          <w:rPr>
            <w:noProof/>
            <w:webHidden/>
          </w:rPr>
          <w:tab/>
        </w:r>
        <w:r w:rsidR="007F4FA2">
          <w:rPr>
            <w:noProof/>
            <w:webHidden/>
          </w:rPr>
          <w:fldChar w:fldCharType="begin"/>
        </w:r>
        <w:r w:rsidR="007F4FA2">
          <w:rPr>
            <w:noProof/>
            <w:webHidden/>
          </w:rPr>
          <w:instrText xml:space="preserve"> PAGEREF _Toc5699488 \h </w:instrText>
        </w:r>
        <w:r w:rsidR="007F4FA2">
          <w:rPr>
            <w:noProof/>
            <w:webHidden/>
          </w:rPr>
        </w:r>
        <w:r w:rsidR="007F4FA2">
          <w:rPr>
            <w:noProof/>
            <w:webHidden/>
          </w:rPr>
          <w:fldChar w:fldCharType="separate"/>
        </w:r>
        <w:r w:rsidR="007F4FA2">
          <w:rPr>
            <w:noProof/>
            <w:webHidden/>
          </w:rPr>
          <w:t>98</w:t>
        </w:r>
        <w:r w:rsidR="007F4FA2">
          <w:rPr>
            <w:noProof/>
            <w:webHidden/>
          </w:rPr>
          <w:fldChar w:fldCharType="end"/>
        </w:r>
      </w:hyperlink>
    </w:p>
    <w:p w14:paraId="63BAC87B"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489" w:history="1">
        <w:r w:rsidR="007F4FA2" w:rsidRPr="00D61321">
          <w:rPr>
            <w:rStyle w:val="Hipercze"/>
            <w:noProof/>
          </w:rPr>
          <w:t>6.2.2.</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Organizacja lepszego monitoringu</w:t>
        </w:r>
        <w:r w:rsidR="007F4FA2">
          <w:rPr>
            <w:noProof/>
            <w:webHidden/>
          </w:rPr>
          <w:tab/>
        </w:r>
        <w:r w:rsidR="007F4FA2">
          <w:rPr>
            <w:noProof/>
            <w:webHidden/>
          </w:rPr>
          <w:fldChar w:fldCharType="begin"/>
        </w:r>
        <w:r w:rsidR="007F4FA2">
          <w:rPr>
            <w:noProof/>
            <w:webHidden/>
          </w:rPr>
          <w:instrText xml:space="preserve"> PAGEREF _Toc5699489 \h </w:instrText>
        </w:r>
        <w:r w:rsidR="007F4FA2">
          <w:rPr>
            <w:noProof/>
            <w:webHidden/>
          </w:rPr>
        </w:r>
        <w:r w:rsidR="007F4FA2">
          <w:rPr>
            <w:noProof/>
            <w:webHidden/>
          </w:rPr>
          <w:fldChar w:fldCharType="separate"/>
        </w:r>
        <w:r w:rsidR="007F4FA2">
          <w:rPr>
            <w:noProof/>
            <w:webHidden/>
          </w:rPr>
          <w:t>99</w:t>
        </w:r>
        <w:r w:rsidR="007F4FA2">
          <w:rPr>
            <w:noProof/>
            <w:webHidden/>
          </w:rPr>
          <w:fldChar w:fldCharType="end"/>
        </w:r>
      </w:hyperlink>
    </w:p>
    <w:p w14:paraId="0FAA0B46" w14:textId="77777777" w:rsidR="007F4FA2" w:rsidRDefault="00C738EB">
      <w:pPr>
        <w:pStyle w:val="Spistreci1"/>
        <w:tabs>
          <w:tab w:val="left" w:pos="440"/>
          <w:tab w:val="right" w:leader="underscore" w:pos="9062"/>
        </w:tabs>
        <w:rPr>
          <w:rFonts w:asciiTheme="minorHAnsi" w:eastAsiaTheme="minorEastAsia" w:hAnsiTheme="minorHAnsi" w:cstheme="minorBidi"/>
          <w:b w:val="0"/>
          <w:bCs w:val="0"/>
          <w:caps w:val="0"/>
          <w:noProof/>
          <w:color w:val="auto"/>
          <w:sz w:val="22"/>
          <w:szCs w:val="22"/>
          <w:lang w:eastAsia="pl-PL"/>
        </w:rPr>
      </w:pPr>
      <w:hyperlink w:anchor="_Toc5699490" w:history="1">
        <w:r w:rsidR="007F4FA2" w:rsidRPr="00D61321">
          <w:rPr>
            <w:rStyle w:val="Hipercze"/>
            <w:noProof/>
          </w:rPr>
          <w:t>7.</w:t>
        </w:r>
        <w:r w:rsidR="007F4FA2">
          <w:rPr>
            <w:rFonts w:asciiTheme="minorHAnsi" w:eastAsiaTheme="minorEastAsia" w:hAnsiTheme="minorHAnsi" w:cstheme="minorBidi"/>
            <w:b w:val="0"/>
            <w:bCs w:val="0"/>
            <w:caps w:val="0"/>
            <w:noProof/>
            <w:color w:val="auto"/>
            <w:sz w:val="22"/>
            <w:szCs w:val="22"/>
            <w:lang w:eastAsia="pl-PL"/>
          </w:rPr>
          <w:tab/>
        </w:r>
        <w:r w:rsidR="007F4FA2" w:rsidRPr="00D61321">
          <w:rPr>
            <w:rStyle w:val="Hipercze"/>
            <w:noProof/>
          </w:rPr>
          <w:t>Wizja nowego systemu realizacji Strategii</w:t>
        </w:r>
        <w:r w:rsidR="007F4FA2">
          <w:rPr>
            <w:noProof/>
            <w:webHidden/>
          </w:rPr>
          <w:tab/>
        </w:r>
        <w:r w:rsidR="007F4FA2">
          <w:rPr>
            <w:noProof/>
            <w:webHidden/>
          </w:rPr>
          <w:fldChar w:fldCharType="begin"/>
        </w:r>
        <w:r w:rsidR="007F4FA2">
          <w:rPr>
            <w:noProof/>
            <w:webHidden/>
          </w:rPr>
          <w:instrText xml:space="preserve"> PAGEREF _Toc5699490 \h </w:instrText>
        </w:r>
        <w:r w:rsidR="007F4FA2">
          <w:rPr>
            <w:noProof/>
            <w:webHidden/>
          </w:rPr>
        </w:r>
        <w:r w:rsidR="007F4FA2">
          <w:rPr>
            <w:noProof/>
            <w:webHidden/>
          </w:rPr>
          <w:fldChar w:fldCharType="separate"/>
        </w:r>
        <w:r w:rsidR="007F4FA2">
          <w:rPr>
            <w:noProof/>
            <w:webHidden/>
          </w:rPr>
          <w:t>102</w:t>
        </w:r>
        <w:r w:rsidR="007F4FA2">
          <w:rPr>
            <w:noProof/>
            <w:webHidden/>
          </w:rPr>
          <w:fldChar w:fldCharType="end"/>
        </w:r>
      </w:hyperlink>
    </w:p>
    <w:p w14:paraId="097F4830" w14:textId="77777777" w:rsidR="007F4FA2" w:rsidRDefault="00C738EB">
      <w:pPr>
        <w:pStyle w:val="Spistreci2"/>
        <w:tabs>
          <w:tab w:val="left" w:pos="880"/>
          <w:tab w:val="right" w:leader="underscore" w:pos="9062"/>
        </w:tabs>
        <w:rPr>
          <w:rFonts w:asciiTheme="minorHAnsi" w:eastAsiaTheme="minorEastAsia" w:hAnsiTheme="minorHAnsi" w:cstheme="minorBidi"/>
          <w:smallCaps w:val="0"/>
          <w:noProof/>
          <w:color w:val="auto"/>
          <w:sz w:val="22"/>
          <w:szCs w:val="22"/>
          <w:lang w:eastAsia="pl-PL"/>
        </w:rPr>
      </w:pPr>
      <w:hyperlink w:anchor="_Toc5699491" w:history="1">
        <w:r w:rsidR="007F4FA2" w:rsidRPr="00D61321">
          <w:rPr>
            <w:rStyle w:val="Hipercze"/>
            <w:noProof/>
          </w:rPr>
          <w:t>7.1.</w:t>
        </w:r>
        <w:r w:rsidR="007F4FA2">
          <w:rPr>
            <w:rFonts w:asciiTheme="minorHAnsi" w:eastAsiaTheme="minorEastAsia" w:hAnsiTheme="minorHAnsi" w:cstheme="minorBidi"/>
            <w:smallCaps w:val="0"/>
            <w:noProof/>
            <w:color w:val="auto"/>
            <w:sz w:val="22"/>
            <w:szCs w:val="22"/>
            <w:lang w:eastAsia="pl-PL"/>
          </w:rPr>
          <w:tab/>
        </w:r>
        <w:r w:rsidR="007F4FA2" w:rsidRPr="00D61321">
          <w:rPr>
            <w:rStyle w:val="Hipercze"/>
            <w:noProof/>
          </w:rPr>
          <w:t>Bogata lista dokumentów strategicznych i programowych</w:t>
        </w:r>
        <w:r w:rsidR="007F4FA2">
          <w:rPr>
            <w:noProof/>
            <w:webHidden/>
          </w:rPr>
          <w:tab/>
        </w:r>
        <w:r w:rsidR="007F4FA2">
          <w:rPr>
            <w:noProof/>
            <w:webHidden/>
          </w:rPr>
          <w:fldChar w:fldCharType="begin"/>
        </w:r>
        <w:r w:rsidR="007F4FA2">
          <w:rPr>
            <w:noProof/>
            <w:webHidden/>
          </w:rPr>
          <w:instrText xml:space="preserve"> PAGEREF _Toc5699491 \h </w:instrText>
        </w:r>
        <w:r w:rsidR="007F4FA2">
          <w:rPr>
            <w:noProof/>
            <w:webHidden/>
          </w:rPr>
        </w:r>
        <w:r w:rsidR="007F4FA2">
          <w:rPr>
            <w:noProof/>
            <w:webHidden/>
          </w:rPr>
          <w:fldChar w:fldCharType="separate"/>
        </w:r>
        <w:r w:rsidR="007F4FA2">
          <w:rPr>
            <w:noProof/>
            <w:webHidden/>
          </w:rPr>
          <w:t>102</w:t>
        </w:r>
        <w:r w:rsidR="007F4FA2">
          <w:rPr>
            <w:noProof/>
            <w:webHidden/>
          </w:rPr>
          <w:fldChar w:fldCharType="end"/>
        </w:r>
      </w:hyperlink>
    </w:p>
    <w:p w14:paraId="7300FF0C"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492" w:history="1">
        <w:r w:rsidR="007F4FA2" w:rsidRPr="00D61321">
          <w:rPr>
            <w:rStyle w:val="Hipercze"/>
            <w:noProof/>
          </w:rPr>
          <w:t>7.1.1.</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W kierunku wizji jednej strategii na poziomie Samorządu Województwa</w:t>
        </w:r>
        <w:r w:rsidR="007F4FA2">
          <w:rPr>
            <w:noProof/>
            <w:webHidden/>
          </w:rPr>
          <w:tab/>
        </w:r>
        <w:r w:rsidR="007F4FA2">
          <w:rPr>
            <w:noProof/>
            <w:webHidden/>
          </w:rPr>
          <w:fldChar w:fldCharType="begin"/>
        </w:r>
        <w:r w:rsidR="007F4FA2">
          <w:rPr>
            <w:noProof/>
            <w:webHidden/>
          </w:rPr>
          <w:instrText xml:space="preserve"> PAGEREF _Toc5699492 \h </w:instrText>
        </w:r>
        <w:r w:rsidR="007F4FA2">
          <w:rPr>
            <w:noProof/>
            <w:webHidden/>
          </w:rPr>
        </w:r>
        <w:r w:rsidR="007F4FA2">
          <w:rPr>
            <w:noProof/>
            <w:webHidden/>
          </w:rPr>
          <w:fldChar w:fldCharType="separate"/>
        </w:r>
        <w:r w:rsidR="007F4FA2">
          <w:rPr>
            <w:noProof/>
            <w:webHidden/>
          </w:rPr>
          <w:t>102</w:t>
        </w:r>
        <w:r w:rsidR="007F4FA2">
          <w:rPr>
            <w:noProof/>
            <w:webHidden/>
          </w:rPr>
          <w:fldChar w:fldCharType="end"/>
        </w:r>
      </w:hyperlink>
    </w:p>
    <w:p w14:paraId="0845769C"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493" w:history="1">
        <w:r w:rsidR="007F4FA2" w:rsidRPr="00D61321">
          <w:rPr>
            <w:rStyle w:val="Hipercze"/>
            <w:noProof/>
          </w:rPr>
          <w:t>7.1.2.</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RIS3 – przypadek szczególnie ważny</w:t>
        </w:r>
        <w:r w:rsidR="007F4FA2">
          <w:rPr>
            <w:noProof/>
            <w:webHidden/>
          </w:rPr>
          <w:tab/>
        </w:r>
        <w:r w:rsidR="007F4FA2">
          <w:rPr>
            <w:noProof/>
            <w:webHidden/>
          </w:rPr>
          <w:fldChar w:fldCharType="begin"/>
        </w:r>
        <w:r w:rsidR="007F4FA2">
          <w:rPr>
            <w:noProof/>
            <w:webHidden/>
          </w:rPr>
          <w:instrText xml:space="preserve"> PAGEREF _Toc5699493 \h </w:instrText>
        </w:r>
        <w:r w:rsidR="007F4FA2">
          <w:rPr>
            <w:noProof/>
            <w:webHidden/>
          </w:rPr>
        </w:r>
        <w:r w:rsidR="007F4FA2">
          <w:rPr>
            <w:noProof/>
            <w:webHidden/>
          </w:rPr>
          <w:fldChar w:fldCharType="separate"/>
        </w:r>
        <w:r w:rsidR="007F4FA2">
          <w:rPr>
            <w:noProof/>
            <w:webHidden/>
          </w:rPr>
          <w:t>103</w:t>
        </w:r>
        <w:r w:rsidR="007F4FA2">
          <w:rPr>
            <w:noProof/>
            <w:webHidden/>
          </w:rPr>
          <w:fldChar w:fldCharType="end"/>
        </w:r>
      </w:hyperlink>
    </w:p>
    <w:p w14:paraId="6BE3ECE6" w14:textId="77777777" w:rsidR="007F4FA2" w:rsidRDefault="00C738EB">
      <w:pPr>
        <w:pStyle w:val="Spistreci2"/>
        <w:tabs>
          <w:tab w:val="left" w:pos="880"/>
          <w:tab w:val="right" w:leader="underscore" w:pos="9062"/>
        </w:tabs>
        <w:rPr>
          <w:rFonts w:asciiTheme="minorHAnsi" w:eastAsiaTheme="minorEastAsia" w:hAnsiTheme="minorHAnsi" w:cstheme="minorBidi"/>
          <w:smallCaps w:val="0"/>
          <w:noProof/>
          <w:color w:val="auto"/>
          <w:sz w:val="22"/>
          <w:szCs w:val="22"/>
          <w:lang w:eastAsia="pl-PL"/>
        </w:rPr>
      </w:pPr>
      <w:hyperlink w:anchor="_Toc5699494" w:history="1">
        <w:r w:rsidR="007F4FA2" w:rsidRPr="00D61321">
          <w:rPr>
            <w:rStyle w:val="Hipercze"/>
            <w:noProof/>
          </w:rPr>
          <w:t>7.2.</w:t>
        </w:r>
        <w:r w:rsidR="007F4FA2">
          <w:rPr>
            <w:rFonts w:asciiTheme="minorHAnsi" w:eastAsiaTheme="minorEastAsia" w:hAnsiTheme="minorHAnsi" w:cstheme="minorBidi"/>
            <w:smallCaps w:val="0"/>
            <w:noProof/>
            <w:color w:val="auto"/>
            <w:sz w:val="22"/>
            <w:szCs w:val="22"/>
            <w:lang w:eastAsia="pl-PL"/>
          </w:rPr>
          <w:tab/>
        </w:r>
        <w:r w:rsidR="007F4FA2" w:rsidRPr="00D61321">
          <w:rPr>
            <w:rStyle w:val="Hipercze"/>
            <w:noProof/>
          </w:rPr>
          <w:t>Organizacja systemu – kontekst zmian w otoczeniu</w:t>
        </w:r>
        <w:r w:rsidR="007F4FA2">
          <w:rPr>
            <w:noProof/>
            <w:webHidden/>
          </w:rPr>
          <w:tab/>
        </w:r>
        <w:r w:rsidR="007F4FA2">
          <w:rPr>
            <w:noProof/>
            <w:webHidden/>
          </w:rPr>
          <w:fldChar w:fldCharType="begin"/>
        </w:r>
        <w:r w:rsidR="007F4FA2">
          <w:rPr>
            <w:noProof/>
            <w:webHidden/>
          </w:rPr>
          <w:instrText xml:space="preserve"> PAGEREF _Toc5699494 \h </w:instrText>
        </w:r>
        <w:r w:rsidR="007F4FA2">
          <w:rPr>
            <w:noProof/>
            <w:webHidden/>
          </w:rPr>
        </w:r>
        <w:r w:rsidR="007F4FA2">
          <w:rPr>
            <w:noProof/>
            <w:webHidden/>
          </w:rPr>
          <w:fldChar w:fldCharType="separate"/>
        </w:r>
        <w:r w:rsidR="007F4FA2">
          <w:rPr>
            <w:noProof/>
            <w:webHidden/>
          </w:rPr>
          <w:t>105</w:t>
        </w:r>
        <w:r w:rsidR="007F4FA2">
          <w:rPr>
            <w:noProof/>
            <w:webHidden/>
          </w:rPr>
          <w:fldChar w:fldCharType="end"/>
        </w:r>
      </w:hyperlink>
    </w:p>
    <w:p w14:paraId="22043688" w14:textId="77777777" w:rsidR="007F4FA2" w:rsidRDefault="00C738EB">
      <w:pPr>
        <w:pStyle w:val="Spistreci2"/>
        <w:tabs>
          <w:tab w:val="left" w:pos="880"/>
          <w:tab w:val="right" w:leader="underscore" w:pos="9062"/>
        </w:tabs>
        <w:rPr>
          <w:rFonts w:asciiTheme="minorHAnsi" w:eastAsiaTheme="minorEastAsia" w:hAnsiTheme="minorHAnsi" w:cstheme="minorBidi"/>
          <w:smallCaps w:val="0"/>
          <w:noProof/>
          <w:color w:val="auto"/>
          <w:sz w:val="22"/>
          <w:szCs w:val="22"/>
          <w:lang w:eastAsia="pl-PL"/>
        </w:rPr>
      </w:pPr>
      <w:hyperlink w:anchor="_Toc5699495" w:history="1">
        <w:r w:rsidR="007F4FA2" w:rsidRPr="00D61321">
          <w:rPr>
            <w:rStyle w:val="Hipercze"/>
            <w:noProof/>
          </w:rPr>
          <w:t>7.3.</w:t>
        </w:r>
        <w:r w:rsidR="007F4FA2">
          <w:rPr>
            <w:rFonts w:asciiTheme="minorHAnsi" w:eastAsiaTheme="minorEastAsia" w:hAnsiTheme="minorHAnsi" w:cstheme="minorBidi"/>
            <w:smallCaps w:val="0"/>
            <w:noProof/>
            <w:color w:val="auto"/>
            <w:sz w:val="22"/>
            <w:szCs w:val="22"/>
            <w:lang w:eastAsia="pl-PL"/>
          </w:rPr>
          <w:tab/>
        </w:r>
        <w:r w:rsidR="007F4FA2" w:rsidRPr="00D61321">
          <w:rPr>
            <w:rStyle w:val="Hipercze"/>
            <w:noProof/>
          </w:rPr>
          <w:t>Wizja systemu planowania strategicznego i operacyjnego</w:t>
        </w:r>
        <w:r w:rsidR="007F4FA2">
          <w:rPr>
            <w:noProof/>
            <w:webHidden/>
          </w:rPr>
          <w:tab/>
        </w:r>
        <w:r w:rsidR="007F4FA2">
          <w:rPr>
            <w:noProof/>
            <w:webHidden/>
          </w:rPr>
          <w:fldChar w:fldCharType="begin"/>
        </w:r>
        <w:r w:rsidR="007F4FA2">
          <w:rPr>
            <w:noProof/>
            <w:webHidden/>
          </w:rPr>
          <w:instrText xml:space="preserve"> PAGEREF _Toc5699495 \h </w:instrText>
        </w:r>
        <w:r w:rsidR="007F4FA2">
          <w:rPr>
            <w:noProof/>
            <w:webHidden/>
          </w:rPr>
        </w:r>
        <w:r w:rsidR="007F4FA2">
          <w:rPr>
            <w:noProof/>
            <w:webHidden/>
          </w:rPr>
          <w:fldChar w:fldCharType="separate"/>
        </w:r>
        <w:r w:rsidR="007F4FA2">
          <w:rPr>
            <w:noProof/>
            <w:webHidden/>
          </w:rPr>
          <w:t>106</w:t>
        </w:r>
        <w:r w:rsidR="007F4FA2">
          <w:rPr>
            <w:noProof/>
            <w:webHidden/>
          </w:rPr>
          <w:fldChar w:fldCharType="end"/>
        </w:r>
      </w:hyperlink>
    </w:p>
    <w:p w14:paraId="16ACC65E"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496" w:history="1">
        <w:r w:rsidR="007F4FA2" w:rsidRPr="00D61321">
          <w:rPr>
            <w:rStyle w:val="Hipercze"/>
            <w:noProof/>
          </w:rPr>
          <w:t>7.3.1.</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Spójność dokumentów wdrożeniowych i SRWW 2020</w:t>
        </w:r>
        <w:r w:rsidR="007F4FA2">
          <w:rPr>
            <w:noProof/>
            <w:webHidden/>
          </w:rPr>
          <w:tab/>
        </w:r>
        <w:r w:rsidR="007F4FA2">
          <w:rPr>
            <w:noProof/>
            <w:webHidden/>
          </w:rPr>
          <w:fldChar w:fldCharType="begin"/>
        </w:r>
        <w:r w:rsidR="007F4FA2">
          <w:rPr>
            <w:noProof/>
            <w:webHidden/>
          </w:rPr>
          <w:instrText xml:space="preserve"> PAGEREF _Toc5699496 \h </w:instrText>
        </w:r>
        <w:r w:rsidR="007F4FA2">
          <w:rPr>
            <w:noProof/>
            <w:webHidden/>
          </w:rPr>
        </w:r>
        <w:r w:rsidR="007F4FA2">
          <w:rPr>
            <w:noProof/>
            <w:webHidden/>
          </w:rPr>
          <w:fldChar w:fldCharType="separate"/>
        </w:r>
        <w:r w:rsidR="007F4FA2">
          <w:rPr>
            <w:noProof/>
            <w:webHidden/>
          </w:rPr>
          <w:t>107</w:t>
        </w:r>
        <w:r w:rsidR="007F4FA2">
          <w:rPr>
            <w:noProof/>
            <w:webHidden/>
          </w:rPr>
          <w:fldChar w:fldCharType="end"/>
        </w:r>
      </w:hyperlink>
    </w:p>
    <w:p w14:paraId="7D42B825"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497" w:history="1">
        <w:r w:rsidR="007F4FA2" w:rsidRPr="00D61321">
          <w:rPr>
            <w:rStyle w:val="Hipercze"/>
            <w:noProof/>
          </w:rPr>
          <w:t>7.3.2.</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Cechy nowej Strategii</w:t>
        </w:r>
        <w:r w:rsidR="007F4FA2">
          <w:rPr>
            <w:noProof/>
            <w:webHidden/>
          </w:rPr>
          <w:tab/>
        </w:r>
        <w:r w:rsidR="007F4FA2">
          <w:rPr>
            <w:noProof/>
            <w:webHidden/>
          </w:rPr>
          <w:fldChar w:fldCharType="begin"/>
        </w:r>
        <w:r w:rsidR="007F4FA2">
          <w:rPr>
            <w:noProof/>
            <w:webHidden/>
          </w:rPr>
          <w:instrText xml:space="preserve"> PAGEREF _Toc5699497 \h </w:instrText>
        </w:r>
        <w:r w:rsidR="007F4FA2">
          <w:rPr>
            <w:noProof/>
            <w:webHidden/>
          </w:rPr>
        </w:r>
        <w:r w:rsidR="007F4FA2">
          <w:rPr>
            <w:noProof/>
            <w:webHidden/>
          </w:rPr>
          <w:fldChar w:fldCharType="separate"/>
        </w:r>
        <w:r w:rsidR="007F4FA2">
          <w:rPr>
            <w:noProof/>
            <w:webHidden/>
          </w:rPr>
          <w:t>109</w:t>
        </w:r>
        <w:r w:rsidR="007F4FA2">
          <w:rPr>
            <w:noProof/>
            <w:webHidden/>
          </w:rPr>
          <w:fldChar w:fldCharType="end"/>
        </w:r>
      </w:hyperlink>
    </w:p>
    <w:p w14:paraId="039F65E5" w14:textId="77777777" w:rsidR="007F4FA2" w:rsidRDefault="00C738EB">
      <w:pPr>
        <w:pStyle w:val="Spistreci2"/>
        <w:tabs>
          <w:tab w:val="left" w:pos="880"/>
          <w:tab w:val="right" w:leader="underscore" w:pos="9062"/>
        </w:tabs>
        <w:rPr>
          <w:rFonts w:asciiTheme="minorHAnsi" w:eastAsiaTheme="minorEastAsia" w:hAnsiTheme="minorHAnsi" w:cstheme="minorBidi"/>
          <w:smallCaps w:val="0"/>
          <w:noProof/>
          <w:color w:val="auto"/>
          <w:sz w:val="22"/>
          <w:szCs w:val="22"/>
          <w:lang w:eastAsia="pl-PL"/>
        </w:rPr>
      </w:pPr>
      <w:hyperlink w:anchor="_Toc5699498" w:history="1">
        <w:r w:rsidR="007F4FA2" w:rsidRPr="00D61321">
          <w:rPr>
            <w:rStyle w:val="Hipercze"/>
            <w:noProof/>
          </w:rPr>
          <w:t>7.4.</w:t>
        </w:r>
        <w:r w:rsidR="007F4FA2">
          <w:rPr>
            <w:rFonts w:asciiTheme="minorHAnsi" w:eastAsiaTheme="minorEastAsia" w:hAnsiTheme="minorHAnsi" w:cstheme="minorBidi"/>
            <w:smallCaps w:val="0"/>
            <w:noProof/>
            <w:color w:val="auto"/>
            <w:sz w:val="22"/>
            <w:szCs w:val="22"/>
            <w:lang w:eastAsia="pl-PL"/>
          </w:rPr>
          <w:tab/>
        </w:r>
        <w:r w:rsidR="007F4FA2" w:rsidRPr="00D61321">
          <w:rPr>
            <w:rStyle w:val="Hipercze"/>
            <w:noProof/>
          </w:rPr>
          <w:t>Systemowe zarządzanie realizacją Strategii</w:t>
        </w:r>
        <w:r w:rsidR="007F4FA2">
          <w:rPr>
            <w:noProof/>
            <w:webHidden/>
          </w:rPr>
          <w:tab/>
        </w:r>
        <w:r w:rsidR="007F4FA2">
          <w:rPr>
            <w:noProof/>
            <w:webHidden/>
          </w:rPr>
          <w:fldChar w:fldCharType="begin"/>
        </w:r>
        <w:r w:rsidR="007F4FA2">
          <w:rPr>
            <w:noProof/>
            <w:webHidden/>
          </w:rPr>
          <w:instrText xml:space="preserve"> PAGEREF _Toc5699498 \h </w:instrText>
        </w:r>
        <w:r w:rsidR="007F4FA2">
          <w:rPr>
            <w:noProof/>
            <w:webHidden/>
          </w:rPr>
        </w:r>
        <w:r w:rsidR="007F4FA2">
          <w:rPr>
            <w:noProof/>
            <w:webHidden/>
          </w:rPr>
          <w:fldChar w:fldCharType="separate"/>
        </w:r>
        <w:r w:rsidR="007F4FA2">
          <w:rPr>
            <w:noProof/>
            <w:webHidden/>
          </w:rPr>
          <w:t>112</w:t>
        </w:r>
        <w:r w:rsidR="007F4FA2">
          <w:rPr>
            <w:noProof/>
            <w:webHidden/>
          </w:rPr>
          <w:fldChar w:fldCharType="end"/>
        </w:r>
      </w:hyperlink>
    </w:p>
    <w:p w14:paraId="1514BED0"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499" w:history="1">
        <w:r w:rsidR="007F4FA2" w:rsidRPr="00D61321">
          <w:rPr>
            <w:rStyle w:val="Hipercze"/>
            <w:noProof/>
          </w:rPr>
          <w:t>7.4.1.</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Czego uczą nas doświadczenia innych województw</w:t>
        </w:r>
        <w:r w:rsidR="007F4FA2">
          <w:rPr>
            <w:noProof/>
            <w:webHidden/>
          </w:rPr>
          <w:tab/>
        </w:r>
        <w:r w:rsidR="007F4FA2">
          <w:rPr>
            <w:noProof/>
            <w:webHidden/>
          </w:rPr>
          <w:fldChar w:fldCharType="begin"/>
        </w:r>
        <w:r w:rsidR="007F4FA2">
          <w:rPr>
            <w:noProof/>
            <w:webHidden/>
          </w:rPr>
          <w:instrText xml:space="preserve"> PAGEREF _Toc5699499 \h </w:instrText>
        </w:r>
        <w:r w:rsidR="007F4FA2">
          <w:rPr>
            <w:noProof/>
            <w:webHidden/>
          </w:rPr>
        </w:r>
        <w:r w:rsidR="007F4FA2">
          <w:rPr>
            <w:noProof/>
            <w:webHidden/>
          </w:rPr>
          <w:fldChar w:fldCharType="separate"/>
        </w:r>
        <w:r w:rsidR="007F4FA2">
          <w:rPr>
            <w:noProof/>
            <w:webHidden/>
          </w:rPr>
          <w:t>112</w:t>
        </w:r>
        <w:r w:rsidR="007F4FA2">
          <w:rPr>
            <w:noProof/>
            <w:webHidden/>
          </w:rPr>
          <w:fldChar w:fldCharType="end"/>
        </w:r>
      </w:hyperlink>
    </w:p>
    <w:p w14:paraId="57E8E304"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500" w:history="1">
        <w:r w:rsidR="007F4FA2" w:rsidRPr="00D61321">
          <w:rPr>
            <w:rStyle w:val="Hipercze"/>
            <w:noProof/>
          </w:rPr>
          <w:t>7.4.2.</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Spójne zarządzanie realizacją Strategii</w:t>
        </w:r>
        <w:r w:rsidR="007F4FA2">
          <w:rPr>
            <w:noProof/>
            <w:webHidden/>
          </w:rPr>
          <w:tab/>
        </w:r>
        <w:r w:rsidR="007F4FA2">
          <w:rPr>
            <w:noProof/>
            <w:webHidden/>
          </w:rPr>
          <w:fldChar w:fldCharType="begin"/>
        </w:r>
        <w:r w:rsidR="007F4FA2">
          <w:rPr>
            <w:noProof/>
            <w:webHidden/>
          </w:rPr>
          <w:instrText xml:space="preserve"> PAGEREF _Toc5699500 \h </w:instrText>
        </w:r>
        <w:r w:rsidR="007F4FA2">
          <w:rPr>
            <w:noProof/>
            <w:webHidden/>
          </w:rPr>
        </w:r>
        <w:r w:rsidR="007F4FA2">
          <w:rPr>
            <w:noProof/>
            <w:webHidden/>
          </w:rPr>
          <w:fldChar w:fldCharType="separate"/>
        </w:r>
        <w:r w:rsidR="007F4FA2">
          <w:rPr>
            <w:noProof/>
            <w:webHidden/>
          </w:rPr>
          <w:t>113</w:t>
        </w:r>
        <w:r w:rsidR="007F4FA2">
          <w:rPr>
            <w:noProof/>
            <w:webHidden/>
          </w:rPr>
          <w:fldChar w:fldCharType="end"/>
        </w:r>
      </w:hyperlink>
    </w:p>
    <w:p w14:paraId="1C59E5CD"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501" w:history="1">
        <w:r w:rsidR="007F4FA2" w:rsidRPr="00D61321">
          <w:rPr>
            <w:rStyle w:val="Hipercze"/>
            <w:noProof/>
          </w:rPr>
          <w:t>7.4.3.</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Skuteczne zarządzanie realizacją Strategii</w:t>
        </w:r>
        <w:r w:rsidR="007F4FA2">
          <w:rPr>
            <w:noProof/>
            <w:webHidden/>
          </w:rPr>
          <w:tab/>
        </w:r>
        <w:r w:rsidR="007F4FA2">
          <w:rPr>
            <w:noProof/>
            <w:webHidden/>
          </w:rPr>
          <w:fldChar w:fldCharType="begin"/>
        </w:r>
        <w:r w:rsidR="007F4FA2">
          <w:rPr>
            <w:noProof/>
            <w:webHidden/>
          </w:rPr>
          <w:instrText xml:space="preserve"> PAGEREF _Toc5699501 \h </w:instrText>
        </w:r>
        <w:r w:rsidR="007F4FA2">
          <w:rPr>
            <w:noProof/>
            <w:webHidden/>
          </w:rPr>
        </w:r>
        <w:r w:rsidR="007F4FA2">
          <w:rPr>
            <w:noProof/>
            <w:webHidden/>
          </w:rPr>
          <w:fldChar w:fldCharType="separate"/>
        </w:r>
        <w:r w:rsidR="007F4FA2">
          <w:rPr>
            <w:noProof/>
            <w:webHidden/>
          </w:rPr>
          <w:t>113</w:t>
        </w:r>
        <w:r w:rsidR="007F4FA2">
          <w:rPr>
            <w:noProof/>
            <w:webHidden/>
          </w:rPr>
          <w:fldChar w:fldCharType="end"/>
        </w:r>
      </w:hyperlink>
    </w:p>
    <w:p w14:paraId="3FD198AE"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502" w:history="1">
        <w:r w:rsidR="007F4FA2" w:rsidRPr="00D61321">
          <w:rPr>
            <w:rStyle w:val="Hipercze"/>
            <w:noProof/>
          </w:rPr>
          <w:t>7.4.4.</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Realizacja strategii – działanie zbiorowe</w:t>
        </w:r>
        <w:r w:rsidR="007F4FA2">
          <w:rPr>
            <w:noProof/>
            <w:webHidden/>
          </w:rPr>
          <w:tab/>
        </w:r>
        <w:r w:rsidR="007F4FA2">
          <w:rPr>
            <w:noProof/>
            <w:webHidden/>
          </w:rPr>
          <w:fldChar w:fldCharType="begin"/>
        </w:r>
        <w:r w:rsidR="007F4FA2">
          <w:rPr>
            <w:noProof/>
            <w:webHidden/>
          </w:rPr>
          <w:instrText xml:space="preserve"> PAGEREF _Toc5699502 \h </w:instrText>
        </w:r>
        <w:r w:rsidR="007F4FA2">
          <w:rPr>
            <w:noProof/>
            <w:webHidden/>
          </w:rPr>
        </w:r>
        <w:r w:rsidR="007F4FA2">
          <w:rPr>
            <w:noProof/>
            <w:webHidden/>
          </w:rPr>
          <w:fldChar w:fldCharType="separate"/>
        </w:r>
        <w:r w:rsidR="007F4FA2">
          <w:rPr>
            <w:noProof/>
            <w:webHidden/>
          </w:rPr>
          <w:t>113</w:t>
        </w:r>
        <w:r w:rsidR="007F4FA2">
          <w:rPr>
            <w:noProof/>
            <w:webHidden/>
          </w:rPr>
          <w:fldChar w:fldCharType="end"/>
        </w:r>
      </w:hyperlink>
    </w:p>
    <w:p w14:paraId="66DB0F52"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503" w:history="1">
        <w:r w:rsidR="007F4FA2" w:rsidRPr="00D61321">
          <w:rPr>
            <w:rStyle w:val="Hipercze"/>
            <w:noProof/>
          </w:rPr>
          <w:t>7.4.5.</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Ku lepszej realizacji Strategii</w:t>
        </w:r>
        <w:r w:rsidR="007F4FA2">
          <w:rPr>
            <w:noProof/>
            <w:webHidden/>
          </w:rPr>
          <w:tab/>
        </w:r>
        <w:r w:rsidR="007F4FA2">
          <w:rPr>
            <w:noProof/>
            <w:webHidden/>
          </w:rPr>
          <w:fldChar w:fldCharType="begin"/>
        </w:r>
        <w:r w:rsidR="007F4FA2">
          <w:rPr>
            <w:noProof/>
            <w:webHidden/>
          </w:rPr>
          <w:instrText xml:space="preserve"> PAGEREF _Toc5699503 \h </w:instrText>
        </w:r>
        <w:r w:rsidR="007F4FA2">
          <w:rPr>
            <w:noProof/>
            <w:webHidden/>
          </w:rPr>
        </w:r>
        <w:r w:rsidR="007F4FA2">
          <w:rPr>
            <w:noProof/>
            <w:webHidden/>
          </w:rPr>
          <w:fldChar w:fldCharType="separate"/>
        </w:r>
        <w:r w:rsidR="007F4FA2">
          <w:rPr>
            <w:noProof/>
            <w:webHidden/>
          </w:rPr>
          <w:t>115</w:t>
        </w:r>
        <w:r w:rsidR="007F4FA2">
          <w:rPr>
            <w:noProof/>
            <w:webHidden/>
          </w:rPr>
          <w:fldChar w:fldCharType="end"/>
        </w:r>
      </w:hyperlink>
    </w:p>
    <w:p w14:paraId="7CE79AE5" w14:textId="77777777" w:rsidR="007F4FA2" w:rsidRDefault="00C738EB">
      <w:pPr>
        <w:pStyle w:val="Spistreci3"/>
        <w:tabs>
          <w:tab w:val="left" w:pos="1320"/>
          <w:tab w:val="right" w:leader="underscore" w:pos="9062"/>
        </w:tabs>
        <w:rPr>
          <w:rFonts w:asciiTheme="minorHAnsi" w:eastAsiaTheme="minorEastAsia" w:hAnsiTheme="minorHAnsi" w:cstheme="minorBidi"/>
          <w:i w:val="0"/>
          <w:iCs w:val="0"/>
          <w:noProof/>
          <w:color w:val="auto"/>
          <w:sz w:val="22"/>
          <w:szCs w:val="22"/>
          <w:lang w:eastAsia="pl-PL"/>
        </w:rPr>
      </w:pPr>
      <w:hyperlink w:anchor="_Toc5699504" w:history="1">
        <w:r w:rsidR="007F4FA2" w:rsidRPr="00D61321">
          <w:rPr>
            <w:rStyle w:val="Hipercze"/>
            <w:noProof/>
          </w:rPr>
          <w:t>7.4.6.</w:t>
        </w:r>
        <w:r w:rsidR="007F4FA2">
          <w:rPr>
            <w:rFonts w:asciiTheme="minorHAnsi" w:eastAsiaTheme="minorEastAsia" w:hAnsiTheme="minorHAnsi" w:cstheme="minorBidi"/>
            <w:i w:val="0"/>
            <w:iCs w:val="0"/>
            <w:noProof/>
            <w:color w:val="auto"/>
            <w:sz w:val="22"/>
            <w:szCs w:val="22"/>
            <w:lang w:eastAsia="pl-PL"/>
          </w:rPr>
          <w:tab/>
        </w:r>
        <w:r w:rsidR="007F4FA2" w:rsidRPr="00D61321">
          <w:rPr>
            <w:rStyle w:val="Hipercze"/>
            <w:noProof/>
          </w:rPr>
          <w:t>Ku integracji planowania strategicznego, operacyjnego i przestrzennego</w:t>
        </w:r>
        <w:r w:rsidR="007F4FA2">
          <w:rPr>
            <w:noProof/>
            <w:webHidden/>
          </w:rPr>
          <w:tab/>
        </w:r>
        <w:r w:rsidR="007F4FA2">
          <w:rPr>
            <w:noProof/>
            <w:webHidden/>
          </w:rPr>
          <w:fldChar w:fldCharType="begin"/>
        </w:r>
        <w:r w:rsidR="007F4FA2">
          <w:rPr>
            <w:noProof/>
            <w:webHidden/>
          </w:rPr>
          <w:instrText xml:space="preserve"> PAGEREF _Toc5699504 \h </w:instrText>
        </w:r>
        <w:r w:rsidR="007F4FA2">
          <w:rPr>
            <w:noProof/>
            <w:webHidden/>
          </w:rPr>
        </w:r>
        <w:r w:rsidR="007F4FA2">
          <w:rPr>
            <w:noProof/>
            <w:webHidden/>
          </w:rPr>
          <w:fldChar w:fldCharType="separate"/>
        </w:r>
        <w:r w:rsidR="007F4FA2">
          <w:rPr>
            <w:noProof/>
            <w:webHidden/>
          </w:rPr>
          <w:t>116</w:t>
        </w:r>
        <w:r w:rsidR="007F4FA2">
          <w:rPr>
            <w:noProof/>
            <w:webHidden/>
          </w:rPr>
          <w:fldChar w:fldCharType="end"/>
        </w:r>
      </w:hyperlink>
    </w:p>
    <w:p w14:paraId="5C2E48CA" w14:textId="77777777" w:rsidR="007F4FA2" w:rsidRDefault="00C738EB">
      <w:pPr>
        <w:pStyle w:val="Spistreci1"/>
        <w:tabs>
          <w:tab w:val="left" w:pos="440"/>
          <w:tab w:val="right" w:leader="underscore" w:pos="9062"/>
        </w:tabs>
        <w:rPr>
          <w:rFonts w:asciiTheme="minorHAnsi" w:eastAsiaTheme="minorEastAsia" w:hAnsiTheme="minorHAnsi" w:cstheme="minorBidi"/>
          <w:b w:val="0"/>
          <w:bCs w:val="0"/>
          <w:caps w:val="0"/>
          <w:noProof/>
          <w:color w:val="auto"/>
          <w:sz w:val="22"/>
          <w:szCs w:val="22"/>
          <w:lang w:eastAsia="pl-PL"/>
        </w:rPr>
      </w:pPr>
      <w:hyperlink w:anchor="_Toc5699505" w:history="1">
        <w:r w:rsidR="007F4FA2" w:rsidRPr="00D61321">
          <w:rPr>
            <w:rStyle w:val="Hipercze"/>
            <w:noProof/>
          </w:rPr>
          <w:t>8.</w:t>
        </w:r>
        <w:r w:rsidR="007F4FA2">
          <w:rPr>
            <w:rFonts w:asciiTheme="minorHAnsi" w:eastAsiaTheme="minorEastAsia" w:hAnsiTheme="minorHAnsi" w:cstheme="minorBidi"/>
            <w:b w:val="0"/>
            <w:bCs w:val="0"/>
            <w:caps w:val="0"/>
            <w:noProof/>
            <w:color w:val="auto"/>
            <w:sz w:val="22"/>
            <w:szCs w:val="22"/>
            <w:lang w:eastAsia="pl-PL"/>
          </w:rPr>
          <w:tab/>
        </w:r>
        <w:r w:rsidR="007F4FA2" w:rsidRPr="00D61321">
          <w:rPr>
            <w:rStyle w:val="Hipercze"/>
            <w:noProof/>
          </w:rPr>
          <w:t>Wnioski i zalecenia strategiczne</w:t>
        </w:r>
        <w:r w:rsidR="007F4FA2">
          <w:rPr>
            <w:noProof/>
            <w:webHidden/>
          </w:rPr>
          <w:tab/>
        </w:r>
        <w:r w:rsidR="007F4FA2">
          <w:rPr>
            <w:noProof/>
            <w:webHidden/>
          </w:rPr>
          <w:fldChar w:fldCharType="begin"/>
        </w:r>
        <w:r w:rsidR="007F4FA2">
          <w:rPr>
            <w:noProof/>
            <w:webHidden/>
          </w:rPr>
          <w:instrText xml:space="preserve"> PAGEREF _Toc5699505 \h </w:instrText>
        </w:r>
        <w:r w:rsidR="007F4FA2">
          <w:rPr>
            <w:noProof/>
            <w:webHidden/>
          </w:rPr>
        </w:r>
        <w:r w:rsidR="007F4FA2">
          <w:rPr>
            <w:noProof/>
            <w:webHidden/>
          </w:rPr>
          <w:fldChar w:fldCharType="separate"/>
        </w:r>
        <w:r w:rsidR="007F4FA2">
          <w:rPr>
            <w:noProof/>
            <w:webHidden/>
          </w:rPr>
          <w:t>118</w:t>
        </w:r>
        <w:r w:rsidR="007F4FA2">
          <w:rPr>
            <w:noProof/>
            <w:webHidden/>
          </w:rPr>
          <w:fldChar w:fldCharType="end"/>
        </w:r>
      </w:hyperlink>
    </w:p>
    <w:p w14:paraId="76AB4220" w14:textId="77777777" w:rsidR="007F4FA2" w:rsidRDefault="00C738EB">
      <w:pPr>
        <w:pStyle w:val="Spistreci2"/>
        <w:tabs>
          <w:tab w:val="left" w:pos="880"/>
          <w:tab w:val="right" w:leader="underscore" w:pos="9062"/>
        </w:tabs>
        <w:rPr>
          <w:rFonts w:asciiTheme="minorHAnsi" w:eastAsiaTheme="minorEastAsia" w:hAnsiTheme="minorHAnsi" w:cstheme="minorBidi"/>
          <w:smallCaps w:val="0"/>
          <w:noProof/>
          <w:color w:val="auto"/>
          <w:sz w:val="22"/>
          <w:szCs w:val="22"/>
          <w:lang w:eastAsia="pl-PL"/>
        </w:rPr>
      </w:pPr>
      <w:hyperlink w:anchor="_Toc5699506" w:history="1">
        <w:r w:rsidR="007F4FA2" w:rsidRPr="00D61321">
          <w:rPr>
            <w:rStyle w:val="Hipercze"/>
            <w:noProof/>
          </w:rPr>
          <w:t>8.1.</w:t>
        </w:r>
        <w:r w:rsidR="007F4FA2">
          <w:rPr>
            <w:rFonts w:asciiTheme="minorHAnsi" w:eastAsiaTheme="minorEastAsia" w:hAnsiTheme="minorHAnsi" w:cstheme="minorBidi"/>
            <w:smallCaps w:val="0"/>
            <w:noProof/>
            <w:color w:val="auto"/>
            <w:sz w:val="22"/>
            <w:szCs w:val="22"/>
            <w:lang w:eastAsia="pl-PL"/>
          </w:rPr>
          <w:tab/>
        </w:r>
        <w:r w:rsidR="007F4FA2" w:rsidRPr="00D61321">
          <w:rPr>
            <w:rStyle w:val="Hipercze"/>
            <w:noProof/>
          </w:rPr>
          <w:t>Trzy razy człowiek</w:t>
        </w:r>
        <w:r w:rsidR="007F4FA2">
          <w:rPr>
            <w:noProof/>
            <w:webHidden/>
          </w:rPr>
          <w:tab/>
        </w:r>
        <w:r w:rsidR="007F4FA2">
          <w:rPr>
            <w:noProof/>
            <w:webHidden/>
          </w:rPr>
          <w:fldChar w:fldCharType="begin"/>
        </w:r>
        <w:r w:rsidR="007F4FA2">
          <w:rPr>
            <w:noProof/>
            <w:webHidden/>
          </w:rPr>
          <w:instrText xml:space="preserve"> PAGEREF _Toc5699506 \h </w:instrText>
        </w:r>
        <w:r w:rsidR="007F4FA2">
          <w:rPr>
            <w:noProof/>
            <w:webHidden/>
          </w:rPr>
        </w:r>
        <w:r w:rsidR="007F4FA2">
          <w:rPr>
            <w:noProof/>
            <w:webHidden/>
          </w:rPr>
          <w:fldChar w:fldCharType="separate"/>
        </w:r>
        <w:r w:rsidR="007F4FA2">
          <w:rPr>
            <w:noProof/>
            <w:webHidden/>
          </w:rPr>
          <w:t>118</w:t>
        </w:r>
        <w:r w:rsidR="007F4FA2">
          <w:rPr>
            <w:noProof/>
            <w:webHidden/>
          </w:rPr>
          <w:fldChar w:fldCharType="end"/>
        </w:r>
      </w:hyperlink>
    </w:p>
    <w:p w14:paraId="2314B02D" w14:textId="77777777" w:rsidR="007F4FA2" w:rsidRDefault="00C738EB">
      <w:pPr>
        <w:pStyle w:val="Spistreci2"/>
        <w:tabs>
          <w:tab w:val="left" w:pos="880"/>
          <w:tab w:val="right" w:leader="underscore" w:pos="9062"/>
        </w:tabs>
        <w:rPr>
          <w:rFonts w:asciiTheme="minorHAnsi" w:eastAsiaTheme="minorEastAsia" w:hAnsiTheme="minorHAnsi" w:cstheme="minorBidi"/>
          <w:smallCaps w:val="0"/>
          <w:noProof/>
          <w:color w:val="auto"/>
          <w:sz w:val="22"/>
          <w:szCs w:val="22"/>
          <w:lang w:eastAsia="pl-PL"/>
        </w:rPr>
      </w:pPr>
      <w:hyperlink w:anchor="_Toc5699507" w:history="1">
        <w:r w:rsidR="007F4FA2" w:rsidRPr="00D61321">
          <w:rPr>
            <w:rStyle w:val="Hipercze"/>
            <w:noProof/>
          </w:rPr>
          <w:t>8.2.</w:t>
        </w:r>
        <w:r w:rsidR="007F4FA2">
          <w:rPr>
            <w:rFonts w:asciiTheme="minorHAnsi" w:eastAsiaTheme="minorEastAsia" w:hAnsiTheme="minorHAnsi" w:cstheme="minorBidi"/>
            <w:smallCaps w:val="0"/>
            <w:noProof/>
            <w:color w:val="auto"/>
            <w:sz w:val="22"/>
            <w:szCs w:val="22"/>
            <w:lang w:eastAsia="pl-PL"/>
          </w:rPr>
          <w:tab/>
        </w:r>
        <w:r w:rsidR="007F4FA2" w:rsidRPr="00D61321">
          <w:rPr>
            <w:rStyle w:val="Hipercze"/>
            <w:noProof/>
          </w:rPr>
          <w:t>Trzy problemy zarządzania strategicznego</w:t>
        </w:r>
        <w:r w:rsidR="007F4FA2">
          <w:rPr>
            <w:noProof/>
            <w:webHidden/>
          </w:rPr>
          <w:tab/>
        </w:r>
        <w:r w:rsidR="007F4FA2">
          <w:rPr>
            <w:noProof/>
            <w:webHidden/>
          </w:rPr>
          <w:fldChar w:fldCharType="begin"/>
        </w:r>
        <w:r w:rsidR="007F4FA2">
          <w:rPr>
            <w:noProof/>
            <w:webHidden/>
          </w:rPr>
          <w:instrText xml:space="preserve"> PAGEREF _Toc5699507 \h </w:instrText>
        </w:r>
        <w:r w:rsidR="007F4FA2">
          <w:rPr>
            <w:noProof/>
            <w:webHidden/>
          </w:rPr>
        </w:r>
        <w:r w:rsidR="007F4FA2">
          <w:rPr>
            <w:noProof/>
            <w:webHidden/>
          </w:rPr>
          <w:fldChar w:fldCharType="separate"/>
        </w:r>
        <w:r w:rsidR="007F4FA2">
          <w:rPr>
            <w:noProof/>
            <w:webHidden/>
          </w:rPr>
          <w:t>120</w:t>
        </w:r>
        <w:r w:rsidR="007F4FA2">
          <w:rPr>
            <w:noProof/>
            <w:webHidden/>
          </w:rPr>
          <w:fldChar w:fldCharType="end"/>
        </w:r>
      </w:hyperlink>
    </w:p>
    <w:p w14:paraId="6BB76D36" w14:textId="77777777" w:rsidR="007F4FA2" w:rsidRDefault="00C738EB">
      <w:pPr>
        <w:pStyle w:val="Spistreci2"/>
        <w:tabs>
          <w:tab w:val="left" w:pos="880"/>
          <w:tab w:val="right" w:leader="underscore" w:pos="9062"/>
        </w:tabs>
        <w:rPr>
          <w:rFonts w:asciiTheme="minorHAnsi" w:eastAsiaTheme="minorEastAsia" w:hAnsiTheme="minorHAnsi" w:cstheme="minorBidi"/>
          <w:smallCaps w:val="0"/>
          <w:noProof/>
          <w:color w:val="auto"/>
          <w:sz w:val="22"/>
          <w:szCs w:val="22"/>
          <w:lang w:eastAsia="pl-PL"/>
        </w:rPr>
      </w:pPr>
      <w:hyperlink w:anchor="_Toc5699508" w:history="1">
        <w:r w:rsidR="007F4FA2" w:rsidRPr="00D61321">
          <w:rPr>
            <w:rStyle w:val="Hipercze"/>
            <w:noProof/>
          </w:rPr>
          <w:t>8.3.</w:t>
        </w:r>
        <w:r w:rsidR="007F4FA2">
          <w:rPr>
            <w:rFonts w:asciiTheme="minorHAnsi" w:eastAsiaTheme="minorEastAsia" w:hAnsiTheme="minorHAnsi" w:cstheme="minorBidi"/>
            <w:smallCaps w:val="0"/>
            <w:noProof/>
            <w:color w:val="auto"/>
            <w:sz w:val="22"/>
            <w:szCs w:val="22"/>
            <w:lang w:eastAsia="pl-PL"/>
          </w:rPr>
          <w:tab/>
        </w:r>
        <w:r w:rsidR="007F4FA2" w:rsidRPr="00D61321">
          <w:rPr>
            <w:rStyle w:val="Hipercze"/>
            <w:noProof/>
          </w:rPr>
          <w:t>Trzy sugestie do aktualizacji Strategii</w:t>
        </w:r>
        <w:r w:rsidR="007F4FA2">
          <w:rPr>
            <w:noProof/>
            <w:webHidden/>
          </w:rPr>
          <w:tab/>
        </w:r>
        <w:r w:rsidR="007F4FA2">
          <w:rPr>
            <w:noProof/>
            <w:webHidden/>
          </w:rPr>
          <w:fldChar w:fldCharType="begin"/>
        </w:r>
        <w:r w:rsidR="007F4FA2">
          <w:rPr>
            <w:noProof/>
            <w:webHidden/>
          </w:rPr>
          <w:instrText xml:space="preserve"> PAGEREF _Toc5699508 \h </w:instrText>
        </w:r>
        <w:r w:rsidR="007F4FA2">
          <w:rPr>
            <w:noProof/>
            <w:webHidden/>
          </w:rPr>
        </w:r>
        <w:r w:rsidR="007F4FA2">
          <w:rPr>
            <w:noProof/>
            <w:webHidden/>
          </w:rPr>
          <w:fldChar w:fldCharType="separate"/>
        </w:r>
        <w:r w:rsidR="007F4FA2">
          <w:rPr>
            <w:noProof/>
            <w:webHidden/>
          </w:rPr>
          <w:t>122</w:t>
        </w:r>
        <w:r w:rsidR="007F4FA2">
          <w:rPr>
            <w:noProof/>
            <w:webHidden/>
          </w:rPr>
          <w:fldChar w:fldCharType="end"/>
        </w:r>
      </w:hyperlink>
    </w:p>
    <w:p w14:paraId="76E599AA" w14:textId="77777777" w:rsidR="007F4FA2" w:rsidRDefault="00C738EB">
      <w:pPr>
        <w:pStyle w:val="Spistreci1"/>
        <w:tabs>
          <w:tab w:val="left" w:pos="440"/>
          <w:tab w:val="right" w:leader="underscore" w:pos="9062"/>
        </w:tabs>
        <w:rPr>
          <w:rFonts w:asciiTheme="minorHAnsi" w:eastAsiaTheme="minorEastAsia" w:hAnsiTheme="minorHAnsi" w:cstheme="minorBidi"/>
          <w:b w:val="0"/>
          <w:bCs w:val="0"/>
          <w:caps w:val="0"/>
          <w:noProof/>
          <w:color w:val="auto"/>
          <w:sz w:val="22"/>
          <w:szCs w:val="22"/>
          <w:lang w:eastAsia="pl-PL"/>
        </w:rPr>
      </w:pPr>
      <w:hyperlink w:anchor="_Toc5699509" w:history="1">
        <w:r w:rsidR="007F4FA2" w:rsidRPr="00D61321">
          <w:rPr>
            <w:rStyle w:val="Hipercze"/>
            <w:noProof/>
          </w:rPr>
          <w:t>9.</w:t>
        </w:r>
        <w:r w:rsidR="007F4FA2">
          <w:rPr>
            <w:rFonts w:asciiTheme="minorHAnsi" w:eastAsiaTheme="minorEastAsia" w:hAnsiTheme="minorHAnsi" w:cstheme="minorBidi"/>
            <w:b w:val="0"/>
            <w:bCs w:val="0"/>
            <w:caps w:val="0"/>
            <w:noProof/>
            <w:color w:val="auto"/>
            <w:sz w:val="22"/>
            <w:szCs w:val="22"/>
            <w:lang w:eastAsia="pl-PL"/>
          </w:rPr>
          <w:tab/>
        </w:r>
        <w:r w:rsidR="007F4FA2" w:rsidRPr="00D61321">
          <w:rPr>
            <w:rStyle w:val="Hipercze"/>
            <w:noProof/>
          </w:rPr>
          <w:t>Rekomendacje</w:t>
        </w:r>
        <w:r w:rsidR="007F4FA2">
          <w:rPr>
            <w:noProof/>
            <w:webHidden/>
          </w:rPr>
          <w:tab/>
        </w:r>
        <w:r w:rsidR="007F4FA2">
          <w:rPr>
            <w:noProof/>
            <w:webHidden/>
          </w:rPr>
          <w:fldChar w:fldCharType="begin"/>
        </w:r>
        <w:r w:rsidR="007F4FA2">
          <w:rPr>
            <w:noProof/>
            <w:webHidden/>
          </w:rPr>
          <w:instrText xml:space="preserve"> PAGEREF _Toc5699509 \h </w:instrText>
        </w:r>
        <w:r w:rsidR="007F4FA2">
          <w:rPr>
            <w:noProof/>
            <w:webHidden/>
          </w:rPr>
        </w:r>
        <w:r w:rsidR="007F4FA2">
          <w:rPr>
            <w:noProof/>
            <w:webHidden/>
          </w:rPr>
          <w:fldChar w:fldCharType="separate"/>
        </w:r>
        <w:r w:rsidR="007F4FA2">
          <w:rPr>
            <w:noProof/>
            <w:webHidden/>
          </w:rPr>
          <w:t>124</w:t>
        </w:r>
        <w:r w:rsidR="007F4FA2">
          <w:rPr>
            <w:noProof/>
            <w:webHidden/>
          </w:rPr>
          <w:fldChar w:fldCharType="end"/>
        </w:r>
      </w:hyperlink>
    </w:p>
    <w:p w14:paraId="61450212" w14:textId="77777777" w:rsidR="007F4FA2" w:rsidRDefault="00C738EB">
      <w:pPr>
        <w:pStyle w:val="Spistreci1"/>
        <w:tabs>
          <w:tab w:val="left" w:pos="660"/>
          <w:tab w:val="right" w:leader="underscore" w:pos="9062"/>
        </w:tabs>
        <w:rPr>
          <w:rFonts w:asciiTheme="minorHAnsi" w:eastAsiaTheme="minorEastAsia" w:hAnsiTheme="minorHAnsi" w:cstheme="minorBidi"/>
          <w:b w:val="0"/>
          <w:bCs w:val="0"/>
          <w:caps w:val="0"/>
          <w:noProof/>
          <w:color w:val="auto"/>
          <w:sz w:val="22"/>
          <w:szCs w:val="22"/>
          <w:lang w:eastAsia="pl-PL"/>
        </w:rPr>
      </w:pPr>
      <w:hyperlink w:anchor="_Toc5699510" w:history="1">
        <w:r w:rsidR="007F4FA2" w:rsidRPr="00D61321">
          <w:rPr>
            <w:rStyle w:val="Hipercze"/>
            <w:noProof/>
          </w:rPr>
          <w:t>10.</w:t>
        </w:r>
        <w:r w:rsidR="007F4FA2">
          <w:rPr>
            <w:rFonts w:asciiTheme="minorHAnsi" w:eastAsiaTheme="minorEastAsia" w:hAnsiTheme="minorHAnsi" w:cstheme="minorBidi"/>
            <w:b w:val="0"/>
            <w:bCs w:val="0"/>
            <w:caps w:val="0"/>
            <w:noProof/>
            <w:color w:val="auto"/>
            <w:sz w:val="22"/>
            <w:szCs w:val="22"/>
            <w:lang w:eastAsia="pl-PL"/>
          </w:rPr>
          <w:tab/>
        </w:r>
        <w:r w:rsidR="007F4FA2" w:rsidRPr="00D61321">
          <w:rPr>
            <w:rStyle w:val="Hipercze"/>
            <w:noProof/>
          </w:rPr>
          <w:t>Bibliografia</w:t>
        </w:r>
        <w:r w:rsidR="007F4FA2">
          <w:rPr>
            <w:noProof/>
            <w:webHidden/>
          </w:rPr>
          <w:tab/>
        </w:r>
        <w:r w:rsidR="007F4FA2">
          <w:rPr>
            <w:noProof/>
            <w:webHidden/>
          </w:rPr>
          <w:fldChar w:fldCharType="begin"/>
        </w:r>
        <w:r w:rsidR="007F4FA2">
          <w:rPr>
            <w:noProof/>
            <w:webHidden/>
          </w:rPr>
          <w:instrText xml:space="preserve"> PAGEREF _Toc5699510 \h </w:instrText>
        </w:r>
        <w:r w:rsidR="007F4FA2">
          <w:rPr>
            <w:noProof/>
            <w:webHidden/>
          </w:rPr>
        </w:r>
        <w:r w:rsidR="007F4FA2">
          <w:rPr>
            <w:noProof/>
            <w:webHidden/>
          </w:rPr>
          <w:fldChar w:fldCharType="separate"/>
        </w:r>
        <w:r w:rsidR="007F4FA2">
          <w:rPr>
            <w:noProof/>
            <w:webHidden/>
          </w:rPr>
          <w:t>126</w:t>
        </w:r>
        <w:r w:rsidR="007F4FA2">
          <w:rPr>
            <w:noProof/>
            <w:webHidden/>
          </w:rPr>
          <w:fldChar w:fldCharType="end"/>
        </w:r>
      </w:hyperlink>
    </w:p>
    <w:p w14:paraId="2F6D5B5C" w14:textId="77777777" w:rsidR="007F4FA2" w:rsidRDefault="00C738EB">
      <w:pPr>
        <w:pStyle w:val="Spistreci1"/>
        <w:tabs>
          <w:tab w:val="left" w:pos="660"/>
          <w:tab w:val="right" w:leader="underscore" w:pos="9062"/>
        </w:tabs>
        <w:rPr>
          <w:rFonts w:asciiTheme="minorHAnsi" w:eastAsiaTheme="minorEastAsia" w:hAnsiTheme="minorHAnsi" w:cstheme="minorBidi"/>
          <w:b w:val="0"/>
          <w:bCs w:val="0"/>
          <w:caps w:val="0"/>
          <w:noProof/>
          <w:color w:val="auto"/>
          <w:sz w:val="22"/>
          <w:szCs w:val="22"/>
          <w:lang w:eastAsia="pl-PL"/>
        </w:rPr>
      </w:pPr>
      <w:hyperlink w:anchor="_Toc5699511" w:history="1">
        <w:r w:rsidR="007F4FA2" w:rsidRPr="00D61321">
          <w:rPr>
            <w:rStyle w:val="Hipercze"/>
            <w:noProof/>
          </w:rPr>
          <w:t>11.</w:t>
        </w:r>
        <w:r w:rsidR="007F4FA2">
          <w:rPr>
            <w:rFonts w:asciiTheme="minorHAnsi" w:eastAsiaTheme="minorEastAsia" w:hAnsiTheme="minorHAnsi" w:cstheme="minorBidi"/>
            <w:b w:val="0"/>
            <w:bCs w:val="0"/>
            <w:caps w:val="0"/>
            <w:noProof/>
            <w:color w:val="auto"/>
            <w:sz w:val="22"/>
            <w:szCs w:val="22"/>
            <w:lang w:eastAsia="pl-PL"/>
          </w:rPr>
          <w:tab/>
        </w:r>
        <w:r w:rsidR="007F4FA2" w:rsidRPr="00D61321">
          <w:rPr>
            <w:rStyle w:val="Hipercze"/>
            <w:noProof/>
          </w:rPr>
          <w:t>Spisy</w:t>
        </w:r>
        <w:r w:rsidR="007F4FA2">
          <w:rPr>
            <w:noProof/>
            <w:webHidden/>
          </w:rPr>
          <w:tab/>
        </w:r>
        <w:r w:rsidR="007F4FA2">
          <w:rPr>
            <w:noProof/>
            <w:webHidden/>
          </w:rPr>
          <w:fldChar w:fldCharType="begin"/>
        </w:r>
        <w:r w:rsidR="007F4FA2">
          <w:rPr>
            <w:noProof/>
            <w:webHidden/>
          </w:rPr>
          <w:instrText xml:space="preserve"> PAGEREF _Toc5699511 \h </w:instrText>
        </w:r>
        <w:r w:rsidR="007F4FA2">
          <w:rPr>
            <w:noProof/>
            <w:webHidden/>
          </w:rPr>
        </w:r>
        <w:r w:rsidR="007F4FA2">
          <w:rPr>
            <w:noProof/>
            <w:webHidden/>
          </w:rPr>
          <w:fldChar w:fldCharType="separate"/>
        </w:r>
        <w:r w:rsidR="007F4FA2">
          <w:rPr>
            <w:noProof/>
            <w:webHidden/>
          </w:rPr>
          <w:t>128</w:t>
        </w:r>
        <w:r w:rsidR="007F4FA2">
          <w:rPr>
            <w:noProof/>
            <w:webHidden/>
          </w:rPr>
          <w:fldChar w:fldCharType="end"/>
        </w:r>
      </w:hyperlink>
    </w:p>
    <w:p w14:paraId="35280BF8" w14:textId="4863EE5D" w:rsidR="00AA46A9" w:rsidRDefault="00500EFA" w:rsidP="00D72686">
      <w:r>
        <w:rPr>
          <w:b/>
          <w:bCs/>
          <w:caps/>
          <w:sz w:val="20"/>
        </w:rPr>
        <w:fldChar w:fldCharType="end"/>
      </w:r>
      <w:r w:rsidR="00AA46A9">
        <w:br w:type="page"/>
      </w:r>
    </w:p>
    <w:p w14:paraId="5C600B9F" w14:textId="77777777" w:rsidR="00E5220E" w:rsidRDefault="00E5220E" w:rsidP="00112D1A">
      <w:pPr>
        <w:pStyle w:val="Nagwek1"/>
        <w:numPr>
          <w:ilvl w:val="0"/>
          <w:numId w:val="0"/>
        </w:numPr>
        <w:ind w:left="397" w:hanging="397"/>
      </w:pPr>
      <w:bookmarkStart w:id="13" w:name="_Toc536653094"/>
      <w:bookmarkStart w:id="14" w:name="_Toc5699440"/>
      <w:bookmarkStart w:id="15" w:name="_Toc525917602"/>
      <w:bookmarkStart w:id="16" w:name="_Toc525918822"/>
      <w:bookmarkStart w:id="17" w:name="_Toc526332883"/>
      <w:r>
        <w:lastRenderedPageBreak/>
        <w:t>Streszczenie raportu</w:t>
      </w:r>
      <w:bookmarkEnd w:id="13"/>
      <w:bookmarkEnd w:id="14"/>
    </w:p>
    <w:p w14:paraId="2D9878CA" w14:textId="717307FF" w:rsidR="00676894" w:rsidRDefault="00676894" w:rsidP="00676894">
      <w:pPr>
        <w:rPr>
          <w:lang w:eastAsia="pl-PL"/>
        </w:rPr>
      </w:pPr>
      <w:r>
        <w:rPr>
          <w:lang w:eastAsia="pl-PL"/>
        </w:rPr>
        <w:t>Prezentowany Raport powstał w oparciu o koncepcję ewaluacji zaprojektowaną przez pracowników Jednostki Ewaluacji we współpracy z przedstawicielami Oddziału Planowania Strategicznego (obie jednostki wchodzą w skład Departamentu Polityki Regionalnej Urzędu Marszałkowskiego Województwa Wielkopolskiego).</w:t>
      </w:r>
    </w:p>
    <w:p w14:paraId="1E257A11" w14:textId="76A40F17" w:rsidR="00676894" w:rsidRPr="00193909" w:rsidRDefault="00676894" w:rsidP="00676894">
      <w:pPr>
        <w:ind w:left="4536"/>
        <w:jc w:val="left"/>
        <w:rPr>
          <w:b/>
          <w:i/>
          <w:color w:val="001E50"/>
        </w:rPr>
      </w:pPr>
      <w:r>
        <w:rPr>
          <w:b/>
          <w:i/>
          <w:color w:val="001E50"/>
        </w:rPr>
        <w:t>Ewaluacja jako element przygotowań do aktualizacji Strategii rozwoju województwa</w:t>
      </w:r>
    </w:p>
    <w:p w14:paraId="04584A65" w14:textId="6B5A9A3C" w:rsidR="00676894" w:rsidRPr="004B6213" w:rsidRDefault="00676894" w:rsidP="00676894">
      <w:pPr>
        <w:rPr>
          <w:b/>
          <w:color w:val="002060"/>
          <w:lang w:eastAsia="pl-PL"/>
        </w:rPr>
      </w:pPr>
      <w:r>
        <w:rPr>
          <w:lang w:eastAsia="pl-PL"/>
        </w:rPr>
        <w:t>Ewaluacja Strategii rozwoju województwa wielkopolskiego (SRWW 2020) jest elementem przygotowania władz województwa do procesu aktualizacji głównego dokumentu strategicznego. Aktualizacja taka jest potrzebna, ponieważ w latach 2017-2019 miały miejsce wydarzenia, które zmieniły zewnętrzne uwarunkowania rozwoju województwa wielkopolskiego:</w:t>
      </w:r>
    </w:p>
    <w:p w14:paraId="4A2AAE20" w14:textId="77777777" w:rsidR="00676894" w:rsidRDefault="00676894" w:rsidP="00676894">
      <w:pPr>
        <w:pStyle w:val="Akapitzlist"/>
        <w:numPr>
          <w:ilvl w:val="0"/>
          <w:numId w:val="26"/>
        </w:numPr>
        <w:ind w:left="426"/>
        <w:rPr>
          <w:lang w:eastAsia="pl-PL"/>
        </w:rPr>
      </w:pPr>
      <w:r>
        <w:rPr>
          <w:lang w:eastAsia="pl-PL"/>
        </w:rPr>
        <w:t xml:space="preserve">Rząd RP przyjął </w:t>
      </w:r>
      <w:r w:rsidRPr="00C13767">
        <w:rPr>
          <w:i/>
          <w:lang w:eastAsia="pl-PL"/>
        </w:rPr>
        <w:t>Strategię na rzecz Odpowiedzialnego Rozwoju</w:t>
      </w:r>
      <w:r>
        <w:rPr>
          <w:lang w:eastAsia="pl-PL"/>
        </w:rPr>
        <w:t>, która zastąpiła dotychczasową średniookresową strategię rozwoju kraju;</w:t>
      </w:r>
    </w:p>
    <w:p w14:paraId="6266EC9F" w14:textId="77777777" w:rsidR="00676894" w:rsidRDefault="00676894" w:rsidP="00676894">
      <w:pPr>
        <w:pStyle w:val="Akapitzlist"/>
        <w:numPr>
          <w:ilvl w:val="0"/>
          <w:numId w:val="26"/>
        </w:numPr>
        <w:ind w:left="426"/>
        <w:rPr>
          <w:lang w:eastAsia="pl-PL"/>
        </w:rPr>
      </w:pPr>
      <w:r w:rsidRPr="0DAD42A5">
        <w:rPr>
          <w:lang w:eastAsia="pl-PL"/>
        </w:rPr>
        <w:t>trwają</w:t>
      </w:r>
      <w:r>
        <w:rPr>
          <w:lang w:eastAsia="pl-PL"/>
        </w:rPr>
        <w:t xml:space="preserve"> prace nad aktualizacją dziewięciu strategii horyzontalnych, </w:t>
      </w:r>
      <w:r w:rsidRPr="0DAD42A5">
        <w:rPr>
          <w:lang w:eastAsia="pl-PL"/>
        </w:rPr>
        <w:t>natomiast</w:t>
      </w:r>
      <w:r>
        <w:rPr>
          <w:lang w:eastAsia="pl-PL"/>
        </w:rPr>
        <w:t xml:space="preserve"> zakończyły się konsultacje projektu </w:t>
      </w:r>
      <w:r w:rsidRPr="00C13767">
        <w:rPr>
          <w:i/>
          <w:lang w:eastAsia="pl-PL"/>
        </w:rPr>
        <w:t>Krajowej Strategii Rozwoju Regionalnego</w:t>
      </w:r>
      <w:r>
        <w:rPr>
          <w:lang w:eastAsia="pl-PL"/>
        </w:rPr>
        <w:t>;</w:t>
      </w:r>
    </w:p>
    <w:p w14:paraId="4D07FF32" w14:textId="77777777" w:rsidR="00676894" w:rsidRDefault="00676894" w:rsidP="00676894">
      <w:pPr>
        <w:pStyle w:val="Akapitzlist"/>
        <w:numPr>
          <w:ilvl w:val="0"/>
          <w:numId w:val="26"/>
        </w:numPr>
        <w:ind w:left="426"/>
        <w:rPr>
          <w:lang w:eastAsia="pl-PL"/>
        </w:rPr>
      </w:pPr>
      <w:r>
        <w:rPr>
          <w:lang w:eastAsia="pl-PL"/>
        </w:rPr>
        <w:t xml:space="preserve">Rząd RP wprowadza zmiany w funkcjonowaniu samorządu wojewódzkiego </w:t>
      </w:r>
      <w:r w:rsidRPr="2CD63631">
        <w:rPr>
          <w:rFonts w:eastAsia="Calibri"/>
        </w:rPr>
        <w:t>(ograniczając jego kompetencje) i podejmuje</w:t>
      </w:r>
      <w:r>
        <w:rPr>
          <w:lang w:eastAsia="pl-PL"/>
        </w:rPr>
        <w:t xml:space="preserve"> kolejne kroki we wdrażaniu dokumentu </w:t>
      </w:r>
      <w:r w:rsidRPr="00D23EA8">
        <w:rPr>
          <w:i/>
          <w:lang w:eastAsia="pl-PL"/>
        </w:rPr>
        <w:t xml:space="preserve">Zasady </w:t>
      </w:r>
      <w:r>
        <w:rPr>
          <w:i/>
          <w:lang w:eastAsia="pl-PL"/>
        </w:rPr>
        <w:t>z</w:t>
      </w:r>
      <w:r w:rsidRPr="00D23EA8">
        <w:rPr>
          <w:i/>
          <w:lang w:eastAsia="pl-PL"/>
        </w:rPr>
        <w:t xml:space="preserve">arządzania </w:t>
      </w:r>
      <w:r>
        <w:rPr>
          <w:i/>
          <w:lang w:eastAsia="pl-PL"/>
        </w:rPr>
        <w:t>r</w:t>
      </w:r>
      <w:r w:rsidRPr="00D23EA8">
        <w:rPr>
          <w:i/>
          <w:lang w:eastAsia="pl-PL"/>
        </w:rPr>
        <w:t>ozwojem Polski</w:t>
      </w:r>
      <w:r>
        <w:rPr>
          <w:lang w:eastAsia="pl-PL"/>
        </w:rPr>
        <w:t>;</w:t>
      </w:r>
    </w:p>
    <w:p w14:paraId="3AA55171" w14:textId="73980505" w:rsidR="00676894" w:rsidRDefault="00676894" w:rsidP="00676894">
      <w:pPr>
        <w:pStyle w:val="Akapitzlist"/>
        <w:numPr>
          <w:ilvl w:val="0"/>
          <w:numId w:val="26"/>
        </w:numPr>
        <w:ind w:left="426"/>
        <w:rPr>
          <w:lang w:eastAsia="pl-PL"/>
        </w:rPr>
      </w:pPr>
      <w:r>
        <w:rPr>
          <w:lang w:eastAsia="pl-PL"/>
        </w:rPr>
        <w:t xml:space="preserve">trwają prace nad nowym budżetem Unii Europejskiej, </w:t>
      </w:r>
      <w:r w:rsidRPr="0DAD42A5">
        <w:rPr>
          <w:lang w:eastAsia="pl-PL"/>
        </w:rPr>
        <w:t>w ramach którego</w:t>
      </w:r>
      <w:r>
        <w:rPr>
          <w:lang w:eastAsia="pl-PL"/>
        </w:rPr>
        <w:t xml:space="preserve"> fundusze będą podstawą do tworzenia regionalnych programów operacyjnych.</w:t>
      </w:r>
    </w:p>
    <w:p w14:paraId="411D4750" w14:textId="3613B39F" w:rsidR="00676894" w:rsidRPr="00193909" w:rsidRDefault="00676894" w:rsidP="00676894">
      <w:pPr>
        <w:ind w:left="4536"/>
        <w:jc w:val="left"/>
        <w:rPr>
          <w:b/>
          <w:i/>
          <w:color w:val="001E50"/>
        </w:rPr>
      </w:pPr>
      <w:r>
        <w:rPr>
          <w:b/>
          <w:i/>
          <w:color w:val="001E50"/>
        </w:rPr>
        <w:t>Cel główny i cele szczegółowe ewaluacji</w:t>
      </w:r>
    </w:p>
    <w:p w14:paraId="741D4F10" w14:textId="64F3D252" w:rsidR="00676894" w:rsidRDefault="00676894" w:rsidP="00676894">
      <w:pPr>
        <w:rPr>
          <w:lang w:eastAsia="pl-PL"/>
        </w:rPr>
      </w:pPr>
      <w:r>
        <w:rPr>
          <w:lang w:eastAsia="pl-PL"/>
        </w:rPr>
        <w:t xml:space="preserve">Cel główny badania określono następująco: </w:t>
      </w:r>
      <w:r w:rsidRPr="008F610C">
        <w:rPr>
          <w:i/>
          <w:lang w:eastAsia="pl-PL"/>
        </w:rPr>
        <w:t>ocena Strategii rozwoju województwa wielkopolskiego jako podstawy planowania operacyjnego dla perspektywy finansowej UE po 2020 roku</w:t>
      </w:r>
      <w:r>
        <w:rPr>
          <w:lang w:eastAsia="pl-PL"/>
        </w:rPr>
        <w:t>. Ponadto wyróżniono cele szczegółowe: (A) Ocena aktualności paradygmatu rozwoju Strategii; (B) Ocena zaprojektowanego w Strategii pola interwencji; (C) Ocena zakresu realizacji Strategii; (D) Ocena skutków realizacji Strategii; (E) Ocena systemu zarządzania realizacją Strategii.</w:t>
      </w:r>
    </w:p>
    <w:p w14:paraId="1866BE5E" w14:textId="542DC6E9" w:rsidR="00676894" w:rsidRPr="00193909" w:rsidRDefault="00676894" w:rsidP="00676894">
      <w:pPr>
        <w:ind w:left="4536"/>
        <w:jc w:val="left"/>
        <w:rPr>
          <w:b/>
          <w:i/>
          <w:color w:val="001E50"/>
        </w:rPr>
      </w:pPr>
      <w:r>
        <w:rPr>
          <w:b/>
          <w:i/>
          <w:color w:val="001E50"/>
        </w:rPr>
        <w:t>Ewaluacja odpowiada na wiele pytań, opierając się o zróżnicowane metody badawcze</w:t>
      </w:r>
    </w:p>
    <w:p w14:paraId="146EFE64" w14:textId="1A2FC1BE" w:rsidR="00E10BD2" w:rsidRDefault="00676894" w:rsidP="00676894">
      <w:pPr>
        <w:rPr>
          <w:lang w:eastAsia="pl-PL"/>
        </w:rPr>
      </w:pPr>
      <w:r>
        <w:rPr>
          <w:lang w:eastAsia="pl-PL"/>
        </w:rPr>
        <w:t>Ocena realizacji Strategii została przygotowana poprzez rozwiązanie 16 problemów badawczych</w:t>
      </w:r>
      <w:r>
        <w:rPr>
          <w:rStyle w:val="Odwoanieprzypisudolnego"/>
          <w:lang w:eastAsia="pl-PL"/>
        </w:rPr>
        <w:footnoteReference w:id="2"/>
      </w:r>
      <w:r>
        <w:rPr>
          <w:lang w:eastAsia="pl-PL"/>
        </w:rPr>
        <w:t xml:space="preserve">. Udzielenie rzetelnych odpowiedzi wymagało zastosowania palety metod i narzędzi badawczych, wśród których najważniejszą były bezpośrednie wywiady z przedstawicielami </w:t>
      </w:r>
      <w:r w:rsidRPr="0DAD42A5">
        <w:rPr>
          <w:rFonts w:eastAsia="Calibri"/>
          <w:szCs w:val="22"/>
        </w:rPr>
        <w:t>Samorządu Województwa</w:t>
      </w:r>
      <w:r>
        <w:rPr>
          <w:rFonts w:eastAsia="Calibri"/>
          <w:szCs w:val="22"/>
        </w:rPr>
        <w:t xml:space="preserve"> (40 wywiadów), </w:t>
      </w:r>
      <w:r>
        <w:rPr>
          <w:lang w:eastAsia="pl-PL"/>
        </w:rPr>
        <w:t>przedstawicielami obszarów objętych strategiami ZIT i mandatami terytorialnymi (łącznie 6 wywiadów). W badaniu wykorzystano również wiedzę trzynastu ekspertów tematycznych. Analizie poddano 113 opracowań i dokumentów</w:t>
      </w:r>
      <w:r>
        <w:rPr>
          <w:rStyle w:val="Odwoanieprzypisudolnego"/>
          <w:lang w:eastAsia="pl-PL"/>
        </w:rPr>
        <w:footnoteReference w:id="3"/>
      </w:r>
      <w:r>
        <w:rPr>
          <w:lang w:eastAsia="pl-PL"/>
        </w:rPr>
        <w:t xml:space="preserve">. Poza zadaniami zaplanowanymi, Ewaluatorzy zaproponowali badanie ankietowe, w którym uczestniczyli przedstawiciele szczebla kierowniczego w Samorządzie Województwa, a także ankietę adresowaną do 16 marszałków województw (otrzymano 10 wypełnionych ankiet </w:t>
      </w:r>
      <w:r w:rsidR="008F610C">
        <w:rPr>
          <w:lang w:eastAsia="pl-PL"/>
        </w:rPr>
        <w:t>(</w:t>
      </w:r>
      <w:r w:rsidR="008F610C">
        <w:rPr>
          <w:lang w:eastAsia="pl-PL"/>
        </w:rPr>
        <w:fldChar w:fldCharType="begin"/>
      </w:r>
      <w:r w:rsidR="008F610C">
        <w:rPr>
          <w:lang w:eastAsia="pl-PL"/>
        </w:rPr>
        <w:instrText xml:space="preserve"> REF _Ref2117242 \h </w:instrText>
      </w:r>
      <w:r w:rsidR="008F610C">
        <w:rPr>
          <w:lang w:eastAsia="pl-PL"/>
        </w:rPr>
      </w:r>
      <w:r w:rsidR="008F610C">
        <w:rPr>
          <w:lang w:eastAsia="pl-PL"/>
        </w:rPr>
        <w:fldChar w:fldCharType="separate"/>
      </w:r>
      <w:r w:rsidR="007F4FA2">
        <w:t xml:space="preserve">Rysunek </w:t>
      </w:r>
      <w:r w:rsidR="007F4FA2">
        <w:rPr>
          <w:noProof/>
        </w:rPr>
        <w:t>1</w:t>
      </w:r>
      <w:r w:rsidR="008F610C">
        <w:rPr>
          <w:lang w:eastAsia="pl-PL"/>
        </w:rPr>
        <w:fldChar w:fldCharType="end"/>
      </w:r>
      <w:r w:rsidR="008F610C">
        <w:rPr>
          <w:lang w:eastAsia="pl-PL"/>
        </w:rPr>
        <w:t>).</w:t>
      </w:r>
    </w:p>
    <w:p w14:paraId="0759C6E4" w14:textId="77777777" w:rsidR="00676894" w:rsidRDefault="00676894" w:rsidP="00676894">
      <w:pPr>
        <w:rPr>
          <w:lang w:eastAsia="pl-PL"/>
        </w:rPr>
      </w:pPr>
    </w:p>
    <w:p w14:paraId="129A48D9" w14:textId="19DAD84A" w:rsidR="00647227" w:rsidRDefault="00FA7F46" w:rsidP="00FA7F46">
      <w:pPr>
        <w:pStyle w:val="Legenda"/>
      </w:pPr>
      <w:bookmarkStart w:id="18" w:name="_Ref2117242"/>
      <w:bookmarkStart w:id="19" w:name="_Toc5699560"/>
      <w:r>
        <w:lastRenderedPageBreak/>
        <w:t xml:space="preserve">Rysunek </w:t>
      </w:r>
      <w:r w:rsidR="00713087" w:rsidRPr="69901DB0">
        <w:fldChar w:fldCharType="begin"/>
      </w:r>
      <w:r w:rsidR="00713087">
        <w:rPr>
          <w:noProof/>
        </w:rPr>
        <w:instrText xml:space="preserve"> SEQ Rysunek \* ARABIC </w:instrText>
      </w:r>
      <w:r w:rsidR="00713087" w:rsidRPr="69901DB0">
        <w:rPr>
          <w:noProof/>
        </w:rPr>
        <w:fldChar w:fldCharType="separate"/>
      </w:r>
      <w:r w:rsidR="007F4FA2">
        <w:rPr>
          <w:noProof/>
        </w:rPr>
        <w:t>1</w:t>
      </w:r>
      <w:r w:rsidR="00713087" w:rsidRPr="69901DB0">
        <w:fldChar w:fldCharType="end"/>
      </w:r>
      <w:bookmarkEnd w:id="18"/>
      <w:r>
        <w:t>. Ewaluacja w wybranych liczbach</w:t>
      </w:r>
      <w:bookmarkEnd w:id="19"/>
    </w:p>
    <w:tbl>
      <w:tblPr>
        <w:tblStyle w:val="Tabela-Siatka"/>
        <w:tblW w:w="9495" w:type="dxa"/>
        <w:tblBorders>
          <w:insideH w:val="none" w:sz="0" w:space="0" w:color="auto"/>
          <w:insideV w:val="none" w:sz="0" w:space="0" w:color="auto"/>
        </w:tblBorders>
        <w:tblLook w:val="04A0" w:firstRow="1" w:lastRow="0" w:firstColumn="1" w:lastColumn="0" w:noHBand="0" w:noVBand="1"/>
        <w:tblCaption w:val="Rysunek 1. Ewaluacja w wybranych liczbach"/>
        <w:tblDescription w:val="Rysunek przedstawia wypisane elementy składające się na proces ewaluacji, które przedstawiono w liczbach."/>
      </w:tblPr>
      <w:tblGrid>
        <w:gridCol w:w="982"/>
        <w:gridCol w:w="1003"/>
        <w:gridCol w:w="151"/>
        <w:gridCol w:w="48"/>
        <w:gridCol w:w="1076"/>
        <w:gridCol w:w="127"/>
        <w:gridCol w:w="1279"/>
        <w:gridCol w:w="752"/>
        <w:gridCol w:w="142"/>
        <w:gridCol w:w="247"/>
        <w:gridCol w:w="462"/>
        <w:gridCol w:w="437"/>
        <w:gridCol w:w="1442"/>
        <w:gridCol w:w="1347"/>
      </w:tblGrid>
      <w:tr w:rsidR="002B2F4B" w:rsidRPr="00647227" w14:paraId="0FF2F28D" w14:textId="77777777" w:rsidTr="00534085">
        <w:tc>
          <w:tcPr>
            <w:tcW w:w="982" w:type="dxa"/>
            <w:vAlign w:val="center"/>
          </w:tcPr>
          <w:p w14:paraId="43E959DD" w14:textId="2F7E9766" w:rsidR="00647227" w:rsidRPr="008F610C" w:rsidRDefault="00647227" w:rsidP="00DA6668">
            <w:pPr>
              <w:spacing w:after="0" w:line="240" w:lineRule="auto"/>
              <w:jc w:val="right"/>
              <w:rPr>
                <w:b/>
                <w:color w:val="AC8300"/>
                <w:sz w:val="20"/>
                <w:lang w:eastAsia="pl-PL"/>
              </w:rPr>
            </w:pPr>
          </w:p>
        </w:tc>
        <w:tc>
          <w:tcPr>
            <w:tcW w:w="2278" w:type="dxa"/>
            <w:gridSpan w:val="4"/>
            <w:vAlign w:val="center"/>
          </w:tcPr>
          <w:p w14:paraId="6A29537E" w14:textId="7ECC05ED" w:rsidR="00647227" w:rsidRPr="00534085" w:rsidRDefault="008F610C" w:rsidP="008F610C">
            <w:pPr>
              <w:spacing w:after="0" w:line="240" w:lineRule="auto"/>
              <w:jc w:val="right"/>
              <w:rPr>
                <w:color w:val="AC8300"/>
                <w:sz w:val="72"/>
                <w:szCs w:val="72"/>
                <w:lang w:eastAsia="pl-PL"/>
              </w:rPr>
            </w:pPr>
            <w:r w:rsidRPr="00534085">
              <w:rPr>
                <w:b/>
                <w:color w:val="AC8300"/>
                <w:sz w:val="72"/>
                <w:szCs w:val="72"/>
                <w:lang w:eastAsia="pl-PL"/>
              </w:rPr>
              <w:t>5</w:t>
            </w:r>
          </w:p>
        </w:tc>
        <w:tc>
          <w:tcPr>
            <w:tcW w:w="2158" w:type="dxa"/>
            <w:gridSpan w:val="3"/>
            <w:vAlign w:val="center"/>
          </w:tcPr>
          <w:p w14:paraId="4E74EB4E" w14:textId="7CBAB248" w:rsidR="00647227" w:rsidRPr="008F610C" w:rsidRDefault="008F610C" w:rsidP="008F610C">
            <w:pPr>
              <w:spacing w:after="0" w:line="240" w:lineRule="auto"/>
              <w:jc w:val="left"/>
              <w:rPr>
                <w:sz w:val="20"/>
                <w:lang w:eastAsia="pl-PL"/>
              </w:rPr>
            </w:pPr>
            <w:r w:rsidRPr="008F610C">
              <w:rPr>
                <w:sz w:val="20"/>
                <w:lang w:eastAsia="pl-PL"/>
              </w:rPr>
              <w:t>obszarów tematycznych</w:t>
            </w:r>
          </w:p>
        </w:tc>
        <w:tc>
          <w:tcPr>
            <w:tcW w:w="1288" w:type="dxa"/>
            <w:gridSpan w:val="4"/>
            <w:vAlign w:val="center"/>
          </w:tcPr>
          <w:p w14:paraId="7673E3B4" w14:textId="50604A63" w:rsidR="00DA6668" w:rsidRPr="00534085" w:rsidRDefault="009A4DE5" w:rsidP="009A4DE5">
            <w:pPr>
              <w:spacing w:after="0" w:line="240" w:lineRule="auto"/>
              <w:jc w:val="right"/>
              <w:rPr>
                <w:b/>
                <w:color w:val="AC8300"/>
                <w:sz w:val="72"/>
                <w:szCs w:val="72"/>
                <w:lang w:eastAsia="pl-PL"/>
              </w:rPr>
            </w:pPr>
            <w:r>
              <w:rPr>
                <w:b/>
                <w:color w:val="AC8300"/>
                <w:sz w:val="72"/>
                <w:szCs w:val="72"/>
                <w:lang w:eastAsia="pl-PL"/>
              </w:rPr>
              <w:t>16</w:t>
            </w:r>
          </w:p>
        </w:tc>
        <w:tc>
          <w:tcPr>
            <w:tcW w:w="1442" w:type="dxa"/>
            <w:vAlign w:val="center"/>
          </w:tcPr>
          <w:p w14:paraId="56F35E76" w14:textId="57EC4CFB" w:rsidR="00647227" w:rsidRPr="008F610C" w:rsidRDefault="008F610C" w:rsidP="009A4DE5">
            <w:pPr>
              <w:spacing w:after="0" w:line="240" w:lineRule="auto"/>
              <w:jc w:val="left"/>
              <w:rPr>
                <w:b/>
                <w:color w:val="AC8300"/>
                <w:sz w:val="20"/>
                <w:lang w:eastAsia="pl-PL"/>
              </w:rPr>
            </w:pPr>
            <w:r w:rsidRPr="008F610C">
              <w:rPr>
                <w:sz w:val="20"/>
                <w:lang w:eastAsia="pl-PL"/>
              </w:rPr>
              <w:t>p</w:t>
            </w:r>
            <w:r w:rsidR="009A4DE5">
              <w:rPr>
                <w:sz w:val="20"/>
                <w:lang w:eastAsia="pl-PL"/>
              </w:rPr>
              <w:t>roblemów</w:t>
            </w:r>
            <w:r w:rsidRPr="008F610C">
              <w:rPr>
                <w:sz w:val="20"/>
                <w:lang w:eastAsia="pl-PL"/>
              </w:rPr>
              <w:t xml:space="preserve"> badawczych</w:t>
            </w:r>
          </w:p>
        </w:tc>
        <w:tc>
          <w:tcPr>
            <w:tcW w:w="1347" w:type="dxa"/>
            <w:vAlign w:val="center"/>
          </w:tcPr>
          <w:p w14:paraId="517BA843" w14:textId="424921CF" w:rsidR="00647227" w:rsidRPr="00DA6668" w:rsidRDefault="00647227" w:rsidP="002B2F4B">
            <w:pPr>
              <w:spacing w:after="0" w:line="240" w:lineRule="auto"/>
              <w:jc w:val="left"/>
              <w:rPr>
                <w:color w:val="AC8300"/>
                <w:sz w:val="20"/>
                <w:lang w:eastAsia="pl-PL"/>
              </w:rPr>
            </w:pPr>
          </w:p>
        </w:tc>
      </w:tr>
      <w:tr w:rsidR="008F610C" w:rsidRPr="00647227" w14:paraId="4B1B06C6" w14:textId="77777777" w:rsidTr="00534085">
        <w:tc>
          <w:tcPr>
            <w:tcW w:w="982" w:type="dxa"/>
            <w:vAlign w:val="center"/>
          </w:tcPr>
          <w:p w14:paraId="270DD8BC" w14:textId="0B5B22A2" w:rsidR="008F610C" w:rsidRPr="00DA6668" w:rsidRDefault="008F610C" w:rsidP="008F610C">
            <w:pPr>
              <w:spacing w:after="0" w:line="240" w:lineRule="auto"/>
              <w:jc w:val="right"/>
              <w:rPr>
                <w:color w:val="AC8300"/>
                <w:sz w:val="72"/>
                <w:szCs w:val="72"/>
                <w:lang w:eastAsia="pl-PL"/>
              </w:rPr>
            </w:pPr>
            <w:r w:rsidRPr="00534085">
              <w:rPr>
                <w:b/>
                <w:color w:val="AC8300"/>
                <w:sz w:val="72"/>
                <w:szCs w:val="72"/>
                <w:lang w:eastAsia="pl-PL"/>
              </w:rPr>
              <w:t>8</w:t>
            </w:r>
          </w:p>
        </w:tc>
        <w:tc>
          <w:tcPr>
            <w:tcW w:w="2278" w:type="dxa"/>
            <w:gridSpan w:val="4"/>
            <w:vAlign w:val="center"/>
          </w:tcPr>
          <w:p w14:paraId="59407B70" w14:textId="5FB029B9" w:rsidR="008F610C" w:rsidRPr="00112D1A" w:rsidRDefault="008F610C" w:rsidP="008F610C">
            <w:pPr>
              <w:spacing w:after="0" w:line="240" w:lineRule="auto"/>
              <w:jc w:val="left"/>
              <w:rPr>
                <w:b/>
                <w:color w:val="AC8300"/>
                <w:sz w:val="96"/>
                <w:szCs w:val="96"/>
                <w:lang w:eastAsia="pl-PL"/>
              </w:rPr>
            </w:pPr>
            <w:r>
              <w:rPr>
                <w:sz w:val="20"/>
                <w:lang w:eastAsia="pl-PL"/>
              </w:rPr>
              <w:t>dokumentów s</w:t>
            </w:r>
            <w:r w:rsidRPr="00DA6668">
              <w:rPr>
                <w:sz w:val="20"/>
                <w:lang w:eastAsia="pl-PL"/>
              </w:rPr>
              <w:t>trategi</w:t>
            </w:r>
            <w:r>
              <w:rPr>
                <w:sz w:val="20"/>
                <w:lang w:eastAsia="pl-PL"/>
              </w:rPr>
              <w:t>cznych</w:t>
            </w:r>
          </w:p>
        </w:tc>
        <w:tc>
          <w:tcPr>
            <w:tcW w:w="2158" w:type="dxa"/>
            <w:gridSpan w:val="3"/>
            <w:vAlign w:val="center"/>
          </w:tcPr>
          <w:p w14:paraId="19CC5B0C" w14:textId="043D89A8" w:rsidR="008F610C" w:rsidRPr="00534085" w:rsidRDefault="008F610C" w:rsidP="008F610C">
            <w:pPr>
              <w:spacing w:after="0" w:line="240" w:lineRule="auto"/>
              <w:jc w:val="right"/>
              <w:rPr>
                <w:sz w:val="72"/>
                <w:szCs w:val="72"/>
                <w:lang w:eastAsia="pl-PL"/>
              </w:rPr>
            </w:pPr>
            <w:r w:rsidRPr="00534085">
              <w:rPr>
                <w:b/>
                <w:color w:val="AC8300"/>
                <w:sz w:val="72"/>
                <w:szCs w:val="72"/>
                <w:lang w:eastAsia="pl-PL"/>
              </w:rPr>
              <w:t>30</w:t>
            </w:r>
          </w:p>
        </w:tc>
        <w:tc>
          <w:tcPr>
            <w:tcW w:w="1288" w:type="dxa"/>
            <w:gridSpan w:val="4"/>
            <w:vAlign w:val="center"/>
          </w:tcPr>
          <w:p w14:paraId="4FCD894A" w14:textId="47D6B7A4" w:rsidR="008F610C" w:rsidRPr="00112D1A" w:rsidRDefault="008F610C" w:rsidP="008F610C">
            <w:pPr>
              <w:spacing w:after="0" w:line="240" w:lineRule="auto"/>
              <w:jc w:val="left"/>
              <w:rPr>
                <w:b/>
                <w:color w:val="AC8300"/>
                <w:sz w:val="96"/>
                <w:szCs w:val="96"/>
                <w:lang w:eastAsia="pl-PL"/>
              </w:rPr>
            </w:pPr>
            <w:r>
              <w:rPr>
                <w:sz w:val="20"/>
                <w:lang w:eastAsia="pl-PL"/>
              </w:rPr>
              <w:t>p</w:t>
            </w:r>
            <w:r w:rsidRPr="00DA6668">
              <w:rPr>
                <w:sz w:val="20"/>
                <w:lang w:eastAsia="pl-PL"/>
              </w:rPr>
              <w:t>rogram</w:t>
            </w:r>
            <w:r>
              <w:rPr>
                <w:sz w:val="20"/>
                <w:lang w:eastAsia="pl-PL"/>
              </w:rPr>
              <w:t>ów</w:t>
            </w:r>
          </w:p>
        </w:tc>
        <w:tc>
          <w:tcPr>
            <w:tcW w:w="1442" w:type="dxa"/>
            <w:vAlign w:val="center"/>
          </w:tcPr>
          <w:p w14:paraId="1B18C2FD" w14:textId="134FDE9B" w:rsidR="008F610C" w:rsidRDefault="008F610C" w:rsidP="008F610C">
            <w:pPr>
              <w:spacing w:after="0" w:line="240" w:lineRule="auto"/>
              <w:jc w:val="right"/>
              <w:rPr>
                <w:sz w:val="20"/>
                <w:lang w:eastAsia="pl-PL"/>
              </w:rPr>
            </w:pPr>
            <w:r w:rsidRPr="00534085">
              <w:rPr>
                <w:b/>
                <w:color w:val="AC8300"/>
                <w:sz w:val="72"/>
                <w:szCs w:val="72"/>
                <w:lang w:eastAsia="pl-PL"/>
              </w:rPr>
              <w:t>7</w:t>
            </w:r>
          </w:p>
        </w:tc>
        <w:tc>
          <w:tcPr>
            <w:tcW w:w="1347" w:type="dxa"/>
            <w:vAlign w:val="center"/>
          </w:tcPr>
          <w:p w14:paraId="1FFD14FE" w14:textId="6C44180A" w:rsidR="008F610C" w:rsidRPr="00DA6668" w:rsidRDefault="008F610C" w:rsidP="008F610C">
            <w:pPr>
              <w:spacing w:after="0" w:line="240" w:lineRule="auto"/>
              <w:jc w:val="left"/>
              <w:rPr>
                <w:color w:val="AC8300"/>
                <w:sz w:val="20"/>
                <w:lang w:eastAsia="pl-PL"/>
              </w:rPr>
            </w:pPr>
            <w:r>
              <w:rPr>
                <w:sz w:val="20"/>
                <w:lang w:eastAsia="pl-PL"/>
              </w:rPr>
              <w:t>p</w:t>
            </w:r>
            <w:r w:rsidRPr="00DA6668">
              <w:rPr>
                <w:sz w:val="20"/>
                <w:lang w:eastAsia="pl-PL"/>
              </w:rPr>
              <w:t>lan</w:t>
            </w:r>
            <w:r>
              <w:rPr>
                <w:sz w:val="20"/>
                <w:lang w:eastAsia="pl-PL"/>
              </w:rPr>
              <w:t>ów</w:t>
            </w:r>
          </w:p>
        </w:tc>
      </w:tr>
      <w:tr w:rsidR="002B2F4B" w:rsidRPr="00647227" w14:paraId="11823F97" w14:textId="77777777" w:rsidTr="00534085">
        <w:tc>
          <w:tcPr>
            <w:tcW w:w="982" w:type="dxa"/>
            <w:vAlign w:val="center"/>
          </w:tcPr>
          <w:p w14:paraId="764FC763" w14:textId="77777777" w:rsidR="00647227" w:rsidRPr="00DA6668" w:rsidRDefault="00647227" w:rsidP="55FB9BFF">
            <w:pPr>
              <w:spacing w:after="0" w:line="240" w:lineRule="auto"/>
              <w:rPr>
                <w:color w:val="AC8300"/>
                <w:sz w:val="72"/>
                <w:szCs w:val="72"/>
                <w:lang w:eastAsia="pl-PL"/>
              </w:rPr>
            </w:pPr>
          </w:p>
        </w:tc>
        <w:tc>
          <w:tcPr>
            <w:tcW w:w="1202" w:type="dxa"/>
            <w:gridSpan w:val="3"/>
            <w:vAlign w:val="center"/>
          </w:tcPr>
          <w:p w14:paraId="069C95F5" w14:textId="77777777" w:rsidR="00534085" w:rsidRPr="00534085" w:rsidRDefault="00534085" w:rsidP="008F610C">
            <w:pPr>
              <w:spacing w:after="0" w:line="240" w:lineRule="auto"/>
              <w:jc w:val="right"/>
              <w:rPr>
                <w:b/>
                <w:color w:val="AC8300"/>
                <w:sz w:val="72"/>
                <w:szCs w:val="72"/>
                <w:lang w:eastAsia="pl-PL"/>
              </w:rPr>
            </w:pPr>
            <w:r w:rsidRPr="00534085">
              <w:rPr>
                <w:b/>
                <w:color w:val="AC8300"/>
                <w:sz w:val="72"/>
                <w:szCs w:val="72"/>
                <w:lang w:eastAsia="pl-PL"/>
              </w:rPr>
              <w:t>40</w:t>
            </w:r>
          </w:p>
        </w:tc>
        <w:tc>
          <w:tcPr>
            <w:tcW w:w="2482" w:type="dxa"/>
            <w:gridSpan w:val="3"/>
            <w:vAlign w:val="center"/>
          </w:tcPr>
          <w:p w14:paraId="4078BEDF" w14:textId="014BAE94" w:rsidR="00534085" w:rsidRDefault="00534085" w:rsidP="008F610C">
            <w:pPr>
              <w:spacing w:after="0" w:line="240" w:lineRule="auto"/>
              <w:jc w:val="left"/>
              <w:rPr>
                <w:sz w:val="20"/>
                <w:lang w:eastAsia="pl-PL"/>
              </w:rPr>
            </w:pPr>
            <w:r>
              <w:rPr>
                <w:sz w:val="20"/>
                <w:lang w:eastAsia="pl-PL"/>
              </w:rPr>
              <w:t>i</w:t>
            </w:r>
            <w:r w:rsidRPr="00DA6668">
              <w:rPr>
                <w:sz w:val="20"/>
                <w:lang w:eastAsia="pl-PL"/>
              </w:rPr>
              <w:t>n</w:t>
            </w:r>
            <w:r>
              <w:rPr>
                <w:sz w:val="20"/>
                <w:lang w:eastAsia="pl-PL"/>
              </w:rPr>
              <w:t>dywidualnych</w:t>
            </w:r>
            <w:r w:rsidRPr="00DA6668">
              <w:rPr>
                <w:sz w:val="20"/>
                <w:lang w:eastAsia="pl-PL"/>
              </w:rPr>
              <w:t xml:space="preserve"> wywiad</w:t>
            </w:r>
            <w:r>
              <w:rPr>
                <w:sz w:val="20"/>
                <w:lang w:eastAsia="pl-PL"/>
              </w:rPr>
              <w:t>ów</w:t>
            </w:r>
            <w:r w:rsidRPr="00DA6668">
              <w:rPr>
                <w:sz w:val="20"/>
                <w:lang w:eastAsia="pl-PL"/>
              </w:rPr>
              <w:t xml:space="preserve"> z pracownikami </w:t>
            </w:r>
            <w:r>
              <w:rPr>
                <w:sz w:val="20"/>
                <w:lang w:eastAsia="pl-PL"/>
              </w:rPr>
              <w:t>Samorządu Województwa</w:t>
            </w:r>
          </w:p>
        </w:tc>
        <w:tc>
          <w:tcPr>
            <w:tcW w:w="1141" w:type="dxa"/>
            <w:gridSpan w:val="3"/>
            <w:vAlign w:val="center"/>
          </w:tcPr>
          <w:p w14:paraId="639B31C0" w14:textId="77777777" w:rsidR="00534085" w:rsidRPr="00534085" w:rsidRDefault="00534085" w:rsidP="008F610C">
            <w:pPr>
              <w:spacing w:after="0" w:line="240" w:lineRule="auto"/>
              <w:jc w:val="right"/>
              <w:rPr>
                <w:b/>
                <w:color w:val="AC8300"/>
                <w:sz w:val="72"/>
                <w:szCs w:val="72"/>
                <w:lang w:eastAsia="pl-PL"/>
              </w:rPr>
            </w:pPr>
            <w:r w:rsidRPr="00534085">
              <w:rPr>
                <w:b/>
                <w:color w:val="AC8300"/>
                <w:sz w:val="72"/>
                <w:szCs w:val="72"/>
                <w:lang w:eastAsia="pl-PL"/>
              </w:rPr>
              <w:t>13</w:t>
            </w:r>
          </w:p>
        </w:tc>
        <w:tc>
          <w:tcPr>
            <w:tcW w:w="3688" w:type="dxa"/>
            <w:gridSpan w:val="4"/>
            <w:vAlign w:val="center"/>
          </w:tcPr>
          <w:p w14:paraId="491A502A" w14:textId="613376E0" w:rsidR="00647227" w:rsidRPr="00DA6668" w:rsidRDefault="00534085" w:rsidP="00647227">
            <w:pPr>
              <w:spacing w:after="0" w:line="240" w:lineRule="auto"/>
              <w:jc w:val="left"/>
              <w:rPr>
                <w:color w:val="AC8300"/>
                <w:sz w:val="20"/>
                <w:lang w:eastAsia="pl-PL"/>
              </w:rPr>
            </w:pPr>
            <w:r>
              <w:rPr>
                <w:sz w:val="20"/>
                <w:lang w:eastAsia="pl-PL"/>
              </w:rPr>
              <w:t>i</w:t>
            </w:r>
            <w:r w:rsidRPr="00DA6668">
              <w:rPr>
                <w:sz w:val="20"/>
                <w:lang w:eastAsia="pl-PL"/>
              </w:rPr>
              <w:t>ndywidualn</w:t>
            </w:r>
            <w:r>
              <w:rPr>
                <w:sz w:val="20"/>
                <w:lang w:eastAsia="pl-PL"/>
              </w:rPr>
              <w:t>ych</w:t>
            </w:r>
            <w:r w:rsidRPr="00DA6668">
              <w:rPr>
                <w:sz w:val="20"/>
                <w:lang w:eastAsia="pl-PL"/>
              </w:rPr>
              <w:t xml:space="preserve"> wywiad</w:t>
            </w:r>
            <w:r>
              <w:rPr>
                <w:sz w:val="20"/>
                <w:lang w:eastAsia="pl-PL"/>
              </w:rPr>
              <w:t xml:space="preserve">ów </w:t>
            </w:r>
            <w:r w:rsidRPr="00DA6668">
              <w:rPr>
                <w:sz w:val="20"/>
                <w:lang w:eastAsia="pl-PL"/>
              </w:rPr>
              <w:t>pogłębion</w:t>
            </w:r>
            <w:r>
              <w:rPr>
                <w:sz w:val="20"/>
                <w:lang w:eastAsia="pl-PL"/>
              </w:rPr>
              <w:t>ych</w:t>
            </w:r>
            <w:r w:rsidRPr="00DA6668">
              <w:rPr>
                <w:sz w:val="20"/>
                <w:lang w:eastAsia="pl-PL"/>
              </w:rPr>
              <w:t xml:space="preserve"> z ekspertami z różnych obszarów</w:t>
            </w:r>
          </w:p>
        </w:tc>
      </w:tr>
      <w:tr w:rsidR="002B2F4B" w:rsidRPr="00647227" w14:paraId="12199070" w14:textId="77777777" w:rsidTr="00534085">
        <w:tc>
          <w:tcPr>
            <w:tcW w:w="982" w:type="dxa"/>
            <w:vAlign w:val="center"/>
          </w:tcPr>
          <w:p w14:paraId="4CCE3FA6" w14:textId="77777777" w:rsidR="00D23EA8" w:rsidRPr="00112D1A" w:rsidRDefault="00D23EA8" w:rsidP="00D23EA8">
            <w:pPr>
              <w:spacing w:after="0" w:line="240" w:lineRule="auto"/>
              <w:jc w:val="right"/>
              <w:rPr>
                <w:color w:val="AC8300"/>
                <w:sz w:val="96"/>
                <w:szCs w:val="96"/>
                <w:lang w:eastAsia="pl-PL"/>
              </w:rPr>
            </w:pPr>
            <w:r w:rsidRPr="00534085">
              <w:rPr>
                <w:b/>
                <w:color w:val="AC8300"/>
                <w:sz w:val="72"/>
                <w:szCs w:val="72"/>
                <w:lang w:eastAsia="pl-PL"/>
              </w:rPr>
              <w:t>2</w:t>
            </w:r>
          </w:p>
        </w:tc>
        <w:tc>
          <w:tcPr>
            <w:tcW w:w="1003" w:type="dxa"/>
            <w:vAlign w:val="center"/>
          </w:tcPr>
          <w:p w14:paraId="78E7D422" w14:textId="77777777" w:rsidR="00534085" w:rsidRDefault="00534085" w:rsidP="008F610C">
            <w:pPr>
              <w:spacing w:after="0" w:line="240" w:lineRule="auto"/>
              <w:jc w:val="left"/>
              <w:rPr>
                <w:sz w:val="20"/>
                <w:lang w:eastAsia="pl-PL"/>
              </w:rPr>
            </w:pPr>
            <w:r>
              <w:rPr>
                <w:sz w:val="20"/>
                <w:lang w:eastAsia="pl-PL"/>
              </w:rPr>
              <w:t>warsztaty</w:t>
            </w:r>
          </w:p>
        </w:tc>
        <w:tc>
          <w:tcPr>
            <w:tcW w:w="1402" w:type="dxa"/>
            <w:gridSpan w:val="4"/>
            <w:vAlign w:val="center"/>
          </w:tcPr>
          <w:p w14:paraId="16ECCCD9" w14:textId="25AC0B0C" w:rsidR="00534085" w:rsidRPr="00534085" w:rsidRDefault="00534085" w:rsidP="00534085">
            <w:pPr>
              <w:spacing w:after="0" w:line="240" w:lineRule="auto"/>
              <w:jc w:val="left"/>
              <w:rPr>
                <w:b/>
                <w:color w:val="AC8300"/>
                <w:sz w:val="72"/>
                <w:szCs w:val="72"/>
                <w:lang w:eastAsia="pl-PL"/>
              </w:rPr>
            </w:pPr>
            <w:r w:rsidRPr="00534085">
              <w:rPr>
                <w:b/>
                <w:color w:val="AC8300"/>
                <w:sz w:val="72"/>
                <w:szCs w:val="72"/>
                <w:lang w:eastAsia="pl-PL"/>
              </w:rPr>
              <w:t>113</w:t>
            </w:r>
          </w:p>
        </w:tc>
        <w:tc>
          <w:tcPr>
            <w:tcW w:w="2173" w:type="dxa"/>
            <w:gridSpan w:val="3"/>
            <w:vAlign w:val="center"/>
          </w:tcPr>
          <w:p w14:paraId="165D771B" w14:textId="4F4EFA9B" w:rsidR="00534085" w:rsidRDefault="00534085" w:rsidP="00534085">
            <w:pPr>
              <w:spacing w:after="0" w:line="240" w:lineRule="auto"/>
              <w:jc w:val="left"/>
              <w:rPr>
                <w:sz w:val="20"/>
                <w:lang w:eastAsia="pl-PL"/>
              </w:rPr>
            </w:pPr>
            <w:r>
              <w:rPr>
                <w:sz w:val="20"/>
                <w:lang w:eastAsia="pl-PL"/>
              </w:rPr>
              <w:t>opracowań i dokumentów poddanych analizie</w:t>
            </w:r>
          </w:p>
        </w:tc>
        <w:tc>
          <w:tcPr>
            <w:tcW w:w="709" w:type="dxa"/>
            <w:gridSpan w:val="2"/>
            <w:vAlign w:val="center"/>
          </w:tcPr>
          <w:p w14:paraId="76947EC4" w14:textId="220EC6F7" w:rsidR="00D23EA8" w:rsidRDefault="00534085" w:rsidP="002B2F4B">
            <w:pPr>
              <w:spacing w:after="0" w:line="240" w:lineRule="auto"/>
              <w:jc w:val="left"/>
              <w:rPr>
                <w:sz w:val="20"/>
                <w:lang w:eastAsia="pl-PL"/>
              </w:rPr>
            </w:pPr>
            <w:r w:rsidRPr="00534085">
              <w:rPr>
                <w:b/>
                <w:color w:val="AC8300"/>
                <w:sz w:val="72"/>
                <w:szCs w:val="72"/>
                <w:lang w:eastAsia="pl-PL"/>
              </w:rPr>
              <w:t>6</w:t>
            </w:r>
          </w:p>
        </w:tc>
        <w:tc>
          <w:tcPr>
            <w:tcW w:w="3226" w:type="dxa"/>
            <w:gridSpan w:val="3"/>
            <w:vAlign w:val="center"/>
          </w:tcPr>
          <w:p w14:paraId="7E049D75" w14:textId="42181DCD" w:rsidR="00D23EA8" w:rsidRPr="00DA6668" w:rsidRDefault="002B2F4B" w:rsidP="00E27A79">
            <w:pPr>
              <w:spacing w:after="0" w:line="240" w:lineRule="auto"/>
              <w:jc w:val="left"/>
              <w:rPr>
                <w:color w:val="AC8300"/>
                <w:sz w:val="20"/>
                <w:lang w:eastAsia="pl-PL"/>
              </w:rPr>
            </w:pPr>
            <w:r>
              <w:rPr>
                <w:sz w:val="20"/>
                <w:lang w:eastAsia="pl-PL"/>
              </w:rPr>
              <w:t>i</w:t>
            </w:r>
            <w:r w:rsidR="00E27A79">
              <w:rPr>
                <w:sz w:val="20"/>
                <w:lang w:eastAsia="pl-PL"/>
              </w:rPr>
              <w:t>nd</w:t>
            </w:r>
            <w:r w:rsidR="00E27A79" w:rsidRPr="00DA6668">
              <w:rPr>
                <w:sz w:val="20"/>
                <w:lang w:eastAsia="pl-PL"/>
              </w:rPr>
              <w:t>ywidualn</w:t>
            </w:r>
            <w:r w:rsidR="00E27A79">
              <w:rPr>
                <w:sz w:val="20"/>
                <w:lang w:eastAsia="pl-PL"/>
              </w:rPr>
              <w:t>ych</w:t>
            </w:r>
            <w:r w:rsidR="00E27A79" w:rsidRPr="00DA6668">
              <w:rPr>
                <w:sz w:val="20"/>
                <w:lang w:eastAsia="pl-PL"/>
              </w:rPr>
              <w:t xml:space="preserve"> </w:t>
            </w:r>
            <w:r w:rsidR="00D23EA8" w:rsidRPr="00DA6668">
              <w:rPr>
                <w:sz w:val="20"/>
                <w:lang w:eastAsia="pl-PL"/>
              </w:rPr>
              <w:t>wywiad</w:t>
            </w:r>
            <w:r w:rsidR="00E27A79">
              <w:rPr>
                <w:sz w:val="20"/>
                <w:lang w:eastAsia="pl-PL"/>
              </w:rPr>
              <w:t>ów</w:t>
            </w:r>
            <w:r w:rsidR="00D23EA8" w:rsidRPr="00DA6668">
              <w:rPr>
                <w:sz w:val="20"/>
                <w:lang w:eastAsia="pl-PL"/>
              </w:rPr>
              <w:t xml:space="preserve"> z pracownikami </w:t>
            </w:r>
            <w:r w:rsidR="00D23EA8">
              <w:rPr>
                <w:sz w:val="20"/>
                <w:lang w:eastAsia="pl-PL"/>
              </w:rPr>
              <w:t>samorządów objętych ZIT-ami i Mandatami Terytorialnymi</w:t>
            </w:r>
          </w:p>
        </w:tc>
      </w:tr>
      <w:tr w:rsidR="002B2F4B" w:rsidRPr="00647227" w14:paraId="18E0AF9C" w14:textId="77777777" w:rsidTr="00534085">
        <w:tc>
          <w:tcPr>
            <w:tcW w:w="982" w:type="dxa"/>
            <w:vAlign w:val="center"/>
          </w:tcPr>
          <w:p w14:paraId="79C6C0C5" w14:textId="77777777" w:rsidR="00D23EA8" w:rsidRPr="00DA6668" w:rsidRDefault="00D23EA8" w:rsidP="00D23EA8">
            <w:pPr>
              <w:spacing w:after="0" w:line="240" w:lineRule="auto"/>
              <w:jc w:val="left"/>
              <w:rPr>
                <w:color w:val="AC8300"/>
                <w:sz w:val="20"/>
                <w:lang w:eastAsia="pl-PL"/>
              </w:rPr>
            </w:pPr>
          </w:p>
        </w:tc>
        <w:tc>
          <w:tcPr>
            <w:tcW w:w="1154" w:type="dxa"/>
            <w:gridSpan w:val="2"/>
            <w:vAlign w:val="center"/>
          </w:tcPr>
          <w:p w14:paraId="740B409E" w14:textId="77777777" w:rsidR="00534085" w:rsidRPr="00534085" w:rsidRDefault="00534085" w:rsidP="008F610C">
            <w:pPr>
              <w:spacing w:after="0" w:line="240" w:lineRule="auto"/>
              <w:jc w:val="right"/>
              <w:rPr>
                <w:b/>
                <w:color w:val="AC8300"/>
                <w:sz w:val="72"/>
                <w:szCs w:val="72"/>
                <w:lang w:eastAsia="pl-PL"/>
              </w:rPr>
            </w:pPr>
            <w:r w:rsidRPr="00534085">
              <w:rPr>
                <w:b/>
                <w:color w:val="AC8300"/>
                <w:sz w:val="72"/>
                <w:szCs w:val="72"/>
                <w:lang w:eastAsia="pl-PL"/>
              </w:rPr>
              <w:t>6</w:t>
            </w:r>
          </w:p>
        </w:tc>
        <w:tc>
          <w:tcPr>
            <w:tcW w:w="3282" w:type="dxa"/>
            <w:gridSpan w:val="5"/>
            <w:vAlign w:val="center"/>
          </w:tcPr>
          <w:p w14:paraId="632CFC9E" w14:textId="3979FBB4" w:rsidR="00D23EA8" w:rsidRPr="00DA6668" w:rsidRDefault="00FA7F46" w:rsidP="00E27A79">
            <w:pPr>
              <w:spacing w:after="0" w:line="240" w:lineRule="auto"/>
              <w:jc w:val="left"/>
              <w:rPr>
                <w:color w:val="AC8300"/>
                <w:sz w:val="20"/>
                <w:lang w:eastAsia="pl-PL"/>
              </w:rPr>
            </w:pPr>
            <w:r>
              <w:rPr>
                <w:sz w:val="20"/>
                <w:lang w:eastAsia="pl-PL"/>
              </w:rPr>
              <w:t>Samorząd</w:t>
            </w:r>
            <w:r w:rsidR="00E27A79">
              <w:rPr>
                <w:sz w:val="20"/>
                <w:lang w:eastAsia="pl-PL"/>
              </w:rPr>
              <w:t>ów</w:t>
            </w:r>
            <w:r>
              <w:rPr>
                <w:sz w:val="20"/>
                <w:lang w:eastAsia="pl-PL"/>
              </w:rPr>
              <w:t xml:space="preserve"> </w:t>
            </w:r>
            <w:r w:rsidR="00D23EA8">
              <w:rPr>
                <w:sz w:val="20"/>
                <w:lang w:eastAsia="pl-PL"/>
              </w:rPr>
              <w:t xml:space="preserve">Województw </w:t>
            </w:r>
            <w:r w:rsidR="00E27A79">
              <w:rPr>
                <w:sz w:val="20"/>
                <w:lang w:eastAsia="pl-PL"/>
              </w:rPr>
              <w:t xml:space="preserve">analizowanych </w:t>
            </w:r>
            <w:r w:rsidR="00D23EA8">
              <w:rPr>
                <w:sz w:val="20"/>
                <w:lang w:eastAsia="pl-PL"/>
              </w:rPr>
              <w:t>w studiach przypadku</w:t>
            </w:r>
          </w:p>
        </w:tc>
        <w:tc>
          <w:tcPr>
            <w:tcW w:w="1288" w:type="dxa"/>
            <w:gridSpan w:val="4"/>
            <w:vAlign w:val="center"/>
          </w:tcPr>
          <w:p w14:paraId="4FE42957" w14:textId="5A4EAAEE" w:rsidR="00D23EA8" w:rsidRPr="00112D1A" w:rsidRDefault="00D23EA8" w:rsidP="002B2F4B">
            <w:pPr>
              <w:spacing w:after="0" w:line="240" w:lineRule="auto"/>
              <w:jc w:val="right"/>
              <w:rPr>
                <w:color w:val="AC8300"/>
                <w:sz w:val="96"/>
                <w:szCs w:val="96"/>
                <w:lang w:eastAsia="pl-PL"/>
              </w:rPr>
            </w:pPr>
            <w:r w:rsidRPr="00534085">
              <w:rPr>
                <w:b/>
                <w:color w:val="AC8300"/>
                <w:sz w:val="72"/>
                <w:szCs w:val="72"/>
                <w:lang w:eastAsia="pl-PL"/>
              </w:rPr>
              <w:t>1</w:t>
            </w:r>
            <w:r w:rsidR="002B2F4B" w:rsidRPr="00534085">
              <w:rPr>
                <w:b/>
                <w:color w:val="AC8300"/>
                <w:sz w:val="72"/>
                <w:szCs w:val="72"/>
                <w:lang w:eastAsia="pl-PL"/>
              </w:rPr>
              <w:t>0</w:t>
            </w:r>
          </w:p>
        </w:tc>
        <w:tc>
          <w:tcPr>
            <w:tcW w:w="2789" w:type="dxa"/>
            <w:gridSpan w:val="2"/>
            <w:vAlign w:val="center"/>
          </w:tcPr>
          <w:p w14:paraId="10C2B684" w14:textId="3A285ABE" w:rsidR="00D23EA8" w:rsidRPr="00DA6668" w:rsidRDefault="00534085" w:rsidP="00D23EA8">
            <w:pPr>
              <w:spacing w:after="0" w:line="240" w:lineRule="auto"/>
              <w:jc w:val="left"/>
              <w:rPr>
                <w:color w:val="AC8300"/>
                <w:sz w:val="20"/>
                <w:lang w:eastAsia="pl-PL"/>
              </w:rPr>
            </w:pPr>
            <w:r>
              <w:rPr>
                <w:sz w:val="20"/>
                <w:lang w:eastAsia="pl-PL"/>
              </w:rPr>
              <w:t>Marszałków dzielących się swoją wizją planowania strategicznego</w:t>
            </w:r>
          </w:p>
        </w:tc>
      </w:tr>
      <w:tr w:rsidR="002B2F4B" w:rsidRPr="00647227" w14:paraId="31CE09AB" w14:textId="77777777" w:rsidTr="00534085">
        <w:tc>
          <w:tcPr>
            <w:tcW w:w="982" w:type="dxa"/>
            <w:vAlign w:val="center"/>
          </w:tcPr>
          <w:p w14:paraId="7EBDBC59" w14:textId="77777777" w:rsidR="00D23EA8" w:rsidRPr="00112D1A" w:rsidRDefault="00D23EA8" w:rsidP="00D23EA8">
            <w:pPr>
              <w:spacing w:after="0" w:line="240" w:lineRule="auto"/>
              <w:jc w:val="right"/>
              <w:rPr>
                <w:color w:val="AC8300"/>
                <w:sz w:val="96"/>
                <w:szCs w:val="96"/>
                <w:lang w:eastAsia="pl-PL"/>
              </w:rPr>
            </w:pPr>
            <w:r w:rsidRPr="00534085">
              <w:rPr>
                <w:b/>
                <w:color w:val="AC8300"/>
                <w:sz w:val="72"/>
                <w:szCs w:val="72"/>
                <w:lang w:eastAsia="pl-PL"/>
              </w:rPr>
              <w:t>28</w:t>
            </w:r>
          </w:p>
        </w:tc>
        <w:tc>
          <w:tcPr>
            <w:tcW w:w="2278" w:type="dxa"/>
            <w:gridSpan w:val="4"/>
            <w:vAlign w:val="center"/>
          </w:tcPr>
          <w:p w14:paraId="4FEFA9E0" w14:textId="3DB8C2CB" w:rsidR="00D23EA8" w:rsidRPr="00DA6668" w:rsidRDefault="002B2F4B" w:rsidP="002B2F4B">
            <w:pPr>
              <w:spacing w:after="0" w:line="240" w:lineRule="auto"/>
              <w:jc w:val="left"/>
              <w:rPr>
                <w:sz w:val="20"/>
                <w:lang w:eastAsia="pl-PL"/>
              </w:rPr>
            </w:pPr>
            <w:r>
              <w:rPr>
                <w:sz w:val="20"/>
                <w:lang w:eastAsia="pl-PL"/>
              </w:rPr>
              <w:t>a</w:t>
            </w:r>
            <w:r w:rsidR="00D23EA8">
              <w:rPr>
                <w:sz w:val="20"/>
                <w:lang w:eastAsia="pl-PL"/>
              </w:rPr>
              <w:t>nkiet od szczebla kierowniczego</w:t>
            </w:r>
          </w:p>
        </w:tc>
        <w:tc>
          <w:tcPr>
            <w:tcW w:w="1406" w:type="dxa"/>
            <w:gridSpan w:val="2"/>
            <w:vAlign w:val="center"/>
          </w:tcPr>
          <w:p w14:paraId="3576CC3F" w14:textId="77777777" w:rsidR="00534085" w:rsidRPr="00534085" w:rsidRDefault="00534085" w:rsidP="008F610C">
            <w:pPr>
              <w:spacing w:after="0" w:line="240" w:lineRule="auto"/>
              <w:jc w:val="right"/>
              <w:rPr>
                <w:b/>
                <w:color w:val="AC8300"/>
                <w:sz w:val="72"/>
                <w:szCs w:val="72"/>
                <w:lang w:eastAsia="pl-PL"/>
              </w:rPr>
            </w:pPr>
            <w:r w:rsidRPr="00534085">
              <w:rPr>
                <w:b/>
                <w:color w:val="AC8300"/>
                <w:sz w:val="72"/>
                <w:szCs w:val="72"/>
                <w:lang w:eastAsia="pl-PL"/>
              </w:rPr>
              <w:t>198</w:t>
            </w:r>
          </w:p>
        </w:tc>
        <w:tc>
          <w:tcPr>
            <w:tcW w:w="2040" w:type="dxa"/>
            <w:gridSpan w:val="5"/>
            <w:vAlign w:val="center"/>
          </w:tcPr>
          <w:p w14:paraId="2C28B899" w14:textId="496B4C1B" w:rsidR="00D23EA8" w:rsidRDefault="002B2F4B" w:rsidP="00D23EA8">
            <w:pPr>
              <w:spacing w:after="0" w:line="240" w:lineRule="auto"/>
              <w:jc w:val="left"/>
              <w:rPr>
                <w:sz w:val="20"/>
                <w:lang w:eastAsia="pl-PL"/>
              </w:rPr>
            </w:pPr>
            <w:r>
              <w:rPr>
                <w:sz w:val="20"/>
                <w:lang w:eastAsia="pl-PL"/>
              </w:rPr>
              <w:t>e</w:t>
            </w:r>
            <w:r w:rsidR="00D23EA8">
              <w:rPr>
                <w:sz w:val="20"/>
                <w:lang w:eastAsia="pl-PL"/>
              </w:rPr>
              <w:t xml:space="preserve">lementów </w:t>
            </w:r>
          </w:p>
          <w:p w14:paraId="313E8E0A" w14:textId="77777777" w:rsidR="00D23EA8" w:rsidRPr="00DA6668" w:rsidRDefault="00D23EA8" w:rsidP="00D23EA8">
            <w:pPr>
              <w:spacing w:after="0" w:line="240" w:lineRule="auto"/>
              <w:jc w:val="left"/>
              <w:rPr>
                <w:color w:val="AC8300"/>
                <w:sz w:val="20"/>
                <w:lang w:eastAsia="pl-PL"/>
              </w:rPr>
            </w:pPr>
            <w:r>
              <w:rPr>
                <w:sz w:val="20"/>
                <w:lang w:eastAsia="pl-PL"/>
              </w:rPr>
              <w:t>analizy SWOT</w:t>
            </w:r>
            <w:r w:rsidR="00054509">
              <w:rPr>
                <w:sz w:val="20"/>
                <w:lang w:eastAsia="pl-PL"/>
              </w:rPr>
              <w:t xml:space="preserve"> poddanych ocenie</w:t>
            </w:r>
          </w:p>
        </w:tc>
        <w:tc>
          <w:tcPr>
            <w:tcW w:w="1442" w:type="dxa"/>
            <w:vAlign w:val="center"/>
          </w:tcPr>
          <w:p w14:paraId="47DBE1E9" w14:textId="77777777" w:rsidR="00D23EA8" w:rsidRPr="00FA7F46" w:rsidRDefault="00FA7F46" w:rsidP="00D23EA8">
            <w:pPr>
              <w:spacing w:after="0" w:line="240" w:lineRule="auto"/>
              <w:jc w:val="right"/>
              <w:rPr>
                <w:b/>
                <w:color w:val="AC8300"/>
                <w:sz w:val="96"/>
                <w:szCs w:val="96"/>
                <w:lang w:eastAsia="pl-PL"/>
              </w:rPr>
            </w:pPr>
            <w:r w:rsidRPr="00534085">
              <w:rPr>
                <w:b/>
                <w:color w:val="AC8300"/>
                <w:sz w:val="72"/>
                <w:szCs w:val="72"/>
                <w:lang w:eastAsia="pl-PL"/>
              </w:rPr>
              <w:t>11</w:t>
            </w:r>
          </w:p>
        </w:tc>
        <w:tc>
          <w:tcPr>
            <w:tcW w:w="1347" w:type="dxa"/>
            <w:vAlign w:val="center"/>
          </w:tcPr>
          <w:p w14:paraId="59767E09" w14:textId="5D811405" w:rsidR="00D23EA8" w:rsidRPr="00DA6668" w:rsidRDefault="00A70185" w:rsidP="00FA7F46">
            <w:pPr>
              <w:spacing w:after="0" w:line="240" w:lineRule="auto"/>
              <w:jc w:val="left"/>
              <w:rPr>
                <w:color w:val="AC8300"/>
                <w:sz w:val="20"/>
                <w:lang w:eastAsia="pl-PL"/>
              </w:rPr>
            </w:pPr>
            <w:r>
              <w:rPr>
                <w:sz w:val="20"/>
                <w:lang w:eastAsia="pl-PL"/>
              </w:rPr>
              <w:t>E</w:t>
            </w:r>
            <w:r w:rsidR="00FA7F46">
              <w:rPr>
                <w:sz w:val="20"/>
                <w:lang w:eastAsia="pl-PL"/>
              </w:rPr>
              <w:t>waluatorów</w:t>
            </w:r>
          </w:p>
        </w:tc>
      </w:tr>
      <w:tr w:rsidR="002B2F4B" w:rsidRPr="00647227" w14:paraId="563D88B5" w14:textId="77777777" w:rsidTr="00534085">
        <w:tc>
          <w:tcPr>
            <w:tcW w:w="982" w:type="dxa"/>
            <w:vAlign w:val="center"/>
          </w:tcPr>
          <w:p w14:paraId="4855BC43" w14:textId="77777777" w:rsidR="00D23EA8" w:rsidRPr="00DA6668" w:rsidRDefault="00D23EA8" w:rsidP="00D23EA8">
            <w:pPr>
              <w:spacing w:after="0" w:line="240" w:lineRule="auto"/>
              <w:jc w:val="right"/>
              <w:rPr>
                <w:color w:val="AC8300"/>
                <w:sz w:val="20"/>
                <w:lang w:eastAsia="pl-PL"/>
              </w:rPr>
            </w:pPr>
          </w:p>
        </w:tc>
        <w:tc>
          <w:tcPr>
            <w:tcW w:w="2278" w:type="dxa"/>
            <w:gridSpan w:val="4"/>
            <w:vAlign w:val="center"/>
          </w:tcPr>
          <w:p w14:paraId="1C2439B3" w14:textId="68690650" w:rsidR="00D23EA8" w:rsidRPr="00112D1A" w:rsidRDefault="00FA7F46" w:rsidP="00D23EA8">
            <w:pPr>
              <w:spacing w:after="0" w:line="240" w:lineRule="auto"/>
              <w:jc w:val="right"/>
              <w:rPr>
                <w:color w:val="AC8300"/>
                <w:sz w:val="96"/>
                <w:szCs w:val="96"/>
                <w:lang w:eastAsia="pl-PL"/>
              </w:rPr>
            </w:pPr>
            <w:r w:rsidRPr="00534085">
              <w:rPr>
                <w:b/>
                <w:color w:val="AC8300"/>
                <w:sz w:val="72"/>
                <w:szCs w:val="72"/>
                <w:lang w:eastAsia="pl-PL"/>
              </w:rPr>
              <w:t>1</w:t>
            </w:r>
            <w:r w:rsidR="00205B8C">
              <w:rPr>
                <w:b/>
                <w:color w:val="AC8300"/>
                <w:sz w:val="72"/>
                <w:szCs w:val="72"/>
                <w:lang w:eastAsia="pl-PL"/>
              </w:rPr>
              <w:t>10</w:t>
            </w:r>
          </w:p>
        </w:tc>
        <w:tc>
          <w:tcPr>
            <w:tcW w:w="2158" w:type="dxa"/>
            <w:gridSpan w:val="3"/>
            <w:vAlign w:val="center"/>
          </w:tcPr>
          <w:p w14:paraId="34C635F6" w14:textId="089CB7DD" w:rsidR="00D23EA8" w:rsidRPr="00DA6668" w:rsidRDefault="002B2F4B" w:rsidP="002B2F4B">
            <w:pPr>
              <w:spacing w:after="0" w:line="240" w:lineRule="auto"/>
              <w:jc w:val="left"/>
              <w:rPr>
                <w:color w:val="AC8300"/>
                <w:sz w:val="20"/>
                <w:lang w:eastAsia="pl-PL"/>
              </w:rPr>
            </w:pPr>
            <w:r>
              <w:rPr>
                <w:sz w:val="20"/>
                <w:lang w:eastAsia="pl-PL"/>
              </w:rPr>
              <w:t>s</w:t>
            </w:r>
            <w:r w:rsidR="00D23EA8">
              <w:rPr>
                <w:sz w:val="20"/>
                <w:lang w:eastAsia="pl-PL"/>
              </w:rPr>
              <w:t>tron tekstu zasadniczego</w:t>
            </w:r>
            <w:r w:rsidR="00FA7F46">
              <w:rPr>
                <w:sz w:val="20"/>
                <w:lang w:eastAsia="pl-PL"/>
              </w:rPr>
              <w:t xml:space="preserve"> Ewaluacji</w:t>
            </w:r>
          </w:p>
        </w:tc>
        <w:tc>
          <w:tcPr>
            <w:tcW w:w="1288" w:type="dxa"/>
            <w:gridSpan w:val="4"/>
            <w:vAlign w:val="center"/>
          </w:tcPr>
          <w:p w14:paraId="3310DF1B" w14:textId="77777777" w:rsidR="00D23EA8" w:rsidRPr="00112D1A" w:rsidRDefault="00FA7F46" w:rsidP="00D23EA8">
            <w:pPr>
              <w:spacing w:after="0" w:line="240" w:lineRule="auto"/>
              <w:jc w:val="right"/>
              <w:rPr>
                <w:color w:val="AC8300"/>
                <w:sz w:val="96"/>
                <w:szCs w:val="96"/>
                <w:lang w:eastAsia="pl-PL"/>
              </w:rPr>
            </w:pPr>
            <w:r w:rsidRPr="00534085">
              <w:rPr>
                <w:b/>
                <w:color w:val="AC8300"/>
                <w:sz w:val="72"/>
                <w:szCs w:val="72"/>
                <w:lang w:eastAsia="pl-PL"/>
              </w:rPr>
              <w:t>9</w:t>
            </w:r>
          </w:p>
        </w:tc>
        <w:tc>
          <w:tcPr>
            <w:tcW w:w="1442" w:type="dxa"/>
            <w:vAlign w:val="center"/>
          </w:tcPr>
          <w:p w14:paraId="294BE640" w14:textId="614BE34B" w:rsidR="00D23EA8" w:rsidRPr="00DA6668" w:rsidRDefault="00205B8C" w:rsidP="00B66710">
            <w:pPr>
              <w:spacing w:after="0" w:line="240" w:lineRule="auto"/>
              <w:jc w:val="left"/>
              <w:rPr>
                <w:color w:val="AC8300"/>
                <w:sz w:val="20"/>
                <w:lang w:eastAsia="pl-PL"/>
              </w:rPr>
            </w:pPr>
            <w:r>
              <w:rPr>
                <w:sz w:val="20"/>
                <w:lang w:eastAsia="pl-PL"/>
              </w:rPr>
              <w:t>zaleceń</w:t>
            </w:r>
            <w:r w:rsidR="00D23EA8">
              <w:rPr>
                <w:sz w:val="20"/>
                <w:lang w:eastAsia="pl-PL"/>
              </w:rPr>
              <w:t xml:space="preserve"> </w:t>
            </w:r>
            <w:r w:rsidR="00FA7F46">
              <w:rPr>
                <w:sz w:val="20"/>
                <w:lang w:eastAsia="pl-PL"/>
              </w:rPr>
              <w:t>strategiczn</w:t>
            </w:r>
            <w:r w:rsidR="002B2F4B">
              <w:rPr>
                <w:sz w:val="20"/>
                <w:lang w:eastAsia="pl-PL"/>
              </w:rPr>
              <w:t>ych</w:t>
            </w:r>
          </w:p>
        </w:tc>
        <w:tc>
          <w:tcPr>
            <w:tcW w:w="1347" w:type="dxa"/>
            <w:vAlign w:val="center"/>
          </w:tcPr>
          <w:p w14:paraId="5FCCFE1D" w14:textId="77777777" w:rsidR="00D23EA8" w:rsidRPr="00DA6668" w:rsidRDefault="00D23EA8" w:rsidP="00D23EA8">
            <w:pPr>
              <w:spacing w:after="0" w:line="240" w:lineRule="auto"/>
              <w:jc w:val="left"/>
              <w:rPr>
                <w:color w:val="AC8300"/>
                <w:sz w:val="20"/>
                <w:lang w:eastAsia="pl-PL"/>
              </w:rPr>
            </w:pPr>
          </w:p>
        </w:tc>
      </w:tr>
    </w:tbl>
    <w:p w14:paraId="39B8FFDC" w14:textId="0CDADDE1" w:rsidR="00FA7F46" w:rsidRPr="00FA7F46" w:rsidRDefault="00FA7F46" w:rsidP="00FA7F46">
      <w:pPr>
        <w:rPr>
          <w:sz w:val="16"/>
          <w:szCs w:val="16"/>
          <w:lang w:eastAsia="pl-PL"/>
        </w:rPr>
      </w:pPr>
      <w:r w:rsidRPr="00FA7F46">
        <w:rPr>
          <w:sz w:val="16"/>
          <w:szCs w:val="16"/>
          <w:lang w:eastAsia="pl-PL"/>
        </w:rPr>
        <w:t>Źródło: opracowanie własne.</w:t>
      </w:r>
    </w:p>
    <w:p w14:paraId="16ADE06C" w14:textId="485949BE" w:rsidR="00CD5BF1" w:rsidRPr="00193909" w:rsidRDefault="004C5366" w:rsidP="00CD5BF1">
      <w:pPr>
        <w:ind w:left="4536"/>
        <w:jc w:val="left"/>
        <w:rPr>
          <w:b/>
          <w:i/>
          <w:color w:val="001E50"/>
        </w:rPr>
      </w:pPr>
      <w:r>
        <w:rPr>
          <w:noProof/>
          <w:lang w:eastAsia="pl-PL"/>
        </w:rPr>
        <w:drawing>
          <wp:anchor distT="0" distB="0" distL="114300" distR="114300" simplePos="0" relativeHeight="251658248" behindDoc="0" locked="0" layoutInCell="1" allowOverlap="1" wp14:anchorId="07F69C35" wp14:editId="283F5D8E">
            <wp:simplePos x="0" y="0"/>
            <wp:positionH relativeFrom="column">
              <wp:posOffset>-1270</wp:posOffset>
            </wp:positionH>
            <wp:positionV relativeFrom="paragraph">
              <wp:posOffset>110490</wp:posOffset>
            </wp:positionV>
            <wp:extent cx="2159635" cy="1804670"/>
            <wp:effectExtent l="0" t="0" r="0" b="5080"/>
            <wp:wrapSquare wrapText="bothSides"/>
            <wp:docPr id="286099746" name="Obraz 28609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9635" cy="1804670"/>
                    </a:xfrm>
                    <a:prstGeom prst="rect">
                      <a:avLst/>
                    </a:prstGeom>
                    <a:noFill/>
                  </pic:spPr>
                </pic:pic>
              </a:graphicData>
            </a:graphic>
          </wp:anchor>
        </w:drawing>
      </w:r>
      <w:r w:rsidR="00CD5BF1">
        <w:rPr>
          <w:b/>
          <w:i/>
          <w:color w:val="001E50"/>
        </w:rPr>
        <w:t xml:space="preserve">Ocena przyjętego w SRWW </w:t>
      </w:r>
      <w:r w:rsidR="003E573B">
        <w:rPr>
          <w:b/>
          <w:i/>
          <w:color w:val="001E50"/>
        </w:rPr>
        <w:t>paradygmatu</w:t>
      </w:r>
      <w:r w:rsidR="00CD5BF1">
        <w:rPr>
          <w:b/>
          <w:i/>
          <w:color w:val="001E50"/>
        </w:rPr>
        <w:t xml:space="preserve"> rozwoju</w:t>
      </w:r>
    </w:p>
    <w:p w14:paraId="0E03C78D" w14:textId="6D10E07A" w:rsidR="003E573B" w:rsidRDefault="00676894" w:rsidP="00E10BD2">
      <w:pPr>
        <w:rPr>
          <w:lang w:eastAsia="pl-PL"/>
        </w:rPr>
      </w:pPr>
      <w:r>
        <w:rPr>
          <w:lang w:eastAsia="pl-PL"/>
        </w:rPr>
        <w:t xml:space="preserve">W SRWW na paradygmat rozwoju składają się: model rozwoju, wizja rozwoju i misja. </w:t>
      </w:r>
      <w:r w:rsidRPr="00CD5BF1">
        <w:rPr>
          <w:lang w:eastAsia="pl-PL"/>
        </w:rPr>
        <w:t xml:space="preserve">Przyjęty w </w:t>
      </w:r>
      <w:r>
        <w:rPr>
          <w:lang w:eastAsia="pl-PL"/>
        </w:rPr>
        <w:t xml:space="preserve">Strategii </w:t>
      </w:r>
      <w:r w:rsidRPr="00CD5BF1">
        <w:rPr>
          <w:lang w:eastAsia="pl-PL"/>
        </w:rPr>
        <w:t>dyfuzyjno-absorpcyjny model rozwoju jest adekwatny do sytuacji województwa</w:t>
      </w:r>
      <w:r>
        <w:rPr>
          <w:lang w:eastAsia="pl-PL"/>
        </w:rPr>
        <w:t>,</w:t>
      </w:r>
      <w:r w:rsidRPr="00CD5BF1">
        <w:rPr>
          <w:lang w:eastAsia="pl-PL"/>
        </w:rPr>
        <w:t xml:space="preserve"> a ponadto elastyczny z punktu widzenia uwarunkowań zewnętrznych</w:t>
      </w:r>
      <w:r>
        <w:rPr>
          <w:lang w:eastAsia="pl-PL"/>
        </w:rPr>
        <w:t>. Model ten jest dobrą odpowiedzią na wymagania konkurencji globalnej (dyfuzja utożsamiana jest z rozprzestrzenianiem się pozytywnych impulsów rozwojowych, głównie z ośrodków wzrostu). Ponadto, model ten zakłada podnoszenie zdolności absorpcyjnych obszarów problemowych w regionie. Ewaluacja wskazuje liczne sugestie dotyczące dyskusji nad wizją rozwoju regionu, przy czym podkreślenia wymaga kluczowe założenie: wizja powinna być obrazem przyszłości, z którym utożsamia się lider, nawet jeśli sformułowanie wizji odbywa się w procesie partycypacyjnym. Ponadto, zdaniem Ewaluatorów, wizja powinna stanowić punkt wyjścia całej Strategii i to jej podporządkowane powinny być pozostałe elementy procesu budowy i wdrażania Strategii. W obecnym dokumencie podmiotem misji jest Samorząd Województwa. Ewaluacja zwraca uwagę na fakt, że proces tworzenia dokumentu i jego wdrażanie służą wyższym celom. Odpowiedź na pytanie o sens tworzenia strategii i sens działania strategicznego pozwoli osiągnąć jeszcze wyższy poziom zarządzania strategicznego w województwie</w:t>
      </w:r>
      <w:r w:rsidR="009A4DE5">
        <w:rPr>
          <w:lang w:eastAsia="pl-PL"/>
        </w:rPr>
        <w:t>.</w:t>
      </w:r>
    </w:p>
    <w:p w14:paraId="6618E491" w14:textId="77777777" w:rsidR="004C5366" w:rsidRDefault="004C5366" w:rsidP="00E10BD2">
      <w:pPr>
        <w:rPr>
          <w:lang w:eastAsia="pl-PL"/>
        </w:rPr>
      </w:pPr>
    </w:p>
    <w:p w14:paraId="1BACF7EE" w14:textId="77777777" w:rsidR="004C5366" w:rsidRDefault="004C5366" w:rsidP="00E10BD2">
      <w:pPr>
        <w:rPr>
          <w:lang w:eastAsia="pl-PL"/>
        </w:rPr>
      </w:pPr>
    </w:p>
    <w:p w14:paraId="0498B34D" w14:textId="7511833C" w:rsidR="00B12A7B" w:rsidRPr="00193909" w:rsidRDefault="004C5366" w:rsidP="00B12A7B">
      <w:pPr>
        <w:ind w:left="4536"/>
        <w:jc w:val="left"/>
        <w:rPr>
          <w:b/>
          <w:i/>
          <w:color w:val="001E50"/>
        </w:rPr>
      </w:pPr>
      <w:r>
        <w:rPr>
          <w:noProof/>
          <w:lang w:eastAsia="pl-PL"/>
        </w:rPr>
        <w:lastRenderedPageBreak/>
        <w:drawing>
          <wp:anchor distT="0" distB="0" distL="114300" distR="114300" simplePos="0" relativeHeight="251658249" behindDoc="0" locked="0" layoutInCell="1" allowOverlap="1" wp14:anchorId="4AE67B0B" wp14:editId="57A046E3">
            <wp:simplePos x="0" y="0"/>
            <wp:positionH relativeFrom="column">
              <wp:posOffset>-627</wp:posOffset>
            </wp:positionH>
            <wp:positionV relativeFrom="paragraph">
              <wp:posOffset>82550</wp:posOffset>
            </wp:positionV>
            <wp:extent cx="2160000" cy="1804982"/>
            <wp:effectExtent l="0" t="0" r="0" b="5080"/>
            <wp:wrapSquare wrapText="bothSides"/>
            <wp:docPr id="286099745" name="Obraz 28609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0000" cy="1804982"/>
                    </a:xfrm>
                    <a:prstGeom prst="rect">
                      <a:avLst/>
                    </a:prstGeom>
                    <a:noFill/>
                  </pic:spPr>
                </pic:pic>
              </a:graphicData>
            </a:graphic>
          </wp:anchor>
        </w:drawing>
      </w:r>
      <w:r w:rsidR="00B12A7B">
        <w:rPr>
          <w:b/>
          <w:i/>
          <w:color w:val="001E50"/>
        </w:rPr>
        <w:t>Ocena mocnych i słabych stron województwa oraz szans i zagrożeń w jego otoczeniu</w:t>
      </w:r>
    </w:p>
    <w:p w14:paraId="0E083523" w14:textId="4717D06D" w:rsidR="00B12A7B" w:rsidRDefault="00676894" w:rsidP="00E10BD2">
      <w:pPr>
        <w:rPr>
          <w:lang w:eastAsia="pl-PL"/>
        </w:rPr>
      </w:pPr>
      <w:r>
        <w:rPr>
          <w:lang w:eastAsia="pl-PL"/>
        </w:rPr>
        <w:t xml:space="preserve">W najbliższych latach polityka rozwoju województwa wielkopolskiego powinna opierać się o jego </w:t>
      </w:r>
      <w:r w:rsidRPr="0054640D">
        <w:rPr>
          <w:color w:val="FF0000"/>
          <w:lang w:eastAsia="pl-PL"/>
        </w:rPr>
        <w:t>silne strony</w:t>
      </w:r>
      <w:r>
        <w:rPr>
          <w:lang w:eastAsia="pl-PL"/>
        </w:rPr>
        <w:t xml:space="preserve">, zatem: prężną gospodarkę, wyróżniającą się w skali kraju wielofunkcyjną metropolię poznańską. Istotne będzie również wykorzystanie dobrze rozwiniętej hierarchicznej sieci osadniczej i wspieranie rozwoju ponadlokalnych funkcji ośrodków subregionalnych. Region posiada duży potencjał do rozwoju innowacji i wpisuje się bardzo dobrze w kierunki polityk UE nastawione na rozwój OZE. Otoczenie województwa wielkopolskiego należy uznać za mało stabilne, zarówno w wymiarze europejskim, jak i krajowym. Jednak potencjał społeczno-gospodarczy regionu pozwala ukierunkować działania na wykorzystywanie szans (pamiętając oczywiście o możliwym negatywnym wpływie zagrożeń). Do najważniejszych </w:t>
      </w:r>
      <w:r w:rsidRPr="0054640D">
        <w:rPr>
          <w:color w:val="FF0000"/>
          <w:lang w:eastAsia="pl-PL"/>
        </w:rPr>
        <w:t>szans</w:t>
      </w:r>
      <w:r>
        <w:rPr>
          <w:lang w:eastAsia="pl-PL"/>
        </w:rPr>
        <w:t xml:space="preserve"> zaliczyć należy: krajowe i europejskie instrumenty rozwoju oparte o konkurencyjność, w której podmioty województwa wielkopolskiego odnoszą sukcesy; migracje zarobkowe do Polski; wzrost świadomości ekologicznej Europejczyków oraz rozwój działań i technologii ukierunkowanych na sferę społeczną (przeciwdziałanie wykluczeniu społecznemu). Wśród </w:t>
      </w:r>
      <w:r w:rsidRPr="0054640D">
        <w:rPr>
          <w:color w:val="FF0000"/>
          <w:lang w:eastAsia="pl-PL"/>
        </w:rPr>
        <w:t>słabości</w:t>
      </w:r>
      <w:r>
        <w:rPr>
          <w:lang w:eastAsia="pl-PL"/>
        </w:rPr>
        <w:t xml:space="preserve"> województwa</w:t>
      </w:r>
      <w:r w:rsidR="004C5366">
        <w:rPr>
          <w:lang w:eastAsia="pl-PL"/>
        </w:rPr>
        <w:t xml:space="preserve"> podkreślić należy: silne zróżnicowanie wewnętrzne (gospodarcze i w dostępie do usług), niewystarczające powiązania funkcjonalne z obszarami przygranicznymi regionu</w:t>
      </w:r>
      <w:r w:rsidR="00B75714">
        <w:rPr>
          <w:lang w:eastAsia="pl-PL"/>
        </w:rPr>
        <w:t xml:space="preserve"> oraz</w:t>
      </w:r>
      <w:r w:rsidR="004C5366">
        <w:rPr>
          <w:lang w:eastAsia="pl-PL"/>
        </w:rPr>
        <w:t xml:space="preserve"> słabo wykształcone powiązania nauki z gospodarką</w:t>
      </w:r>
      <w:r w:rsidR="008223C1">
        <w:rPr>
          <w:lang w:eastAsia="pl-PL"/>
        </w:rPr>
        <w:t>.</w:t>
      </w:r>
    </w:p>
    <w:p w14:paraId="12E6B4D8" w14:textId="507A9125" w:rsidR="008223C1" w:rsidRPr="00193909" w:rsidRDefault="008223C1" w:rsidP="008223C1">
      <w:pPr>
        <w:ind w:left="4536"/>
        <w:jc w:val="left"/>
        <w:rPr>
          <w:b/>
          <w:i/>
          <w:color w:val="001E50"/>
        </w:rPr>
      </w:pPr>
      <w:r>
        <w:rPr>
          <w:b/>
          <w:i/>
          <w:color w:val="001E50"/>
        </w:rPr>
        <w:t>Kluczowe osiągnięcia w realizacji celów</w:t>
      </w:r>
    </w:p>
    <w:p w14:paraId="5596B839" w14:textId="30A24C60" w:rsidR="001E6D7F" w:rsidRDefault="00676894" w:rsidP="00E10BD2">
      <w:pPr>
        <w:rPr>
          <w:lang w:eastAsia="pl-PL"/>
        </w:rPr>
      </w:pPr>
      <w:r>
        <w:rPr>
          <w:lang w:eastAsia="pl-PL"/>
        </w:rPr>
        <w:t xml:space="preserve">Województwo zbliża się do osiągnięcia celu generalnego, jednak następuje to w „dwóch prędkościach”. Znacząco poprawia się ogólna sytuacja gospodarcza regionu.  Syntetyczny wskaźnik rozwoju społeczno-gospodarczego, jakim jest wartość </w:t>
      </w:r>
      <w:r w:rsidRPr="001E6D7F">
        <w:rPr>
          <w:i/>
          <w:lang w:eastAsia="pl-PL"/>
        </w:rPr>
        <w:t>PKB per capita</w:t>
      </w:r>
      <w:r>
        <w:rPr>
          <w:lang w:eastAsia="pl-PL"/>
        </w:rPr>
        <w:t xml:space="preserve"> wzrósł w latach 2012-2017 w województwie wielkopolskim w tempie dającym regionowi drugie miejsce wśród wszystkich województw w Polsce. Dzięki temu wzrostowi województwo awansowało o jedno miejsce i obecnie plasuje się na trzeciej pozycji w kraju. Wielkopolska charakteryzuje się ponadto najniższą stopą bezrobocia i wysokimi wskaźnikami zatrudnienia. Również nakłady inwestycyjne plasują region wysoko w rankingu. Jednak wciąż wielkim wyzwaniem pozostaje niesatysfakcjonujący poziom innowacyjności regionu. Analiza 90 wskaźników używanych do monitorowania postępów w realizacji celów wskazuje, że w niemal 70% z nich nastąpiła poprawa sytuacji w latach 2012-2017</w:t>
      </w:r>
      <w:r w:rsidR="009A4DE5">
        <w:rPr>
          <w:noProof/>
          <w:lang w:eastAsia="pl-PL"/>
        </w:rPr>
        <w:drawing>
          <wp:anchor distT="0" distB="0" distL="114300" distR="114300" simplePos="0" relativeHeight="251658251" behindDoc="1" locked="0" layoutInCell="1" allowOverlap="1" wp14:anchorId="776B40DC" wp14:editId="5F380CFD">
            <wp:simplePos x="0" y="0"/>
            <wp:positionH relativeFrom="column">
              <wp:posOffset>635</wp:posOffset>
            </wp:positionH>
            <wp:positionV relativeFrom="paragraph">
              <wp:posOffset>2487029</wp:posOffset>
            </wp:positionV>
            <wp:extent cx="2159635" cy="1804670"/>
            <wp:effectExtent l="0" t="0" r="0" b="508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9635" cy="1804670"/>
                    </a:xfrm>
                    <a:prstGeom prst="rect">
                      <a:avLst/>
                    </a:prstGeom>
                    <a:noFill/>
                  </pic:spPr>
                </pic:pic>
              </a:graphicData>
            </a:graphic>
            <wp14:sizeRelH relativeFrom="page">
              <wp14:pctWidth>0</wp14:pctWidth>
            </wp14:sizeRelH>
            <wp14:sizeRelV relativeFrom="page">
              <wp14:pctHeight>0</wp14:pctHeight>
            </wp14:sizeRelV>
          </wp:anchor>
        </w:drawing>
      </w:r>
      <w:r w:rsidR="00534085">
        <w:rPr>
          <w:noProof/>
          <w:lang w:eastAsia="pl-PL"/>
        </w:rPr>
        <w:drawing>
          <wp:anchor distT="0" distB="0" distL="114300" distR="114300" simplePos="0" relativeHeight="251658250" behindDoc="0" locked="0" layoutInCell="1" allowOverlap="1" wp14:anchorId="36251377" wp14:editId="026720B7">
            <wp:simplePos x="0" y="0"/>
            <wp:positionH relativeFrom="column">
              <wp:posOffset>-1270</wp:posOffset>
            </wp:positionH>
            <wp:positionV relativeFrom="paragraph">
              <wp:posOffset>-2540</wp:posOffset>
            </wp:positionV>
            <wp:extent cx="2159635" cy="1804670"/>
            <wp:effectExtent l="0" t="0" r="0" b="5080"/>
            <wp:wrapSquare wrapText="bothSides"/>
            <wp:docPr id="286099747" name="Obraz 286099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635" cy="1804670"/>
                    </a:xfrm>
                    <a:prstGeom prst="rect">
                      <a:avLst/>
                    </a:prstGeom>
                    <a:noFill/>
                  </pic:spPr>
                </pic:pic>
              </a:graphicData>
            </a:graphic>
          </wp:anchor>
        </w:drawing>
      </w:r>
      <w:r w:rsidR="001E6D7F">
        <w:rPr>
          <w:lang w:eastAsia="pl-PL"/>
        </w:rPr>
        <w:t>.</w:t>
      </w:r>
    </w:p>
    <w:p w14:paraId="70887B03" w14:textId="48D2AB7F" w:rsidR="0066684C" w:rsidRPr="001E6D7F" w:rsidRDefault="0066684C" w:rsidP="001E6D7F">
      <w:pPr>
        <w:ind w:left="4536"/>
        <w:jc w:val="left"/>
        <w:rPr>
          <w:b/>
          <w:i/>
          <w:color w:val="001E50"/>
        </w:rPr>
      </w:pPr>
      <w:r>
        <w:rPr>
          <w:b/>
          <w:i/>
          <w:color w:val="001E50"/>
        </w:rPr>
        <w:t>Realizacja Strategii, to nie tylko nakłady finansowe</w:t>
      </w:r>
    </w:p>
    <w:p w14:paraId="46AE71BA" w14:textId="76F3985C" w:rsidR="00534085" w:rsidRDefault="00676894" w:rsidP="00E10BD2">
      <w:pPr>
        <w:rPr>
          <w:lang w:eastAsia="pl-PL"/>
        </w:rPr>
      </w:pPr>
      <w:r>
        <w:rPr>
          <w:lang w:eastAsia="pl-PL"/>
        </w:rPr>
        <w:t xml:space="preserve">W latach 2013-2017 na działania związane z realizującą celów Strategii wydano z budżetu województwa 5,7 mld zł. 45% tej kwoty przeznaczono na komunikację (głównie transport), a kolejne 25% na cele społeczne (kultura i dziedzictwo </w:t>
      </w:r>
      <w:r>
        <w:rPr>
          <w:lang w:eastAsia="pl-PL"/>
        </w:rPr>
        <w:lastRenderedPageBreak/>
        <w:t>kulturowe, zdrowie i polityka społeczna). Prowadzona dotychczas polityka budżetowa pozwoliła regionowi zająć pozycję lidera w kraju ze względu na nadwyżkę operacyjną. Ponadto zadłużenie Wielkopolski jest na znacznie niższym poziomie, niż średnie zadłużenie polskich województw. Sytuacja ta jest na pewno pozytywnym elementem w kontekście zmieniających się uwarunkowań zewnętrznych. Warto podkreślić, że władze województwa angażują się w liczne inicjatywy pozafinansowe, które również przyczyniają się do realizacji celów (np. spotkania formalne i nieformalne, obecność w mediach, lobbowanie na rzecz rozwoju regionu, powoływanie lub branie udziału w grupach roboczych, komitetach, komisjach, radach, przyznawanie stypendiów, nagród, organizacja festynów, pikników, targów, misji gospodarczych)</w:t>
      </w:r>
      <w:r w:rsidR="000A74B2">
        <w:rPr>
          <w:lang w:eastAsia="pl-PL"/>
        </w:rPr>
        <w:t>.</w:t>
      </w:r>
    </w:p>
    <w:p w14:paraId="7DC015A3" w14:textId="7A28F4A9" w:rsidR="0066684C" w:rsidRPr="0066684C" w:rsidRDefault="00B7587D" w:rsidP="00B171AE">
      <w:pPr>
        <w:ind w:left="4536"/>
        <w:jc w:val="left"/>
        <w:rPr>
          <w:b/>
          <w:i/>
          <w:color w:val="001E50"/>
        </w:rPr>
      </w:pPr>
      <w:r>
        <w:rPr>
          <w:noProof/>
          <w:lang w:eastAsia="pl-PL"/>
        </w:rPr>
        <w:drawing>
          <wp:anchor distT="0" distB="0" distL="114300" distR="114300" simplePos="0" relativeHeight="251658252" behindDoc="1" locked="0" layoutInCell="1" allowOverlap="1" wp14:anchorId="548EE5EE" wp14:editId="70B6BE41">
            <wp:simplePos x="0" y="0"/>
            <wp:positionH relativeFrom="column">
              <wp:posOffset>1270</wp:posOffset>
            </wp:positionH>
            <wp:positionV relativeFrom="paragraph">
              <wp:posOffset>46355</wp:posOffset>
            </wp:positionV>
            <wp:extent cx="2159635" cy="1804670"/>
            <wp:effectExtent l="0" t="0" r="0" b="5080"/>
            <wp:wrapTight wrapText="bothSides">
              <wp:wrapPolygon edited="0">
                <wp:start x="0" y="0"/>
                <wp:lineTo x="0" y="21433"/>
                <wp:lineTo x="21340" y="21433"/>
                <wp:lineTo x="21340" y="0"/>
                <wp:lineTo x="0" y="0"/>
              </wp:wrapPolygon>
            </wp:wrapTight>
            <wp:docPr id="286099751" name="Obraz 28609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635" cy="1804670"/>
                    </a:xfrm>
                    <a:prstGeom prst="rect">
                      <a:avLst/>
                    </a:prstGeom>
                    <a:noFill/>
                  </pic:spPr>
                </pic:pic>
              </a:graphicData>
            </a:graphic>
            <wp14:sizeRelH relativeFrom="page">
              <wp14:pctWidth>0</wp14:pctWidth>
            </wp14:sizeRelH>
            <wp14:sizeRelV relativeFrom="page">
              <wp14:pctHeight>0</wp14:pctHeight>
            </wp14:sizeRelV>
          </wp:anchor>
        </w:drawing>
      </w:r>
      <w:r w:rsidR="0066684C">
        <w:rPr>
          <w:b/>
          <w:i/>
          <w:color w:val="001E50"/>
        </w:rPr>
        <w:t>System wdrażania Strategii świadczy o wysokiej jakości zarządzania</w:t>
      </w:r>
      <w:r w:rsidR="000A74B2">
        <w:rPr>
          <w:b/>
          <w:i/>
          <w:color w:val="001E50"/>
        </w:rPr>
        <w:t>, ale można go jeszcze usprawnić</w:t>
      </w:r>
    </w:p>
    <w:p w14:paraId="189BD9A4" w14:textId="4CD5F578" w:rsidR="0066684C" w:rsidRDefault="00676894" w:rsidP="00E10BD2">
      <w:pPr>
        <w:rPr>
          <w:lang w:eastAsia="pl-PL"/>
        </w:rPr>
      </w:pPr>
      <w:r>
        <w:rPr>
          <w:lang w:eastAsia="pl-PL"/>
        </w:rPr>
        <w:t>Strategia dotyczy całego województwa i w rzeczywistości realizują ją cztery grupy podmiotów: administracja (samorząd województwa, samorządy lokalne, ale również ważne są inwestycje rządowe); biznes (w tym organizacje przedsiębiorców); nauka; mieszkańcy (najczęściej poprzez organizacje pozarządowe). Różnorodność interesariuszy powoduje, że wdrażanie Strategii wymaga wysokiej kultury organizacyjnej. Należy podkreślić, że w tak złożonym procesie realizacji polityki rozwoju całego regionu, kluczowym zagadnieniem jest przywódcza rola samorządu województwa, umiejącego budować i inicjować różnorodne sieci współpracy. Przykłady zastosowania w Wielkopolsce takich instrumentów jak Zintegrowane Inwestycje Terytorialne, czy Mandaty Terytorialne pokazują, że Urząd Marszałkowski podejmuje z sukcesem złożoną tematykę zarządzania wielopoziomowego. Jednocześnie zwraca uwagę deklarowany przez pracowników Urzędu Marszałkowskiego niedosyt w zakresie tworzenia zespołów zadaniowych, wymiany informacji i dyskusji nad tymi sferami wdrażania Strategii, które mają charakter interdyscyplinarny</w:t>
      </w:r>
      <w:r w:rsidR="000A74B2">
        <w:rPr>
          <w:lang w:eastAsia="pl-PL"/>
        </w:rPr>
        <w:t xml:space="preserve">. </w:t>
      </w:r>
    </w:p>
    <w:p w14:paraId="54EC9DEE" w14:textId="7605769E" w:rsidR="000A74B2" w:rsidRPr="00193909" w:rsidRDefault="000A74B2" w:rsidP="000A74B2">
      <w:pPr>
        <w:ind w:left="4536"/>
        <w:jc w:val="left"/>
        <w:rPr>
          <w:b/>
          <w:i/>
          <w:color w:val="001E50"/>
        </w:rPr>
      </w:pPr>
      <w:r>
        <w:rPr>
          <w:noProof/>
          <w:lang w:eastAsia="pl-PL"/>
        </w:rPr>
        <w:drawing>
          <wp:anchor distT="0" distB="0" distL="114300" distR="114300" simplePos="0" relativeHeight="251658253" behindDoc="1" locked="0" layoutInCell="1" allowOverlap="1" wp14:anchorId="3DE0ADF9" wp14:editId="167CFB00">
            <wp:simplePos x="0" y="0"/>
            <wp:positionH relativeFrom="column">
              <wp:posOffset>-1270</wp:posOffset>
            </wp:positionH>
            <wp:positionV relativeFrom="paragraph">
              <wp:posOffset>-1885</wp:posOffset>
            </wp:positionV>
            <wp:extent cx="2159635" cy="1804670"/>
            <wp:effectExtent l="0" t="0" r="0" b="5080"/>
            <wp:wrapTight wrapText="bothSides">
              <wp:wrapPolygon edited="0">
                <wp:start x="0" y="0"/>
                <wp:lineTo x="0" y="21433"/>
                <wp:lineTo x="21340" y="21433"/>
                <wp:lineTo x="21340"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635" cy="1804670"/>
                    </a:xfrm>
                    <a:prstGeom prst="rect">
                      <a:avLst/>
                    </a:prstGeom>
                    <a:noFill/>
                  </pic:spPr>
                </pic:pic>
              </a:graphicData>
            </a:graphic>
            <wp14:sizeRelH relativeFrom="page">
              <wp14:pctWidth>0</wp14:pctWidth>
            </wp14:sizeRelH>
            <wp14:sizeRelV relativeFrom="page">
              <wp14:pctHeight>0</wp14:pctHeight>
            </wp14:sizeRelV>
          </wp:anchor>
        </w:drawing>
      </w:r>
      <w:r>
        <w:rPr>
          <w:b/>
          <w:i/>
          <w:color w:val="001E50"/>
        </w:rPr>
        <w:t>Monitoring strategii jest wciąż wyzwaniem w całej Polsce</w:t>
      </w:r>
    </w:p>
    <w:p w14:paraId="26CBB69A" w14:textId="4619B0DB" w:rsidR="000A74B2" w:rsidRDefault="00676894" w:rsidP="00E10BD2">
      <w:pPr>
        <w:rPr>
          <w:lang w:eastAsia="pl-PL"/>
        </w:rPr>
      </w:pPr>
      <w:r>
        <w:rPr>
          <w:lang w:eastAsia="pl-PL"/>
        </w:rPr>
        <w:t>Przeprowadzone analizy systemów monitorowania w czterech wybranych województwach pozwalają sformułować tezę, iż bardzo często strategie są na tyle monitorowane, na ile pozwala na to statystyka publiczna. W takim ujęciu SRWW jest monitorowana odpowiednio. Jednak problemy związane z monitoringiem, np. w przygotowaniu raportów z realizacji Strategii, pokazują, że należy podjąć wyzwanie, jakim jest stworzenie systemu, który będzie ukierunkowany na realne działania w ramach Strategii. Mechanizm monitorowania, którego efektem będzie wiedza o realizacji Strategii i możliwość uczenia się (wyciągania wniosków) podniesie w Urzędzie Marszałkowskim poziom zarządzania strategicznego</w:t>
      </w:r>
      <w:r w:rsidR="004A23A7">
        <w:rPr>
          <w:lang w:eastAsia="pl-PL"/>
        </w:rPr>
        <w:t>.</w:t>
      </w:r>
    </w:p>
    <w:p w14:paraId="08E8A1D9" w14:textId="46A60B58" w:rsidR="004A23A7" w:rsidRPr="00193909" w:rsidRDefault="004A23A7" w:rsidP="004A23A7">
      <w:pPr>
        <w:ind w:left="4536"/>
        <w:jc w:val="left"/>
        <w:rPr>
          <w:b/>
          <w:i/>
          <w:color w:val="001E50"/>
        </w:rPr>
      </w:pPr>
      <w:r>
        <w:rPr>
          <w:b/>
          <w:i/>
          <w:color w:val="001E50"/>
        </w:rPr>
        <w:t>Co szczególnie warto rozważyć w kontekście przyszłej aktualizacji Strategii</w:t>
      </w:r>
    </w:p>
    <w:p w14:paraId="374ED8EE" w14:textId="77777777" w:rsidR="00676894" w:rsidRDefault="00676894" w:rsidP="00676894">
      <w:pPr>
        <w:rPr>
          <w:lang w:eastAsia="pl-PL"/>
        </w:rPr>
      </w:pPr>
      <w:r>
        <w:rPr>
          <w:lang w:eastAsia="pl-PL"/>
        </w:rPr>
        <w:t xml:space="preserve">W poniższej tabeli zawarto kluczowe „strategiczne” wnioski z całej ewaluacji oraz sugestie zespołu Ewaluatorów dotyczące oczekiwanych działań. Adresatem poniższych zaleceń jest Zarząd </w:t>
      </w:r>
      <w:r>
        <w:rPr>
          <w:lang w:eastAsia="pl-PL"/>
        </w:rPr>
        <w:lastRenderedPageBreak/>
        <w:t xml:space="preserve">Województwa, jednak warto pamiętać, że jest on odpowiedzialny za przygotowanie i realizację Strategii, ale nie da się tego zrobić bez efektywnej współpracy z Sejmikiem Województwa i innymi interesariuszami polityki rozwoju. Tabela ma charakter skrótowy, ponieważ każde zalecenie, wraz z jego uzasadnieniem, jest zamieszczone w głównej części Raportu. </w:t>
      </w:r>
    </w:p>
    <w:p w14:paraId="4898BEB9" w14:textId="2DF100F2" w:rsidR="00E10BD2" w:rsidRDefault="00676894" w:rsidP="00E10BD2">
      <w:pPr>
        <w:rPr>
          <w:lang w:eastAsia="pl-PL"/>
        </w:rPr>
      </w:pPr>
      <w:r>
        <w:rPr>
          <w:lang w:eastAsia="pl-PL"/>
        </w:rPr>
        <w:t>Głównym zadaniem Ewaluatorów było przeprowadzenie oceny dokumentu strategicznego</w:t>
      </w:r>
      <w:r w:rsidRPr="0DAD42A5">
        <w:rPr>
          <w:lang w:eastAsia="pl-PL"/>
        </w:rPr>
        <w:t xml:space="preserve"> w taki sposób</w:t>
      </w:r>
      <w:r>
        <w:rPr>
          <w:lang w:eastAsia="pl-PL"/>
        </w:rPr>
        <w:t>, by wnioski z ewaluacji były przydatne zarówno na poziomie planowania strategicznego, jak i planowania operacyjnego.</w:t>
      </w:r>
    </w:p>
    <w:p w14:paraId="652134B5" w14:textId="416ABA3E" w:rsidR="00D72686" w:rsidRDefault="00D72686" w:rsidP="00D72686">
      <w:pPr>
        <w:pStyle w:val="Legenda"/>
      </w:pPr>
      <w:bookmarkStart w:id="20" w:name="_Toc5699534"/>
      <w:r>
        <w:t xml:space="preserve">Tabela </w:t>
      </w:r>
      <w:r w:rsidR="00D27755">
        <w:rPr>
          <w:noProof/>
        </w:rPr>
        <w:fldChar w:fldCharType="begin"/>
      </w:r>
      <w:r w:rsidR="00D27755">
        <w:rPr>
          <w:noProof/>
        </w:rPr>
        <w:instrText xml:space="preserve"> SEQ Tabela \* ARABIC </w:instrText>
      </w:r>
      <w:r w:rsidR="00D27755">
        <w:rPr>
          <w:noProof/>
        </w:rPr>
        <w:fldChar w:fldCharType="separate"/>
      </w:r>
      <w:r w:rsidR="007F4FA2">
        <w:rPr>
          <w:noProof/>
        </w:rPr>
        <w:t>1</w:t>
      </w:r>
      <w:r w:rsidR="00D27755">
        <w:rPr>
          <w:noProof/>
        </w:rPr>
        <w:fldChar w:fldCharType="end"/>
      </w:r>
      <w:r>
        <w:t>. Wnioski i zalecenia strategiczne</w:t>
      </w:r>
      <w:bookmarkEnd w:id="20"/>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67"/>
        <w:gridCol w:w="4252"/>
      </w:tblGrid>
      <w:tr w:rsidR="00676894" w:rsidRPr="004C5366" w14:paraId="5CF2B886" w14:textId="77777777" w:rsidTr="00676894">
        <w:trPr>
          <w:tblHeader/>
        </w:trPr>
        <w:tc>
          <w:tcPr>
            <w:tcW w:w="4253" w:type="dxa"/>
            <w:shd w:val="clear" w:color="auto" w:fill="F6BB00"/>
            <w:vAlign w:val="center"/>
          </w:tcPr>
          <w:p w14:paraId="39066C5A" w14:textId="5B066DD4" w:rsidR="00676894" w:rsidRPr="004C5366" w:rsidRDefault="00676894" w:rsidP="004C5366">
            <w:pPr>
              <w:spacing w:before="20" w:after="20" w:line="240" w:lineRule="auto"/>
              <w:jc w:val="center"/>
              <w:rPr>
                <w:b/>
                <w:sz w:val="20"/>
              </w:rPr>
            </w:pPr>
            <w:r w:rsidRPr="004C5366">
              <w:rPr>
                <w:b/>
                <w:sz w:val="20"/>
              </w:rPr>
              <w:t>Wniosk</w:t>
            </w:r>
            <w:r w:rsidR="004C5366" w:rsidRPr="004C5366">
              <w:rPr>
                <w:b/>
                <w:sz w:val="20"/>
              </w:rPr>
              <w:t>i</w:t>
            </w:r>
          </w:p>
        </w:tc>
        <w:tc>
          <w:tcPr>
            <w:tcW w:w="567" w:type="dxa"/>
            <w:shd w:val="clear" w:color="auto" w:fill="F6BB00"/>
            <w:vAlign w:val="center"/>
          </w:tcPr>
          <w:p w14:paraId="46777E9A" w14:textId="77777777" w:rsidR="00676894" w:rsidRPr="004C5366" w:rsidRDefault="00676894" w:rsidP="004C5366">
            <w:pPr>
              <w:spacing w:before="20" w:after="20" w:line="240" w:lineRule="auto"/>
              <w:jc w:val="center"/>
              <w:rPr>
                <w:b/>
                <w:sz w:val="20"/>
              </w:rPr>
            </w:pPr>
          </w:p>
        </w:tc>
        <w:tc>
          <w:tcPr>
            <w:tcW w:w="4252" w:type="dxa"/>
            <w:shd w:val="clear" w:color="auto" w:fill="F6BB00"/>
            <w:vAlign w:val="center"/>
          </w:tcPr>
          <w:p w14:paraId="7140C5D7" w14:textId="77777777" w:rsidR="00676894" w:rsidRPr="004C5366" w:rsidRDefault="00676894" w:rsidP="004C5366">
            <w:pPr>
              <w:spacing w:before="20" w:after="20" w:line="240" w:lineRule="auto"/>
              <w:jc w:val="center"/>
              <w:rPr>
                <w:b/>
                <w:sz w:val="20"/>
              </w:rPr>
            </w:pPr>
            <w:r w:rsidRPr="004C5366">
              <w:rPr>
                <w:b/>
                <w:sz w:val="20"/>
              </w:rPr>
              <w:t>Zalecenia strategiczne</w:t>
            </w:r>
          </w:p>
        </w:tc>
      </w:tr>
      <w:tr w:rsidR="00676894" w:rsidRPr="004C5366" w14:paraId="21794EBE" w14:textId="77777777" w:rsidTr="00676894">
        <w:tc>
          <w:tcPr>
            <w:tcW w:w="4253" w:type="dxa"/>
            <w:tcBorders>
              <w:bottom w:val="single" w:sz="4" w:space="0" w:color="FFC000"/>
            </w:tcBorders>
            <w:vAlign w:val="center"/>
          </w:tcPr>
          <w:p w14:paraId="669DCA6A" w14:textId="77777777" w:rsidR="00676894" w:rsidRPr="004C5366" w:rsidRDefault="00676894" w:rsidP="004C5366">
            <w:pPr>
              <w:spacing w:before="20" w:after="20" w:line="240" w:lineRule="auto"/>
              <w:jc w:val="left"/>
              <w:rPr>
                <w:sz w:val="20"/>
                <w:lang w:eastAsia="pl-PL"/>
              </w:rPr>
            </w:pPr>
            <w:r w:rsidRPr="004C5366">
              <w:rPr>
                <w:b/>
                <w:color w:val="002060"/>
                <w:sz w:val="20"/>
              </w:rPr>
              <w:t>1.</w:t>
            </w:r>
            <w:r w:rsidRPr="004C5366">
              <w:rPr>
                <w:color w:val="002060"/>
                <w:sz w:val="20"/>
              </w:rPr>
              <w:t xml:space="preserve"> </w:t>
            </w:r>
            <w:r w:rsidRPr="004C5366">
              <w:rPr>
                <w:color w:val="002060"/>
                <w:sz w:val="20"/>
                <w:lang w:eastAsia="pl-PL"/>
              </w:rPr>
              <w:t>Strategia rozwoju województwa wielkopolskiego wymaga aktualizacji</w:t>
            </w:r>
          </w:p>
        </w:tc>
        <w:tc>
          <w:tcPr>
            <w:tcW w:w="567" w:type="dxa"/>
            <w:tcBorders>
              <w:bottom w:val="single" w:sz="4" w:space="0" w:color="FFC000"/>
            </w:tcBorders>
            <w:vAlign w:val="center"/>
          </w:tcPr>
          <w:p w14:paraId="4E6B2743" w14:textId="77777777" w:rsidR="00676894" w:rsidRPr="004C5366" w:rsidRDefault="00676894" w:rsidP="004C5366">
            <w:pPr>
              <w:spacing w:before="20" w:after="20" w:line="240" w:lineRule="auto"/>
              <w:jc w:val="left"/>
              <w:rPr>
                <w:sz w:val="20"/>
              </w:rPr>
            </w:pPr>
            <w:r w:rsidRPr="004C5366">
              <w:rPr>
                <w:noProof/>
                <w:sz w:val="20"/>
                <w:lang w:eastAsia="pl-PL"/>
              </w:rPr>
              <mc:AlternateContent>
                <mc:Choice Requires="wps">
                  <w:drawing>
                    <wp:anchor distT="0" distB="0" distL="114300" distR="114300" simplePos="0" relativeHeight="251658254" behindDoc="0" locked="0" layoutInCell="1" allowOverlap="1" wp14:anchorId="15D280E1" wp14:editId="7DB7A1E7">
                      <wp:simplePos x="0" y="0"/>
                      <wp:positionH relativeFrom="column">
                        <wp:posOffset>-55245</wp:posOffset>
                      </wp:positionH>
                      <wp:positionV relativeFrom="paragraph">
                        <wp:posOffset>-8255</wp:posOffset>
                      </wp:positionV>
                      <wp:extent cx="232410" cy="309880"/>
                      <wp:effectExtent l="0" t="19050" r="34290" b="33020"/>
                      <wp:wrapNone/>
                      <wp:docPr id="30" name="Strzałka w prawo 30"/>
                      <wp:cNvGraphicFramePr/>
                      <a:graphic xmlns:a="http://schemas.openxmlformats.org/drawingml/2006/main">
                        <a:graphicData uri="http://schemas.microsoft.com/office/word/2010/wordprocessingShape">
                          <wps:wsp>
                            <wps:cNvSpPr/>
                            <wps:spPr>
                              <a:xfrm>
                                <a:off x="0" y="0"/>
                                <a:ext cx="232410" cy="309880"/>
                              </a:xfrm>
                              <a:prstGeom prst="rightArrow">
                                <a:avLst/>
                              </a:prstGeom>
                              <a:noFill/>
                              <a:ln>
                                <a:solidFill>
                                  <a:srgbClr val="FFE5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CE973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30" o:spid="_x0000_s1026" type="#_x0000_t13" style="position:absolute;margin-left:-4.35pt;margin-top:-.65pt;width:18.3pt;height:24.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" adj="10800" filled="f" strokecolor="#ffe599" strokeweight="1pt"/>
                  </w:pict>
                </mc:Fallback>
              </mc:AlternateContent>
            </w:r>
          </w:p>
        </w:tc>
        <w:tc>
          <w:tcPr>
            <w:tcW w:w="4252" w:type="dxa"/>
            <w:tcBorders>
              <w:bottom w:val="single" w:sz="4" w:space="0" w:color="FFC000"/>
            </w:tcBorders>
            <w:vAlign w:val="center"/>
          </w:tcPr>
          <w:p w14:paraId="7FCE1E9C" w14:textId="77777777" w:rsidR="00676894" w:rsidRPr="004C5366" w:rsidRDefault="00676894" w:rsidP="004C5366">
            <w:pPr>
              <w:spacing w:before="20" w:after="20" w:line="240" w:lineRule="auto"/>
              <w:jc w:val="left"/>
              <w:rPr>
                <w:sz w:val="20"/>
                <w:lang w:eastAsia="pl-PL"/>
              </w:rPr>
            </w:pPr>
            <w:r w:rsidRPr="004C5366">
              <w:rPr>
                <w:sz w:val="20"/>
                <w:lang w:eastAsia="pl-PL"/>
              </w:rPr>
              <w:t>Wykorzystanie czas na aktualizację Strategii do wzmacniania istniejących i budowania nowych relacji z interesariuszami Strategii</w:t>
            </w:r>
          </w:p>
        </w:tc>
      </w:tr>
      <w:tr w:rsidR="00676894" w:rsidRPr="004C5366" w14:paraId="43D3A151" w14:textId="77777777" w:rsidTr="00676894">
        <w:tc>
          <w:tcPr>
            <w:tcW w:w="4253" w:type="dxa"/>
            <w:tcBorders>
              <w:top w:val="single" w:sz="4" w:space="0" w:color="FFC000"/>
              <w:bottom w:val="single" w:sz="4" w:space="0" w:color="FFC000"/>
            </w:tcBorders>
            <w:vAlign w:val="center"/>
          </w:tcPr>
          <w:p w14:paraId="45CEA378" w14:textId="77777777" w:rsidR="00676894" w:rsidRPr="004C5366" w:rsidRDefault="00676894" w:rsidP="004C5366">
            <w:pPr>
              <w:spacing w:before="20" w:after="20" w:line="240" w:lineRule="auto"/>
              <w:jc w:val="left"/>
              <w:rPr>
                <w:color w:val="002060"/>
                <w:sz w:val="20"/>
              </w:rPr>
            </w:pPr>
            <w:r w:rsidRPr="004C5366">
              <w:rPr>
                <w:b/>
                <w:color w:val="002060"/>
                <w:sz w:val="20"/>
              </w:rPr>
              <w:t>2.</w:t>
            </w:r>
            <w:r w:rsidRPr="004C5366">
              <w:rPr>
                <w:color w:val="002060"/>
                <w:sz w:val="20"/>
              </w:rPr>
              <w:t xml:space="preserve"> Przywództwo regionalne należy utożsamiać z Marszałkiem Województwa, jednak złożoność procesu rozwoju regionu wymaga szerszego spojrzenia na przywódczą rolę i funkcję Samorządu Województwa Wielkopolskiego, czyli Sejmiku i Zarządu</w:t>
            </w:r>
          </w:p>
        </w:tc>
        <w:tc>
          <w:tcPr>
            <w:tcW w:w="567" w:type="dxa"/>
            <w:tcBorders>
              <w:top w:val="single" w:sz="4" w:space="0" w:color="FFC000"/>
              <w:bottom w:val="single" w:sz="4" w:space="0" w:color="FFC000"/>
            </w:tcBorders>
            <w:vAlign w:val="center"/>
          </w:tcPr>
          <w:p w14:paraId="23620145" w14:textId="77777777" w:rsidR="00676894" w:rsidRPr="004C5366" w:rsidRDefault="00676894" w:rsidP="004C5366">
            <w:pPr>
              <w:spacing w:before="20" w:after="20" w:line="240" w:lineRule="auto"/>
              <w:rPr>
                <w:sz w:val="20"/>
              </w:rPr>
            </w:pPr>
            <w:r w:rsidRPr="004C5366">
              <w:rPr>
                <w:noProof/>
                <w:sz w:val="20"/>
                <w:lang w:eastAsia="pl-PL"/>
              </w:rPr>
              <mc:AlternateContent>
                <mc:Choice Requires="wps">
                  <w:drawing>
                    <wp:anchor distT="0" distB="0" distL="114300" distR="114300" simplePos="0" relativeHeight="251658255" behindDoc="0" locked="0" layoutInCell="1" allowOverlap="1" wp14:anchorId="6A3B6768" wp14:editId="03FAFFF0">
                      <wp:simplePos x="0" y="0"/>
                      <wp:positionH relativeFrom="column">
                        <wp:posOffset>-54610</wp:posOffset>
                      </wp:positionH>
                      <wp:positionV relativeFrom="paragraph">
                        <wp:posOffset>100965</wp:posOffset>
                      </wp:positionV>
                      <wp:extent cx="232410" cy="309880"/>
                      <wp:effectExtent l="0" t="19050" r="34290" b="33020"/>
                      <wp:wrapNone/>
                      <wp:docPr id="1410683468" name="Strzałka w prawo 1410683468"/>
                      <wp:cNvGraphicFramePr/>
                      <a:graphic xmlns:a="http://schemas.openxmlformats.org/drawingml/2006/main">
                        <a:graphicData uri="http://schemas.microsoft.com/office/word/2010/wordprocessingShape">
                          <wps:wsp>
                            <wps:cNvSpPr/>
                            <wps:spPr>
                              <a:xfrm>
                                <a:off x="0" y="0"/>
                                <a:ext cx="232410" cy="309880"/>
                              </a:xfrm>
                              <a:prstGeom prst="rightArrow">
                                <a:avLst/>
                              </a:prstGeom>
                              <a:noFill/>
                              <a:ln>
                                <a:solidFill>
                                  <a:srgbClr val="FFE5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D16B" id="Strzałka w prawo 1410683468" o:spid="_x0000_s1026" type="#_x0000_t13" style="position:absolute;margin-left:-4.3pt;margin-top:7.95pt;width:18.3pt;height:24.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" adj="10800" filled="f" strokecolor="#ffe599" strokeweight="1pt"/>
                  </w:pict>
                </mc:Fallback>
              </mc:AlternateContent>
            </w:r>
          </w:p>
        </w:tc>
        <w:tc>
          <w:tcPr>
            <w:tcW w:w="4252" w:type="dxa"/>
            <w:tcBorders>
              <w:top w:val="single" w:sz="4" w:space="0" w:color="FFC000"/>
              <w:bottom w:val="single" w:sz="4" w:space="0" w:color="FFC000"/>
            </w:tcBorders>
            <w:vAlign w:val="center"/>
          </w:tcPr>
          <w:p w14:paraId="01D78345" w14:textId="77777777" w:rsidR="00676894" w:rsidRPr="004C5366" w:rsidRDefault="00676894" w:rsidP="004C5366">
            <w:pPr>
              <w:spacing w:before="20" w:after="20" w:line="240" w:lineRule="auto"/>
              <w:jc w:val="left"/>
              <w:rPr>
                <w:sz w:val="20"/>
              </w:rPr>
            </w:pPr>
            <w:r w:rsidRPr="004C5366">
              <w:rPr>
                <w:sz w:val="20"/>
              </w:rPr>
              <w:t>Wprowadzenie transparentnych zasad budowania relacji z wewnętrznym otoczeniem Samorządu Województwa opartych o: otwarcie na wspólne definiowanie zadań, współpracę przy planowaniu, wymianę informacji, kontrolę jakości wykonywanych zadań, rzetelną ocenę, motywowanie do współpracy i odpowiedzialność</w:t>
            </w:r>
          </w:p>
        </w:tc>
      </w:tr>
      <w:tr w:rsidR="00676894" w:rsidRPr="004C5366" w14:paraId="4F889481" w14:textId="77777777" w:rsidTr="00676894">
        <w:tc>
          <w:tcPr>
            <w:tcW w:w="4253" w:type="dxa"/>
            <w:tcBorders>
              <w:top w:val="single" w:sz="4" w:space="0" w:color="FFC000"/>
              <w:bottom w:val="single" w:sz="4" w:space="0" w:color="FFC000"/>
            </w:tcBorders>
            <w:vAlign w:val="center"/>
          </w:tcPr>
          <w:p w14:paraId="28E0838F" w14:textId="77777777" w:rsidR="00676894" w:rsidRPr="004C5366" w:rsidRDefault="00676894" w:rsidP="004C5366">
            <w:pPr>
              <w:spacing w:before="20" w:after="20" w:line="240" w:lineRule="auto"/>
              <w:jc w:val="left"/>
              <w:rPr>
                <w:color w:val="002060"/>
                <w:sz w:val="20"/>
              </w:rPr>
            </w:pPr>
            <w:r w:rsidRPr="004C5366">
              <w:rPr>
                <w:b/>
                <w:color w:val="002060"/>
                <w:sz w:val="20"/>
              </w:rPr>
              <w:t>3.</w:t>
            </w:r>
            <w:r w:rsidRPr="004C5366">
              <w:rPr>
                <w:color w:val="002060"/>
                <w:sz w:val="20"/>
              </w:rPr>
              <w:t xml:space="preserve"> Osoby zaangażowane w realizację Strategii, z którymi przeprowadzono liczne wywiady pogłębione, są świadome procesów, za które odpowiadają i wykazują bardzo wysokie przygotowanie merytoryczne. Jednak sama Strategia, w ich poczuciu, jest ich współwłasnością jedynie w części dotyczącej departamentu, w którym pracują</w:t>
            </w:r>
          </w:p>
        </w:tc>
        <w:tc>
          <w:tcPr>
            <w:tcW w:w="567" w:type="dxa"/>
            <w:tcBorders>
              <w:top w:val="single" w:sz="4" w:space="0" w:color="FFC000"/>
              <w:bottom w:val="single" w:sz="4" w:space="0" w:color="FFC000"/>
            </w:tcBorders>
            <w:vAlign w:val="center"/>
          </w:tcPr>
          <w:p w14:paraId="4823DB57" w14:textId="77777777" w:rsidR="00676894" w:rsidRPr="004C5366" w:rsidRDefault="00676894" w:rsidP="004C5366">
            <w:pPr>
              <w:spacing w:before="20" w:after="20" w:line="240" w:lineRule="auto"/>
              <w:rPr>
                <w:sz w:val="20"/>
              </w:rPr>
            </w:pPr>
            <w:r w:rsidRPr="004C5366">
              <w:rPr>
                <w:noProof/>
                <w:sz w:val="20"/>
                <w:lang w:eastAsia="pl-PL"/>
              </w:rPr>
              <mc:AlternateContent>
                <mc:Choice Requires="wps">
                  <w:drawing>
                    <wp:anchor distT="0" distB="0" distL="114300" distR="114300" simplePos="0" relativeHeight="251658256" behindDoc="0" locked="0" layoutInCell="1" allowOverlap="1" wp14:anchorId="4F395707" wp14:editId="65CC9443">
                      <wp:simplePos x="0" y="0"/>
                      <wp:positionH relativeFrom="column">
                        <wp:posOffset>-54610</wp:posOffset>
                      </wp:positionH>
                      <wp:positionV relativeFrom="paragraph">
                        <wp:posOffset>107950</wp:posOffset>
                      </wp:positionV>
                      <wp:extent cx="232410" cy="309880"/>
                      <wp:effectExtent l="0" t="19050" r="34290" b="33020"/>
                      <wp:wrapNone/>
                      <wp:docPr id="1410683470" name="Strzałka w prawo 1410683470"/>
                      <wp:cNvGraphicFramePr/>
                      <a:graphic xmlns:a="http://schemas.openxmlformats.org/drawingml/2006/main">
                        <a:graphicData uri="http://schemas.microsoft.com/office/word/2010/wordprocessingShape">
                          <wps:wsp>
                            <wps:cNvSpPr/>
                            <wps:spPr>
                              <a:xfrm>
                                <a:off x="0" y="0"/>
                                <a:ext cx="232410" cy="309880"/>
                              </a:xfrm>
                              <a:prstGeom prst="rightArrow">
                                <a:avLst/>
                              </a:prstGeom>
                              <a:noFill/>
                              <a:ln>
                                <a:solidFill>
                                  <a:srgbClr val="FFE5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3DC15" id="Strzałka w prawo 1410683470" o:spid="_x0000_s1026" type="#_x0000_t13" style="position:absolute;margin-left:-4.3pt;margin-top:8.5pt;width:18.3pt;height:24.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" adj="10800" filled="f" strokecolor="#ffe599" strokeweight="1pt"/>
                  </w:pict>
                </mc:Fallback>
              </mc:AlternateContent>
            </w:r>
          </w:p>
        </w:tc>
        <w:tc>
          <w:tcPr>
            <w:tcW w:w="4252" w:type="dxa"/>
            <w:tcBorders>
              <w:top w:val="single" w:sz="4" w:space="0" w:color="FFC000"/>
              <w:bottom w:val="single" w:sz="4" w:space="0" w:color="FFC000"/>
            </w:tcBorders>
            <w:vAlign w:val="center"/>
          </w:tcPr>
          <w:p w14:paraId="22A28301" w14:textId="77777777" w:rsidR="00676894" w:rsidRPr="004C5366" w:rsidRDefault="00676894" w:rsidP="004C5366">
            <w:pPr>
              <w:spacing w:before="20" w:after="20" w:line="240" w:lineRule="auto"/>
              <w:jc w:val="left"/>
              <w:rPr>
                <w:sz w:val="20"/>
              </w:rPr>
            </w:pPr>
            <w:r w:rsidRPr="004C5366">
              <w:rPr>
                <w:sz w:val="20"/>
              </w:rPr>
              <w:t>Potrzeba systemowego wprowadzenia stałych „warsztatów strategicznych” w zespołach składających się z przedstawicieli różnych departamentów, wzbogacających możliwości interakcji w stosunku do dotychczasowych spotkań kierownictwa, a także systemowe szkolenia podnoszące kwalifikacje w zakresie współpracy i pracy zespołowej</w:t>
            </w:r>
          </w:p>
        </w:tc>
      </w:tr>
      <w:tr w:rsidR="00676894" w:rsidRPr="004C5366" w14:paraId="758F62DD" w14:textId="77777777" w:rsidTr="00676894">
        <w:tc>
          <w:tcPr>
            <w:tcW w:w="4253" w:type="dxa"/>
            <w:tcBorders>
              <w:top w:val="single" w:sz="4" w:space="0" w:color="FFC000"/>
              <w:bottom w:val="single" w:sz="4" w:space="0" w:color="FFC000"/>
            </w:tcBorders>
            <w:vAlign w:val="center"/>
          </w:tcPr>
          <w:p w14:paraId="45B5FC38" w14:textId="77777777" w:rsidR="00676894" w:rsidRPr="004C5366" w:rsidRDefault="00676894" w:rsidP="004C5366">
            <w:pPr>
              <w:spacing w:before="20" w:after="20" w:line="240" w:lineRule="auto"/>
              <w:jc w:val="left"/>
              <w:rPr>
                <w:color w:val="002060"/>
                <w:sz w:val="20"/>
              </w:rPr>
            </w:pPr>
            <w:r w:rsidRPr="004C5366">
              <w:rPr>
                <w:b/>
                <w:color w:val="002060"/>
                <w:sz w:val="20"/>
              </w:rPr>
              <w:t>4.</w:t>
            </w:r>
            <w:r w:rsidRPr="004C5366">
              <w:rPr>
                <w:color w:val="002060"/>
                <w:sz w:val="20"/>
              </w:rPr>
              <w:t xml:space="preserve"> To ludzie są podmiotem polityki rozwoju, zatem aktywność prorozwojowa Samorządu Województwa powinna być ukierunkowana na budowanie jak najszerszej sieci wartościowych relacji</w:t>
            </w:r>
          </w:p>
        </w:tc>
        <w:tc>
          <w:tcPr>
            <w:tcW w:w="567" w:type="dxa"/>
            <w:tcBorders>
              <w:top w:val="single" w:sz="4" w:space="0" w:color="FFC000"/>
              <w:bottom w:val="single" w:sz="4" w:space="0" w:color="FFC000"/>
            </w:tcBorders>
            <w:vAlign w:val="center"/>
          </w:tcPr>
          <w:p w14:paraId="7199C4A3" w14:textId="77777777" w:rsidR="00676894" w:rsidRPr="004C5366" w:rsidRDefault="00676894" w:rsidP="004C5366">
            <w:pPr>
              <w:spacing w:before="20" w:after="20" w:line="240" w:lineRule="auto"/>
              <w:rPr>
                <w:sz w:val="20"/>
              </w:rPr>
            </w:pPr>
            <w:r w:rsidRPr="004C5366">
              <w:rPr>
                <w:noProof/>
                <w:sz w:val="20"/>
                <w:lang w:eastAsia="pl-PL"/>
              </w:rPr>
              <mc:AlternateContent>
                <mc:Choice Requires="wps">
                  <w:drawing>
                    <wp:anchor distT="0" distB="0" distL="114300" distR="114300" simplePos="0" relativeHeight="251658257" behindDoc="0" locked="0" layoutInCell="1" allowOverlap="1" wp14:anchorId="7460BDAE" wp14:editId="3E59B944">
                      <wp:simplePos x="0" y="0"/>
                      <wp:positionH relativeFrom="column">
                        <wp:posOffset>-49530</wp:posOffset>
                      </wp:positionH>
                      <wp:positionV relativeFrom="paragraph">
                        <wp:posOffset>46990</wp:posOffset>
                      </wp:positionV>
                      <wp:extent cx="232410" cy="309880"/>
                      <wp:effectExtent l="0" t="19050" r="34290" b="33020"/>
                      <wp:wrapNone/>
                      <wp:docPr id="1410683474" name="Strzałka w prawo 1410683474"/>
                      <wp:cNvGraphicFramePr/>
                      <a:graphic xmlns:a="http://schemas.openxmlformats.org/drawingml/2006/main">
                        <a:graphicData uri="http://schemas.microsoft.com/office/word/2010/wordprocessingShape">
                          <wps:wsp>
                            <wps:cNvSpPr/>
                            <wps:spPr>
                              <a:xfrm>
                                <a:off x="0" y="0"/>
                                <a:ext cx="232410" cy="309880"/>
                              </a:xfrm>
                              <a:prstGeom prst="rightArrow">
                                <a:avLst/>
                              </a:prstGeom>
                              <a:noFill/>
                              <a:ln>
                                <a:solidFill>
                                  <a:srgbClr val="FFE5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8E17B" id="Strzałka w prawo 1410683474" o:spid="_x0000_s1026" type="#_x0000_t13" style="position:absolute;margin-left:-3.9pt;margin-top:3.7pt;width:18.3pt;height:24.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" adj="10800" filled="f" strokecolor="#ffe599" strokeweight="1pt"/>
                  </w:pict>
                </mc:Fallback>
              </mc:AlternateContent>
            </w:r>
          </w:p>
        </w:tc>
        <w:tc>
          <w:tcPr>
            <w:tcW w:w="4252" w:type="dxa"/>
            <w:tcBorders>
              <w:top w:val="single" w:sz="4" w:space="0" w:color="FFC000"/>
              <w:bottom w:val="single" w:sz="4" w:space="0" w:color="FFC000"/>
            </w:tcBorders>
            <w:vAlign w:val="center"/>
          </w:tcPr>
          <w:p w14:paraId="33198851" w14:textId="77777777" w:rsidR="00676894" w:rsidRPr="004C5366" w:rsidRDefault="00676894" w:rsidP="004C5366">
            <w:pPr>
              <w:spacing w:before="20" w:after="20" w:line="240" w:lineRule="auto"/>
              <w:jc w:val="left"/>
              <w:rPr>
                <w:sz w:val="20"/>
              </w:rPr>
            </w:pPr>
            <w:r w:rsidRPr="004C5366">
              <w:rPr>
                <w:sz w:val="20"/>
              </w:rPr>
              <w:t>Wdrożenie pomysłu Forum Terytorialnego oraz innych form budowania relacji wewnątrzregionalnych opartych na uzyskanych dobrych doświadczeniach, jako stałego elementu wzmacniania potencjału Samorządu Województwa na rzecz rozwoju Wielkopolski</w:t>
            </w:r>
          </w:p>
        </w:tc>
      </w:tr>
      <w:tr w:rsidR="00676894" w:rsidRPr="004C5366" w14:paraId="7F163F2F" w14:textId="77777777" w:rsidTr="00676894">
        <w:tc>
          <w:tcPr>
            <w:tcW w:w="4253" w:type="dxa"/>
            <w:tcBorders>
              <w:top w:val="single" w:sz="4" w:space="0" w:color="FFC000"/>
              <w:bottom w:val="single" w:sz="4" w:space="0" w:color="FFC000"/>
            </w:tcBorders>
            <w:vAlign w:val="center"/>
          </w:tcPr>
          <w:p w14:paraId="18D0B784" w14:textId="77777777" w:rsidR="00676894" w:rsidRPr="004C5366" w:rsidRDefault="00676894" w:rsidP="004C5366">
            <w:pPr>
              <w:spacing w:before="20" w:after="20" w:line="240" w:lineRule="auto"/>
              <w:jc w:val="left"/>
              <w:rPr>
                <w:color w:val="002060"/>
                <w:sz w:val="20"/>
              </w:rPr>
            </w:pPr>
            <w:r w:rsidRPr="004C5366">
              <w:rPr>
                <w:b/>
                <w:color w:val="002060"/>
                <w:sz w:val="20"/>
              </w:rPr>
              <w:t>5.</w:t>
            </w:r>
            <w:r w:rsidRPr="004C5366">
              <w:rPr>
                <w:color w:val="002060"/>
                <w:sz w:val="20"/>
              </w:rPr>
              <w:t xml:space="preserve"> Dobrze rozwinięte zarządzanie strategiczne, nawet jeśli obecnie istnieje na poziomie urzędów marszałkowskich, poddane będzie w najbliższym czasie poważnej próbie</w:t>
            </w:r>
          </w:p>
        </w:tc>
        <w:tc>
          <w:tcPr>
            <w:tcW w:w="567" w:type="dxa"/>
            <w:tcBorders>
              <w:top w:val="single" w:sz="4" w:space="0" w:color="FFC000"/>
              <w:bottom w:val="single" w:sz="4" w:space="0" w:color="FFC000"/>
            </w:tcBorders>
            <w:vAlign w:val="center"/>
          </w:tcPr>
          <w:p w14:paraId="1A1D06EA" w14:textId="77777777" w:rsidR="00676894" w:rsidRPr="004C5366" w:rsidRDefault="00676894" w:rsidP="004C5366">
            <w:pPr>
              <w:spacing w:before="20" w:after="20" w:line="240" w:lineRule="auto"/>
              <w:rPr>
                <w:sz w:val="20"/>
              </w:rPr>
            </w:pPr>
            <w:r w:rsidRPr="004C5366">
              <w:rPr>
                <w:noProof/>
                <w:sz w:val="20"/>
                <w:lang w:eastAsia="pl-PL"/>
              </w:rPr>
              <mc:AlternateContent>
                <mc:Choice Requires="wps">
                  <w:drawing>
                    <wp:anchor distT="0" distB="0" distL="114300" distR="114300" simplePos="0" relativeHeight="251658258" behindDoc="0" locked="0" layoutInCell="1" allowOverlap="1" wp14:anchorId="132545B0" wp14:editId="17EF3E91">
                      <wp:simplePos x="0" y="0"/>
                      <wp:positionH relativeFrom="column">
                        <wp:posOffset>-38100</wp:posOffset>
                      </wp:positionH>
                      <wp:positionV relativeFrom="paragraph">
                        <wp:posOffset>26670</wp:posOffset>
                      </wp:positionV>
                      <wp:extent cx="232410" cy="309880"/>
                      <wp:effectExtent l="0" t="19050" r="34290" b="33020"/>
                      <wp:wrapNone/>
                      <wp:docPr id="1410683476" name="Strzałka w prawo 1410683476"/>
                      <wp:cNvGraphicFramePr/>
                      <a:graphic xmlns:a="http://schemas.openxmlformats.org/drawingml/2006/main">
                        <a:graphicData uri="http://schemas.microsoft.com/office/word/2010/wordprocessingShape">
                          <wps:wsp>
                            <wps:cNvSpPr/>
                            <wps:spPr>
                              <a:xfrm>
                                <a:off x="0" y="0"/>
                                <a:ext cx="232410" cy="309880"/>
                              </a:xfrm>
                              <a:prstGeom prst="rightArrow">
                                <a:avLst/>
                              </a:prstGeom>
                              <a:noFill/>
                              <a:ln>
                                <a:solidFill>
                                  <a:srgbClr val="FFE5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9B99F" id="Strzałka w prawo 1410683476" o:spid="_x0000_s1026" type="#_x0000_t13" style="position:absolute;margin-left:-3pt;margin-top:2.1pt;width:18.3pt;height:24.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" adj="10800" filled="f" strokecolor="#ffe599" strokeweight="1pt"/>
                  </w:pict>
                </mc:Fallback>
              </mc:AlternateContent>
            </w:r>
          </w:p>
        </w:tc>
        <w:tc>
          <w:tcPr>
            <w:tcW w:w="4252" w:type="dxa"/>
            <w:tcBorders>
              <w:top w:val="single" w:sz="4" w:space="0" w:color="FFC000"/>
              <w:bottom w:val="single" w:sz="4" w:space="0" w:color="FFC000"/>
            </w:tcBorders>
            <w:vAlign w:val="center"/>
          </w:tcPr>
          <w:p w14:paraId="669F0F2E" w14:textId="77777777" w:rsidR="00676894" w:rsidRPr="004C5366" w:rsidRDefault="00676894" w:rsidP="004C5366">
            <w:pPr>
              <w:spacing w:before="20" w:after="20" w:line="240" w:lineRule="auto"/>
              <w:jc w:val="left"/>
              <w:rPr>
                <w:sz w:val="20"/>
              </w:rPr>
            </w:pPr>
            <w:r w:rsidRPr="004C5366">
              <w:rPr>
                <w:sz w:val="20"/>
              </w:rPr>
              <w:t>Podjęcie prac nad pogłębionymi scenariuszami reakcji Samorządu Województwa na różne bodźce zewnętrzne w sposób transparentny, inkluzyjny i zrozumiały dla pracowników wszystkich szczebli</w:t>
            </w:r>
          </w:p>
        </w:tc>
      </w:tr>
      <w:tr w:rsidR="00676894" w:rsidRPr="004C5366" w14:paraId="35DB9AF8" w14:textId="77777777" w:rsidTr="00676894">
        <w:tc>
          <w:tcPr>
            <w:tcW w:w="4253" w:type="dxa"/>
            <w:tcBorders>
              <w:top w:val="single" w:sz="4" w:space="0" w:color="FFC000"/>
              <w:bottom w:val="single" w:sz="4" w:space="0" w:color="FFC000"/>
            </w:tcBorders>
            <w:vAlign w:val="center"/>
          </w:tcPr>
          <w:p w14:paraId="1382E85C" w14:textId="77777777" w:rsidR="00676894" w:rsidRPr="004C5366" w:rsidRDefault="00676894" w:rsidP="004C5366">
            <w:pPr>
              <w:spacing w:before="20" w:after="20" w:line="240" w:lineRule="auto"/>
              <w:jc w:val="left"/>
              <w:rPr>
                <w:color w:val="002060"/>
                <w:sz w:val="20"/>
              </w:rPr>
            </w:pPr>
            <w:r w:rsidRPr="004C5366">
              <w:rPr>
                <w:b/>
                <w:color w:val="002060"/>
                <w:sz w:val="20"/>
              </w:rPr>
              <w:t>6.</w:t>
            </w:r>
            <w:r w:rsidRPr="004C5366">
              <w:rPr>
                <w:color w:val="002060"/>
                <w:sz w:val="20"/>
              </w:rPr>
              <w:t xml:space="preserve"> Planowanie strategiczne wciąż nie jest procesem „budowania strategii”. Zapomina się, że proces tworzenia dokumentu, z punktu widzenia wzmacniania potencjału ludzkiego i instytucjonalnego dla późniejszej jego realizacji, jest tak samo ważny, jak sama realizacja</w:t>
            </w:r>
          </w:p>
        </w:tc>
        <w:tc>
          <w:tcPr>
            <w:tcW w:w="567" w:type="dxa"/>
            <w:tcBorders>
              <w:top w:val="single" w:sz="4" w:space="0" w:color="FFC000"/>
              <w:bottom w:val="single" w:sz="4" w:space="0" w:color="FFC000"/>
            </w:tcBorders>
            <w:vAlign w:val="center"/>
          </w:tcPr>
          <w:p w14:paraId="2018D5AF" w14:textId="77777777" w:rsidR="00676894" w:rsidRPr="004C5366" w:rsidRDefault="00676894" w:rsidP="004C5366">
            <w:pPr>
              <w:spacing w:before="20" w:after="20" w:line="240" w:lineRule="auto"/>
              <w:rPr>
                <w:sz w:val="20"/>
              </w:rPr>
            </w:pPr>
            <w:r w:rsidRPr="004C5366">
              <w:rPr>
                <w:noProof/>
                <w:sz w:val="20"/>
                <w:lang w:eastAsia="pl-PL"/>
              </w:rPr>
              <mc:AlternateContent>
                <mc:Choice Requires="wps">
                  <w:drawing>
                    <wp:anchor distT="0" distB="0" distL="114300" distR="114300" simplePos="0" relativeHeight="251658259" behindDoc="0" locked="0" layoutInCell="1" allowOverlap="1" wp14:anchorId="503FFB0B" wp14:editId="418EC1F1">
                      <wp:simplePos x="0" y="0"/>
                      <wp:positionH relativeFrom="column">
                        <wp:posOffset>-49530</wp:posOffset>
                      </wp:positionH>
                      <wp:positionV relativeFrom="paragraph">
                        <wp:posOffset>99695</wp:posOffset>
                      </wp:positionV>
                      <wp:extent cx="232410" cy="309880"/>
                      <wp:effectExtent l="0" t="19050" r="34290" b="33020"/>
                      <wp:wrapNone/>
                      <wp:docPr id="1410683481" name="Strzałka w prawo 1410683481"/>
                      <wp:cNvGraphicFramePr/>
                      <a:graphic xmlns:a="http://schemas.openxmlformats.org/drawingml/2006/main">
                        <a:graphicData uri="http://schemas.microsoft.com/office/word/2010/wordprocessingShape">
                          <wps:wsp>
                            <wps:cNvSpPr/>
                            <wps:spPr>
                              <a:xfrm>
                                <a:off x="0" y="0"/>
                                <a:ext cx="232410" cy="309880"/>
                              </a:xfrm>
                              <a:prstGeom prst="rightArrow">
                                <a:avLst/>
                              </a:prstGeom>
                              <a:noFill/>
                              <a:ln>
                                <a:solidFill>
                                  <a:srgbClr val="FFE5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71569" id="Strzałka w prawo 1410683481" o:spid="_x0000_s1026" type="#_x0000_t13" style="position:absolute;margin-left:-3.9pt;margin-top:7.85pt;width:18.3pt;height:24.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" adj="10800" filled="f" strokecolor="#ffe599" strokeweight="1pt"/>
                  </w:pict>
                </mc:Fallback>
              </mc:AlternateContent>
            </w:r>
          </w:p>
        </w:tc>
        <w:tc>
          <w:tcPr>
            <w:tcW w:w="4252" w:type="dxa"/>
            <w:tcBorders>
              <w:top w:val="single" w:sz="4" w:space="0" w:color="FFC000"/>
              <w:bottom w:val="single" w:sz="4" w:space="0" w:color="FFC000"/>
            </w:tcBorders>
            <w:vAlign w:val="center"/>
          </w:tcPr>
          <w:p w14:paraId="73CA6041" w14:textId="77777777" w:rsidR="00676894" w:rsidRPr="004C5366" w:rsidRDefault="00676894" w:rsidP="004C5366">
            <w:pPr>
              <w:spacing w:before="20" w:after="20" w:line="240" w:lineRule="auto"/>
              <w:jc w:val="left"/>
              <w:rPr>
                <w:sz w:val="20"/>
              </w:rPr>
            </w:pPr>
            <w:r w:rsidRPr="004C5366">
              <w:rPr>
                <w:sz w:val="20"/>
              </w:rPr>
              <w:t>Uruchomienie procesu „instrumentalizacji Strategii”, którego efektem będzie traktowanie jej jako rdzenia wszelkich inicjatyw strategicznych, w tym sieci współpracy</w:t>
            </w:r>
          </w:p>
        </w:tc>
      </w:tr>
      <w:tr w:rsidR="00676894" w:rsidRPr="004C5366" w14:paraId="372B9582" w14:textId="77777777" w:rsidTr="00676894">
        <w:tc>
          <w:tcPr>
            <w:tcW w:w="4253" w:type="dxa"/>
            <w:tcBorders>
              <w:top w:val="single" w:sz="4" w:space="0" w:color="FFC000"/>
              <w:bottom w:val="single" w:sz="4" w:space="0" w:color="FFC000"/>
            </w:tcBorders>
            <w:vAlign w:val="center"/>
          </w:tcPr>
          <w:p w14:paraId="44D4F196" w14:textId="77777777" w:rsidR="00676894" w:rsidRPr="004C5366" w:rsidRDefault="00676894" w:rsidP="004C5366">
            <w:pPr>
              <w:spacing w:before="20" w:after="20" w:line="240" w:lineRule="auto"/>
              <w:jc w:val="left"/>
              <w:rPr>
                <w:color w:val="002060"/>
                <w:sz w:val="20"/>
              </w:rPr>
            </w:pPr>
            <w:r w:rsidRPr="004C5366">
              <w:rPr>
                <w:b/>
                <w:color w:val="002060"/>
                <w:sz w:val="20"/>
              </w:rPr>
              <w:t>7.</w:t>
            </w:r>
            <w:r w:rsidRPr="004C5366">
              <w:rPr>
                <w:color w:val="002060"/>
                <w:sz w:val="20"/>
              </w:rPr>
              <w:t xml:space="preserve"> Potencjał rozwojowy województwa wielkopolskiego jest na tyle silny, że może ono stosować i wzmacniać model rozwoju endogennego</w:t>
            </w:r>
          </w:p>
        </w:tc>
        <w:tc>
          <w:tcPr>
            <w:tcW w:w="567" w:type="dxa"/>
            <w:tcBorders>
              <w:top w:val="single" w:sz="4" w:space="0" w:color="FFC000"/>
              <w:bottom w:val="single" w:sz="4" w:space="0" w:color="FFC000"/>
            </w:tcBorders>
            <w:vAlign w:val="center"/>
          </w:tcPr>
          <w:p w14:paraId="3844EAFF" w14:textId="77777777" w:rsidR="00676894" w:rsidRPr="004C5366" w:rsidRDefault="00676894" w:rsidP="004C5366">
            <w:pPr>
              <w:spacing w:before="20" w:after="20" w:line="240" w:lineRule="auto"/>
              <w:rPr>
                <w:sz w:val="20"/>
              </w:rPr>
            </w:pPr>
            <w:r w:rsidRPr="004C5366">
              <w:rPr>
                <w:noProof/>
                <w:sz w:val="20"/>
                <w:lang w:eastAsia="pl-PL"/>
              </w:rPr>
              <mc:AlternateContent>
                <mc:Choice Requires="wps">
                  <w:drawing>
                    <wp:anchor distT="0" distB="0" distL="114300" distR="114300" simplePos="0" relativeHeight="251658260" behindDoc="0" locked="0" layoutInCell="1" allowOverlap="1" wp14:anchorId="1CB31870" wp14:editId="1DBD4B05">
                      <wp:simplePos x="0" y="0"/>
                      <wp:positionH relativeFrom="column">
                        <wp:posOffset>-49530</wp:posOffset>
                      </wp:positionH>
                      <wp:positionV relativeFrom="paragraph">
                        <wp:posOffset>-92075</wp:posOffset>
                      </wp:positionV>
                      <wp:extent cx="232410" cy="309880"/>
                      <wp:effectExtent l="0" t="19050" r="34290" b="33020"/>
                      <wp:wrapNone/>
                      <wp:docPr id="1410683482" name="Strzałka w prawo 1410683482"/>
                      <wp:cNvGraphicFramePr/>
                      <a:graphic xmlns:a="http://schemas.openxmlformats.org/drawingml/2006/main">
                        <a:graphicData uri="http://schemas.microsoft.com/office/word/2010/wordprocessingShape">
                          <wps:wsp>
                            <wps:cNvSpPr/>
                            <wps:spPr>
                              <a:xfrm>
                                <a:off x="0" y="0"/>
                                <a:ext cx="232410" cy="309880"/>
                              </a:xfrm>
                              <a:prstGeom prst="rightArrow">
                                <a:avLst/>
                              </a:prstGeom>
                              <a:noFill/>
                              <a:ln>
                                <a:solidFill>
                                  <a:srgbClr val="FFE5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4B38B" id="Strzałka w prawo 1410683482" o:spid="_x0000_s1026" type="#_x0000_t13" style="position:absolute;margin-left:-3.9pt;margin-top:-7.25pt;width:18.3pt;height:24.4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" adj="10800" filled="f" strokecolor="#ffe599" strokeweight="1pt"/>
                  </w:pict>
                </mc:Fallback>
              </mc:AlternateContent>
            </w:r>
          </w:p>
        </w:tc>
        <w:tc>
          <w:tcPr>
            <w:tcW w:w="4252" w:type="dxa"/>
            <w:tcBorders>
              <w:top w:val="single" w:sz="4" w:space="0" w:color="FFC000"/>
              <w:bottom w:val="single" w:sz="4" w:space="0" w:color="FFC000"/>
            </w:tcBorders>
            <w:vAlign w:val="center"/>
          </w:tcPr>
          <w:p w14:paraId="46F81ADE" w14:textId="77777777" w:rsidR="00676894" w:rsidRPr="004C5366" w:rsidRDefault="00676894" w:rsidP="004C5366">
            <w:pPr>
              <w:spacing w:before="20" w:after="20" w:line="240" w:lineRule="auto"/>
              <w:jc w:val="left"/>
              <w:rPr>
                <w:sz w:val="20"/>
              </w:rPr>
            </w:pPr>
            <w:r w:rsidRPr="004C5366">
              <w:rPr>
                <w:sz w:val="20"/>
              </w:rPr>
              <w:t>Wypracowanie w ramach procesu aktualizacji Strategii założeń do „programu wzmocnienia instytucjonalnego regionu”, którego celem będzie podniesienie zdolności kooperacyjnych wewnątrz województwa, a także zdolności konkurencyjnych poza jego granicami</w:t>
            </w:r>
          </w:p>
        </w:tc>
      </w:tr>
      <w:tr w:rsidR="00676894" w:rsidRPr="004C5366" w14:paraId="743FED8B" w14:textId="77777777" w:rsidTr="00676894">
        <w:tc>
          <w:tcPr>
            <w:tcW w:w="4253" w:type="dxa"/>
            <w:tcBorders>
              <w:top w:val="single" w:sz="4" w:space="0" w:color="FFC000"/>
              <w:bottom w:val="single" w:sz="4" w:space="0" w:color="FFC000"/>
            </w:tcBorders>
            <w:vAlign w:val="center"/>
          </w:tcPr>
          <w:p w14:paraId="1E13746B" w14:textId="77777777" w:rsidR="00676894" w:rsidRPr="004C5366" w:rsidRDefault="00676894" w:rsidP="004C5366">
            <w:pPr>
              <w:spacing w:before="20" w:after="20" w:line="240" w:lineRule="auto"/>
              <w:jc w:val="left"/>
              <w:rPr>
                <w:color w:val="002060"/>
                <w:sz w:val="20"/>
              </w:rPr>
            </w:pPr>
            <w:r w:rsidRPr="004C5366">
              <w:rPr>
                <w:b/>
                <w:color w:val="002060"/>
                <w:sz w:val="20"/>
              </w:rPr>
              <w:lastRenderedPageBreak/>
              <w:t>8.</w:t>
            </w:r>
            <w:r w:rsidRPr="004C5366">
              <w:rPr>
                <w:color w:val="002060"/>
                <w:sz w:val="20"/>
              </w:rPr>
              <w:t xml:space="preserve"> Model rozwoju opisany w SRWW 2020 jest odważną i opartą na twardych przesłankach merytorycznych deklaracją podejścia władz regionalnych do przyszłości województwa</w:t>
            </w:r>
          </w:p>
        </w:tc>
        <w:tc>
          <w:tcPr>
            <w:tcW w:w="567" w:type="dxa"/>
            <w:tcBorders>
              <w:top w:val="single" w:sz="4" w:space="0" w:color="FFC000"/>
              <w:bottom w:val="single" w:sz="4" w:space="0" w:color="FFC000"/>
            </w:tcBorders>
            <w:vAlign w:val="center"/>
          </w:tcPr>
          <w:p w14:paraId="6B65FEB1" w14:textId="77777777" w:rsidR="00676894" w:rsidRPr="004C5366" w:rsidRDefault="00676894" w:rsidP="004C5366">
            <w:pPr>
              <w:spacing w:before="20" w:after="20" w:line="240" w:lineRule="auto"/>
              <w:rPr>
                <w:sz w:val="20"/>
              </w:rPr>
            </w:pPr>
            <w:r w:rsidRPr="004C5366">
              <w:rPr>
                <w:noProof/>
                <w:sz w:val="20"/>
                <w:lang w:eastAsia="pl-PL"/>
              </w:rPr>
              <mc:AlternateContent>
                <mc:Choice Requires="wps">
                  <w:drawing>
                    <wp:anchor distT="0" distB="0" distL="114300" distR="114300" simplePos="0" relativeHeight="251658261" behindDoc="0" locked="0" layoutInCell="1" allowOverlap="1" wp14:anchorId="01F3B97D" wp14:editId="7E1FAC80">
                      <wp:simplePos x="0" y="0"/>
                      <wp:positionH relativeFrom="column">
                        <wp:posOffset>-31115</wp:posOffset>
                      </wp:positionH>
                      <wp:positionV relativeFrom="paragraph">
                        <wp:posOffset>50800</wp:posOffset>
                      </wp:positionV>
                      <wp:extent cx="232410" cy="309880"/>
                      <wp:effectExtent l="0" t="19050" r="34290" b="33020"/>
                      <wp:wrapNone/>
                      <wp:docPr id="1410683483" name="Strzałka w prawo 1410683483"/>
                      <wp:cNvGraphicFramePr/>
                      <a:graphic xmlns:a="http://schemas.openxmlformats.org/drawingml/2006/main">
                        <a:graphicData uri="http://schemas.microsoft.com/office/word/2010/wordprocessingShape">
                          <wps:wsp>
                            <wps:cNvSpPr/>
                            <wps:spPr>
                              <a:xfrm>
                                <a:off x="0" y="0"/>
                                <a:ext cx="232410" cy="309880"/>
                              </a:xfrm>
                              <a:prstGeom prst="rightArrow">
                                <a:avLst/>
                              </a:prstGeom>
                              <a:noFill/>
                              <a:ln>
                                <a:solidFill>
                                  <a:srgbClr val="FFE5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AAD3E" id="Strzałka w prawo 1410683483" o:spid="_x0000_s1026" type="#_x0000_t13" style="position:absolute;margin-left:-2.45pt;margin-top:4pt;width:18.3pt;height:24.4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" adj="10800" filled="f" strokecolor="#ffe599" strokeweight="1pt"/>
                  </w:pict>
                </mc:Fallback>
              </mc:AlternateContent>
            </w:r>
          </w:p>
        </w:tc>
        <w:tc>
          <w:tcPr>
            <w:tcW w:w="4252" w:type="dxa"/>
            <w:tcBorders>
              <w:top w:val="single" w:sz="4" w:space="0" w:color="FFC000"/>
              <w:bottom w:val="single" w:sz="4" w:space="0" w:color="FFC000"/>
            </w:tcBorders>
            <w:vAlign w:val="center"/>
          </w:tcPr>
          <w:p w14:paraId="42E8B3A1" w14:textId="77777777" w:rsidR="00676894" w:rsidRPr="004C5366" w:rsidRDefault="00676894" w:rsidP="004C5366">
            <w:pPr>
              <w:spacing w:before="20" w:after="20" w:line="240" w:lineRule="auto"/>
              <w:jc w:val="left"/>
              <w:rPr>
                <w:sz w:val="20"/>
              </w:rPr>
            </w:pPr>
            <w:r w:rsidRPr="004C5366">
              <w:rPr>
                <w:sz w:val="20"/>
              </w:rPr>
              <w:t>Zachowanie dotychczasowego modelu rozwoju z rozważeniem zmian w zakresie umiejscowienia i kształtu wizji, a także roli misji w dokumencie</w:t>
            </w:r>
          </w:p>
        </w:tc>
      </w:tr>
      <w:tr w:rsidR="00676894" w:rsidRPr="004C5366" w14:paraId="044CEAA5" w14:textId="77777777" w:rsidTr="00676894">
        <w:tc>
          <w:tcPr>
            <w:tcW w:w="4253" w:type="dxa"/>
            <w:tcBorders>
              <w:top w:val="single" w:sz="4" w:space="0" w:color="FFC000"/>
              <w:bottom w:val="single" w:sz="4" w:space="0" w:color="FFC000"/>
            </w:tcBorders>
            <w:vAlign w:val="center"/>
          </w:tcPr>
          <w:p w14:paraId="5388E754" w14:textId="77777777" w:rsidR="00676894" w:rsidRPr="004C5366" w:rsidRDefault="00676894" w:rsidP="004C5366">
            <w:pPr>
              <w:spacing w:before="20" w:after="20" w:line="240" w:lineRule="auto"/>
              <w:jc w:val="left"/>
              <w:rPr>
                <w:color w:val="002060"/>
                <w:sz w:val="20"/>
              </w:rPr>
            </w:pPr>
            <w:r w:rsidRPr="004C5366">
              <w:rPr>
                <w:b/>
                <w:color w:val="002060"/>
                <w:sz w:val="20"/>
              </w:rPr>
              <w:t>9.</w:t>
            </w:r>
            <w:r w:rsidRPr="004C5366">
              <w:rPr>
                <w:color w:val="002060"/>
                <w:sz w:val="20"/>
              </w:rPr>
              <w:t xml:space="preserve"> Deklarowana jest świadomość istnienia Strategii, która ma określoną wagę, jednak na co dzień wdrażane są programy i zadania bieżące. Po uchwaleniu Strategii staje się ona „własnością” Departamentu Polityki Regionalnej, co nie tylko nie budzi sprzeciwu innych departamentów, ale wręcz wydaje się być akceptowane</w:t>
            </w:r>
          </w:p>
        </w:tc>
        <w:tc>
          <w:tcPr>
            <w:tcW w:w="567" w:type="dxa"/>
            <w:tcBorders>
              <w:top w:val="single" w:sz="4" w:space="0" w:color="FFC000"/>
              <w:bottom w:val="single" w:sz="4" w:space="0" w:color="FFC000"/>
            </w:tcBorders>
            <w:vAlign w:val="center"/>
          </w:tcPr>
          <w:p w14:paraId="461F68D7" w14:textId="77777777" w:rsidR="00676894" w:rsidRPr="004C5366" w:rsidRDefault="00676894" w:rsidP="004C5366">
            <w:pPr>
              <w:spacing w:before="20" w:after="20" w:line="240" w:lineRule="auto"/>
              <w:rPr>
                <w:sz w:val="20"/>
              </w:rPr>
            </w:pPr>
            <w:r w:rsidRPr="004C5366">
              <w:rPr>
                <w:noProof/>
                <w:sz w:val="20"/>
                <w:lang w:eastAsia="pl-PL"/>
              </w:rPr>
              <mc:AlternateContent>
                <mc:Choice Requires="wps">
                  <w:drawing>
                    <wp:anchor distT="0" distB="0" distL="114300" distR="114300" simplePos="0" relativeHeight="251658262" behindDoc="0" locked="0" layoutInCell="1" allowOverlap="1" wp14:anchorId="20299E45" wp14:editId="77A97988">
                      <wp:simplePos x="0" y="0"/>
                      <wp:positionH relativeFrom="column">
                        <wp:posOffset>-15875</wp:posOffset>
                      </wp:positionH>
                      <wp:positionV relativeFrom="paragraph">
                        <wp:posOffset>-10160</wp:posOffset>
                      </wp:positionV>
                      <wp:extent cx="232410" cy="309880"/>
                      <wp:effectExtent l="0" t="19050" r="34290" b="33020"/>
                      <wp:wrapNone/>
                      <wp:docPr id="1410683484" name="Strzałka w prawo 1410683484"/>
                      <wp:cNvGraphicFramePr/>
                      <a:graphic xmlns:a="http://schemas.openxmlformats.org/drawingml/2006/main">
                        <a:graphicData uri="http://schemas.microsoft.com/office/word/2010/wordprocessingShape">
                          <wps:wsp>
                            <wps:cNvSpPr/>
                            <wps:spPr>
                              <a:xfrm>
                                <a:off x="0" y="0"/>
                                <a:ext cx="232410" cy="309880"/>
                              </a:xfrm>
                              <a:prstGeom prst="rightArrow">
                                <a:avLst/>
                              </a:prstGeom>
                              <a:noFill/>
                              <a:ln>
                                <a:solidFill>
                                  <a:srgbClr val="FFE5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1C867" id="Strzałka w prawo 1410683484" o:spid="_x0000_s1026" type="#_x0000_t13" style="position:absolute;margin-left:-1.25pt;margin-top:-.8pt;width:18.3pt;height:24.4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" adj="10800" filled="f" strokecolor="#ffe599" strokeweight="1pt"/>
                  </w:pict>
                </mc:Fallback>
              </mc:AlternateContent>
            </w:r>
          </w:p>
        </w:tc>
        <w:tc>
          <w:tcPr>
            <w:tcW w:w="4252" w:type="dxa"/>
            <w:tcBorders>
              <w:top w:val="single" w:sz="4" w:space="0" w:color="FFC000"/>
              <w:bottom w:val="single" w:sz="4" w:space="0" w:color="FFC000"/>
            </w:tcBorders>
            <w:vAlign w:val="center"/>
          </w:tcPr>
          <w:p w14:paraId="3E05EC74" w14:textId="77777777" w:rsidR="00676894" w:rsidRPr="004C5366" w:rsidRDefault="00676894" w:rsidP="004C5366">
            <w:pPr>
              <w:spacing w:before="20" w:after="20" w:line="240" w:lineRule="auto"/>
              <w:jc w:val="left"/>
              <w:rPr>
                <w:sz w:val="20"/>
              </w:rPr>
            </w:pPr>
            <w:r w:rsidRPr="004C5366">
              <w:rPr>
                <w:sz w:val="20"/>
              </w:rPr>
              <w:t>Wypracowanie w ramach procesu aktualizacji Strategii założeń systemu komunikacji, wdrażania i monitoringu najważniejszego w województwie dokumentu planistycznego</w:t>
            </w:r>
          </w:p>
        </w:tc>
      </w:tr>
    </w:tbl>
    <w:p w14:paraId="54C2E53D" w14:textId="77777777" w:rsidR="00676894" w:rsidRDefault="00676894" w:rsidP="00676894">
      <w:pPr>
        <w:spacing w:before="240"/>
        <w:rPr>
          <w:lang w:eastAsia="pl-PL"/>
        </w:rPr>
      </w:pPr>
      <w:r>
        <w:rPr>
          <w:lang w:eastAsia="pl-PL"/>
        </w:rPr>
        <w:t>Poza wskazanymi wyżej kluczowymi sugestiami dotyczącymi działań zalecanych w trakcie przygotowania aktualizacji Strategii rozwoju województwa oraz jej wdrażania, w ewaluacji sformułowano dwie rekomendacje dotyczące programów operacyjnych:</w:t>
      </w:r>
    </w:p>
    <w:p w14:paraId="07130F9E" w14:textId="5666B669" w:rsidR="00676894" w:rsidRDefault="00676894" w:rsidP="00676894">
      <w:pPr>
        <w:rPr>
          <w:lang w:eastAsia="pl-PL"/>
        </w:rPr>
      </w:pPr>
      <w:r w:rsidRPr="00080ADD">
        <w:rPr>
          <w:b/>
          <w:lang w:eastAsia="pl-PL"/>
        </w:rPr>
        <w:t xml:space="preserve">Rekomendacja 1. </w:t>
      </w:r>
      <w:r w:rsidRPr="00205B8C">
        <w:rPr>
          <w:b/>
          <w:lang w:eastAsia="pl-PL"/>
        </w:rPr>
        <w:t>Opracowanie zasad efektywnego monitorowania projektów strategicznych</w:t>
      </w:r>
      <w:r>
        <w:rPr>
          <w:lang w:eastAsia="pl-PL"/>
        </w:rPr>
        <w:t>. Najprawdopodobniej strategie rozwoju województw czwartej generacji będą posiadały zapisy dotyczące projektów strategicznych, które powinny być szczególnie monitorowane (połączenie wskaźników produktu, rezultatu i oddziaływania). Już na etapie selekcji tych projektów powinny zostać przyjęte kryteria oceny strategicznego wpływu danego projektu na rozwój województwa i późniejszej weryfikacji tego wpływu.</w:t>
      </w:r>
    </w:p>
    <w:p w14:paraId="48AAD3DF" w14:textId="7905A066" w:rsidR="00B7587D" w:rsidRDefault="00676894" w:rsidP="00676894">
      <w:pPr>
        <w:spacing w:before="240"/>
        <w:rPr>
          <w:lang w:eastAsia="pl-PL"/>
        </w:rPr>
      </w:pPr>
      <w:r w:rsidRPr="00080ADD">
        <w:rPr>
          <w:b/>
          <w:lang w:eastAsia="pl-PL"/>
        </w:rPr>
        <w:t>Rekomendacja 2. Zwiększenie spójności terytorializacji polityki rozwoju w wymiarze strategicznym i operacyjnym</w:t>
      </w:r>
      <w:r w:rsidRPr="00080ADD">
        <w:rPr>
          <w:lang w:eastAsia="pl-PL"/>
        </w:rPr>
        <w:t>. Należy dążyć do terytorialnej integracji w zakresie planowanych działań finansowanych z różnych funduszy europejskich (głównie: EFRR, EFS, EFRROW). Tego typu integracja pozwoli zintensyfikować oddziaływanie polityki rozwoju w konkretnych subregionach, a przede wszystkim powinna zmniejszyć liczbę interwencji, które już na etapie konstrukcji programów zakład</w:t>
      </w:r>
      <w:r>
        <w:rPr>
          <w:lang w:eastAsia="pl-PL"/>
        </w:rPr>
        <w:t>ają „cały obszar województwa”.</w:t>
      </w:r>
    </w:p>
    <w:p w14:paraId="49959634" w14:textId="6405E3D4" w:rsidR="002A17E4" w:rsidRDefault="002A17E4" w:rsidP="00B12608">
      <w:pPr>
        <w:spacing w:before="360"/>
        <w:jc w:val="center"/>
        <w:rPr>
          <w:lang w:eastAsia="pl-PL"/>
        </w:rPr>
      </w:pPr>
      <w:r>
        <w:rPr>
          <w:lang w:eastAsia="pl-PL"/>
        </w:rPr>
        <w:t>***</w:t>
      </w:r>
    </w:p>
    <w:p w14:paraId="5E76AD62" w14:textId="10463A65" w:rsidR="00052AE5" w:rsidRDefault="77E581C7" w:rsidP="77E581C7">
      <w:pPr>
        <w:rPr>
          <w:lang w:eastAsia="pl-PL"/>
        </w:rPr>
      </w:pPr>
      <w:r w:rsidRPr="77E581C7">
        <w:rPr>
          <w:lang w:eastAsia="pl-PL"/>
        </w:rPr>
        <w:t>W tym miejscu autorzy ewaluacji pragną serdecznie podziękować wszystkim osobom, które poświęciły swój czas i podzieliły się własnymi doświadczeniami i spostrzeżeniami dotyczącymi tematów podejmowanych w Raporcie. Szczególne wyrazy uznania kierowane są do pracowników Departamentu Polityki Regionalnej UMWW. Ich zaangażowanie, wsparcie i krytyka stanowiły fundament procesu ewaluacji, którego finałem jest niniejszy Raport.</w:t>
      </w:r>
    </w:p>
    <w:p w14:paraId="78CA1CA4" w14:textId="1085856A" w:rsidR="00F47610" w:rsidRDefault="00F47610" w:rsidP="00015605">
      <w:pPr>
        <w:rPr>
          <w:lang w:eastAsia="pl-PL"/>
        </w:rPr>
      </w:pPr>
      <w:r>
        <w:rPr>
          <w:lang w:eastAsia="pl-PL"/>
        </w:rPr>
        <w:br w:type="page"/>
      </w:r>
    </w:p>
    <w:bookmarkEnd w:id="15"/>
    <w:bookmarkEnd w:id="16"/>
    <w:bookmarkEnd w:id="17"/>
    <w:p w14:paraId="28FF4C0A" w14:textId="77777777" w:rsidR="00B171AE" w:rsidRPr="00760780" w:rsidRDefault="00B171AE" w:rsidP="00B171AE">
      <w:pPr>
        <w:rPr>
          <w:b/>
          <w:sz w:val="36"/>
          <w:szCs w:val="36"/>
          <w:lang w:val="en-GB"/>
        </w:rPr>
      </w:pPr>
      <w:r w:rsidRPr="00760780">
        <w:rPr>
          <w:b/>
          <w:sz w:val="36"/>
          <w:szCs w:val="36"/>
          <w:lang w:val="en-GB"/>
        </w:rPr>
        <w:lastRenderedPageBreak/>
        <w:t>Report summary</w:t>
      </w:r>
    </w:p>
    <w:p w14:paraId="5AD24335" w14:textId="232DD056" w:rsidR="00B171AE" w:rsidRPr="00760780" w:rsidRDefault="00B171AE" w:rsidP="00B171AE">
      <w:pPr>
        <w:rPr>
          <w:szCs w:val="22"/>
          <w:lang w:val="en-GB"/>
        </w:rPr>
      </w:pPr>
      <w:r w:rsidRPr="00760780">
        <w:rPr>
          <w:szCs w:val="22"/>
          <w:lang w:val="en-GB"/>
        </w:rPr>
        <w:t>The presented Report is based on the evaluation concept designed by  the Evaluation Unit employees in cooperation with the representatives of the Strategic Planning Department (both units are part of the Regional Policy Department of the Wie</w:t>
      </w:r>
      <w:r>
        <w:rPr>
          <w:szCs w:val="22"/>
          <w:lang w:val="en-GB"/>
        </w:rPr>
        <w:t>lkopolskie</w:t>
      </w:r>
      <w:r w:rsidRPr="00760780">
        <w:rPr>
          <w:szCs w:val="22"/>
          <w:lang w:val="en-GB"/>
        </w:rPr>
        <w:t xml:space="preserve"> Voivodship Marshal</w:t>
      </w:r>
      <w:r>
        <w:rPr>
          <w:szCs w:val="22"/>
          <w:lang w:val="en-GB"/>
        </w:rPr>
        <w:t>’s</w:t>
      </w:r>
      <w:r w:rsidRPr="00760780">
        <w:rPr>
          <w:szCs w:val="22"/>
          <w:lang w:val="en-GB"/>
        </w:rPr>
        <w:t xml:space="preserve"> Office).</w:t>
      </w:r>
    </w:p>
    <w:p w14:paraId="0F5943E0" w14:textId="6252F6E8" w:rsidR="00B171AE" w:rsidRPr="00B171AE" w:rsidRDefault="00B171AE" w:rsidP="00B171AE">
      <w:pPr>
        <w:ind w:left="4536"/>
        <w:jc w:val="left"/>
        <w:rPr>
          <w:b/>
          <w:i/>
          <w:color w:val="001E50"/>
          <w:lang w:val="en-GB"/>
        </w:rPr>
      </w:pPr>
      <w:r w:rsidRPr="00B171AE">
        <w:rPr>
          <w:b/>
          <w:i/>
          <w:color w:val="001E50"/>
          <w:lang w:val="en-GB"/>
        </w:rPr>
        <w:t>Evaluation as part of the preparations for updating the voivodship development Strategy</w:t>
      </w:r>
    </w:p>
    <w:p w14:paraId="4CD6E6E1" w14:textId="77777777" w:rsidR="00B171AE" w:rsidRPr="00760780" w:rsidRDefault="00B171AE" w:rsidP="00B171AE">
      <w:pPr>
        <w:rPr>
          <w:szCs w:val="22"/>
          <w:lang w:val="en-GB"/>
        </w:rPr>
      </w:pPr>
      <w:r w:rsidRPr="00760780">
        <w:rPr>
          <w:szCs w:val="22"/>
          <w:lang w:val="en-GB"/>
        </w:rPr>
        <w:t xml:space="preserve">Evaluation of the Wielkopolskie Voivodship Development Strategy  (SRWW 2020) is part of the </w:t>
      </w:r>
      <w:r>
        <w:rPr>
          <w:szCs w:val="22"/>
          <w:lang w:val="en-GB"/>
        </w:rPr>
        <w:t>voivodship</w:t>
      </w:r>
      <w:r w:rsidRPr="00760780">
        <w:rPr>
          <w:szCs w:val="22"/>
          <w:lang w:val="en-GB"/>
        </w:rPr>
        <w:t xml:space="preserve"> authorities' preparation for the process of updating the main strategic document. </w:t>
      </w:r>
    </w:p>
    <w:p w14:paraId="7CA330D9" w14:textId="33E3D74F" w:rsidR="00B171AE" w:rsidRPr="00760780" w:rsidRDefault="00B171AE" w:rsidP="00B171AE">
      <w:pPr>
        <w:rPr>
          <w:szCs w:val="22"/>
          <w:lang w:val="en-GB"/>
        </w:rPr>
      </w:pPr>
      <w:r w:rsidRPr="00760780">
        <w:rPr>
          <w:szCs w:val="22"/>
          <w:lang w:val="en-GB"/>
        </w:rPr>
        <w:t>Such an update is needed because in 2017-2019 some events took place that changed the external determinants of the Wielkopolskie voivodship</w:t>
      </w:r>
      <w:r w:rsidRPr="00CD2306">
        <w:rPr>
          <w:szCs w:val="22"/>
          <w:lang w:val="en-GB"/>
        </w:rPr>
        <w:t xml:space="preserve"> </w:t>
      </w:r>
      <w:r w:rsidRPr="00760780">
        <w:rPr>
          <w:szCs w:val="22"/>
          <w:lang w:val="en-GB"/>
        </w:rPr>
        <w:t>development:</w:t>
      </w:r>
    </w:p>
    <w:p w14:paraId="1B95DD5C" w14:textId="77777777" w:rsidR="00B171AE" w:rsidRPr="00B171AE" w:rsidRDefault="00B171AE" w:rsidP="00B171AE">
      <w:pPr>
        <w:numPr>
          <w:ilvl w:val="0"/>
          <w:numId w:val="63"/>
        </w:numPr>
        <w:spacing w:after="0"/>
        <w:rPr>
          <w:szCs w:val="22"/>
          <w:lang w:val="en-GB"/>
        </w:rPr>
      </w:pPr>
      <w:r w:rsidRPr="00B171AE">
        <w:rPr>
          <w:szCs w:val="22"/>
          <w:lang w:val="en-GB"/>
        </w:rPr>
        <w:t xml:space="preserve">the Polish government adopted the </w:t>
      </w:r>
      <w:r w:rsidRPr="00B171AE">
        <w:rPr>
          <w:i/>
          <w:szCs w:val="22"/>
          <w:lang w:val="en-GB"/>
        </w:rPr>
        <w:t>Strategy for Responsible Development</w:t>
      </w:r>
      <w:r w:rsidRPr="00B171AE">
        <w:rPr>
          <w:szCs w:val="22"/>
          <w:lang w:val="en-GB"/>
        </w:rPr>
        <w:t xml:space="preserve"> which replaced the previous medium-term strategy of the country's development; </w:t>
      </w:r>
    </w:p>
    <w:p w14:paraId="5F59D4E2" w14:textId="77777777" w:rsidR="00B171AE" w:rsidRPr="00B171AE" w:rsidRDefault="00B171AE" w:rsidP="00B171AE">
      <w:pPr>
        <w:numPr>
          <w:ilvl w:val="0"/>
          <w:numId w:val="63"/>
        </w:numPr>
        <w:spacing w:after="0"/>
        <w:rPr>
          <w:szCs w:val="22"/>
          <w:lang w:val="en-GB"/>
        </w:rPr>
      </w:pPr>
      <w:r w:rsidRPr="00B171AE">
        <w:rPr>
          <w:szCs w:val="22"/>
          <w:lang w:val="en-GB"/>
        </w:rPr>
        <w:t xml:space="preserve">work is in progress on the updating of nine horizontal strategies whereas the consultations on the draft </w:t>
      </w:r>
      <w:r w:rsidRPr="00B171AE">
        <w:rPr>
          <w:i/>
          <w:szCs w:val="22"/>
          <w:lang w:val="en-GB"/>
        </w:rPr>
        <w:t>National Strategy for Regional Development</w:t>
      </w:r>
      <w:r w:rsidRPr="00B171AE">
        <w:rPr>
          <w:szCs w:val="22"/>
          <w:lang w:val="en-GB"/>
        </w:rPr>
        <w:t xml:space="preserve"> have been completed; </w:t>
      </w:r>
    </w:p>
    <w:p w14:paraId="1448C05D" w14:textId="77777777" w:rsidR="00B171AE" w:rsidRPr="00B171AE" w:rsidRDefault="00B171AE" w:rsidP="00B171AE">
      <w:pPr>
        <w:numPr>
          <w:ilvl w:val="0"/>
          <w:numId w:val="63"/>
        </w:numPr>
        <w:spacing w:after="0"/>
        <w:rPr>
          <w:szCs w:val="22"/>
          <w:lang w:val="en-GB"/>
        </w:rPr>
      </w:pPr>
      <w:r w:rsidRPr="00B171AE">
        <w:rPr>
          <w:szCs w:val="22"/>
          <w:lang w:val="en-GB"/>
        </w:rPr>
        <w:t xml:space="preserve">The Government of the Republic of Poland is introducing changes in the functioning of the voivodship self-government (by limiting its competences) and taking subsequent steps in the implementation of the </w:t>
      </w:r>
      <w:r w:rsidRPr="00B171AE">
        <w:rPr>
          <w:i/>
          <w:szCs w:val="22"/>
          <w:lang w:val="en-GB"/>
        </w:rPr>
        <w:t>Management Rules for the Development of Poland</w:t>
      </w:r>
      <w:r w:rsidRPr="00B171AE">
        <w:rPr>
          <w:szCs w:val="22"/>
          <w:lang w:val="en-GB"/>
        </w:rPr>
        <w:t xml:space="preserve"> document;</w:t>
      </w:r>
    </w:p>
    <w:p w14:paraId="46087698" w14:textId="77777777" w:rsidR="00B171AE" w:rsidRPr="00B171AE" w:rsidRDefault="00B171AE" w:rsidP="00B171AE">
      <w:pPr>
        <w:numPr>
          <w:ilvl w:val="0"/>
          <w:numId w:val="63"/>
        </w:numPr>
        <w:spacing w:after="0"/>
        <w:rPr>
          <w:szCs w:val="22"/>
          <w:lang w:val="en-GB"/>
        </w:rPr>
      </w:pPr>
      <w:r w:rsidRPr="00B171AE">
        <w:rPr>
          <w:szCs w:val="22"/>
          <w:lang w:val="en-GB"/>
        </w:rPr>
        <w:t>work is underway on a new EU budget in which the funds will be the basis for creating regional operational programs.</w:t>
      </w:r>
    </w:p>
    <w:p w14:paraId="4DBA71A5" w14:textId="576144D5" w:rsidR="00B171AE" w:rsidRPr="00B171AE" w:rsidRDefault="00B171AE" w:rsidP="00B171AE">
      <w:pPr>
        <w:ind w:left="4536"/>
        <w:jc w:val="left"/>
        <w:rPr>
          <w:b/>
          <w:i/>
          <w:color w:val="001E50"/>
          <w:lang w:val="en-GB"/>
        </w:rPr>
      </w:pPr>
      <w:r w:rsidRPr="00B171AE">
        <w:rPr>
          <w:b/>
          <w:i/>
          <w:color w:val="001E50"/>
          <w:lang w:val="en-GB"/>
        </w:rPr>
        <w:t>Main goal and detailed objectives of the evaluation</w:t>
      </w:r>
    </w:p>
    <w:p w14:paraId="04A6AB46" w14:textId="77777777" w:rsidR="00B171AE" w:rsidRPr="00760780" w:rsidRDefault="00B171AE" w:rsidP="00B171AE">
      <w:pPr>
        <w:rPr>
          <w:szCs w:val="22"/>
          <w:lang w:val="en-GB"/>
        </w:rPr>
      </w:pPr>
      <w:r>
        <w:rPr>
          <w:szCs w:val="22"/>
          <w:lang w:val="en-GB"/>
        </w:rPr>
        <w:t>The main goal</w:t>
      </w:r>
      <w:r w:rsidRPr="00760780">
        <w:rPr>
          <w:szCs w:val="22"/>
          <w:lang w:val="en-GB"/>
        </w:rPr>
        <w:t xml:space="preserve"> of the study has been defined as follows: </w:t>
      </w:r>
      <w:r w:rsidRPr="00760780">
        <w:rPr>
          <w:i/>
          <w:szCs w:val="22"/>
          <w:lang w:val="en-GB"/>
        </w:rPr>
        <w:t xml:space="preserve">evaluation of the </w:t>
      </w:r>
      <w:r>
        <w:rPr>
          <w:i/>
          <w:szCs w:val="22"/>
          <w:lang w:val="en-GB"/>
        </w:rPr>
        <w:t xml:space="preserve">Wielkopolskie voivodship </w:t>
      </w:r>
      <w:r w:rsidRPr="00760780">
        <w:rPr>
          <w:i/>
          <w:szCs w:val="22"/>
          <w:lang w:val="en-GB"/>
        </w:rPr>
        <w:t xml:space="preserve"> developm</w:t>
      </w:r>
      <w:r>
        <w:rPr>
          <w:i/>
          <w:szCs w:val="22"/>
          <w:lang w:val="en-GB"/>
        </w:rPr>
        <w:t xml:space="preserve">ent Strategy </w:t>
      </w:r>
      <w:r w:rsidRPr="00760780">
        <w:rPr>
          <w:i/>
          <w:szCs w:val="22"/>
          <w:lang w:val="en-GB"/>
        </w:rPr>
        <w:t>as the basis for operational planning for the EU's financial perspective after 2020</w:t>
      </w:r>
      <w:r w:rsidRPr="00760780">
        <w:rPr>
          <w:szCs w:val="22"/>
          <w:lang w:val="en-GB"/>
        </w:rPr>
        <w:t xml:space="preserve">. </w:t>
      </w:r>
      <w:r>
        <w:rPr>
          <w:szCs w:val="22"/>
          <w:lang w:val="en-GB"/>
        </w:rPr>
        <w:t xml:space="preserve"> </w:t>
      </w:r>
      <w:r w:rsidRPr="00760780">
        <w:rPr>
          <w:szCs w:val="22"/>
          <w:lang w:val="en-GB"/>
        </w:rPr>
        <w:t>In addition, detailed objectives have been distin</w:t>
      </w:r>
      <w:r>
        <w:rPr>
          <w:szCs w:val="22"/>
          <w:lang w:val="en-GB"/>
        </w:rPr>
        <w:t xml:space="preserve">guished: (A) evaluation of the </w:t>
      </w:r>
      <w:r w:rsidRPr="00760780">
        <w:rPr>
          <w:szCs w:val="22"/>
          <w:lang w:val="en-GB"/>
        </w:rPr>
        <w:t>up-to-dateness of the Strategy development paradigm; (B) evaluation of the intervention field designed in the Strategy; (C) assessment of the Strategy implementation scope; (D) assessment of the Strategy implementation effects; (E) evaluation of the Strategy implementation management system.</w:t>
      </w:r>
    </w:p>
    <w:p w14:paraId="2D165A99" w14:textId="569A24CB" w:rsidR="00B171AE" w:rsidRPr="00B171AE" w:rsidRDefault="00B171AE" w:rsidP="00B171AE">
      <w:pPr>
        <w:ind w:left="4536"/>
        <w:jc w:val="left"/>
        <w:rPr>
          <w:b/>
          <w:i/>
          <w:color w:val="001E50"/>
          <w:lang w:val="en-GB"/>
        </w:rPr>
      </w:pPr>
      <w:r w:rsidRPr="00B171AE">
        <w:rPr>
          <w:b/>
          <w:i/>
          <w:color w:val="001E50"/>
          <w:lang w:val="en-GB"/>
        </w:rPr>
        <w:t xml:space="preserve">The evaluation based on diverse research </w:t>
      </w:r>
      <w:r>
        <w:rPr>
          <w:b/>
          <w:i/>
          <w:color w:val="001E50"/>
          <w:lang w:val="en-GB"/>
        </w:rPr>
        <w:t>m</w:t>
      </w:r>
      <w:r w:rsidRPr="00B171AE">
        <w:rPr>
          <w:b/>
          <w:i/>
          <w:color w:val="001E50"/>
          <w:lang w:val="en-GB"/>
        </w:rPr>
        <w:t xml:space="preserve">ethods answers many questions </w:t>
      </w:r>
    </w:p>
    <w:p w14:paraId="4D9E7BE5" w14:textId="77777777" w:rsidR="00B171AE" w:rsidRDefault="00B171AE" w:rsidP="00B171AE">
      <w:pPr>
        <w:rPr>
          <w:szCs w:val="22"/>
          <w:lang w:val="en-GB"/>
        </w:rPr>
      </w:pPr>
      <w:r w:rsidRPr="00760780">
        <w:rPr>
          <w:szCs w:val="22"/>
          <w:lang w:val="en-GB"/>
        </w:rPr>
        <w:t>The evaluation of the Strategy implementation has been prepared by solving 16 research problems</w:t>
      </w:r>
      <w:r w:rsidRPr="00760780">
        <w:rPr>
          <w:rStyle w:val="Odwoanieprzypisudolnego"/>
          <w:szCs w:val="22"/>
          <w:lang w:val="en-GB"/>
        </w:rPr>
        <w:footnoteReference w:id="4"/>
      </w:r>
      <w:r w:rsidRPr="00760780">
        <w:rPr>
          <w:szCs w:val="22"/>
          <w:lang w:val="en-GB"/>
        </w:rPr>
        <w:t>. Providing reliable answers required the use of a range of research methods and tools, among which the most important were direct interviews with representatives of the Voivodship Self-government (40 interviews), representatives of the areas covered by the ITI strategies and territorial mandates (6 interviews in total). The study also makes use of the expertise of thirteen thematic experts. 113 papers and documents have been analyzed</w:t>
      </w:r>
      <w:r w:rsidRPr="00760780">
        <w:rPr>
          <w:rStyle w:val="Odwoanieprzypisudolnego"/>
          <w:szCs w:val="22"/>
          <w:lang w:val="en-GB"/>
        </w:rPr>
        <w:footnoteReference w:id="5"/>
      </w:r>
      <w:r w:rsidRPr="00760780">
        <w:rPr>
          <w:szCs w:val="22"/>
          <w:lang w:val="en-GB"/>
        </w:rPr>
        <w:t xml:space="preserve">. In addition to the planned tasks, the Evaluators proposed a survey which was responded by representatives of the Voivodship Self-government </w:t>
      </w:r>
      <w:r>
        <w:rPr>
          <w:szCs w:val="22"/>
          <w:lang w:val="en-GB"/>
        </w:rPr>
        <w:t>executive level</w:t>
      </w:r>
      <w:r w:rsidRPr="00760780">
        <w:rPr>
          <w:szCs w:val="22"/>
          <w:lang w:val="en-GB"/>
        </w:rPr>
        <w:t xml:space="preserve"> as well as a questionnaire addressed to 16 voivodship marshals (10 completed  questionnaires were received) (Figure 1).</w:t>
      </w:r>
    </w:p>
    <w:p w14:paraId="5403D1A3" w14:textId="77777777" w:rsidR="00B171AE" w:rsidRPr="00760780" w:rsidRDefault="00B171AE" w:rsidP="00B171AE">
      <w:pPr>
        <w:rPr>
          <w:szCs w:val="22"/>
          <w:lang w:val="en-GB"/>
        </w:rPr>
      </w:pPr>
    </w:p>
    <w:p w14:paraId="318E4510" w14:textId="77777777" w:rsidR="00B171AE" w:rsidRPr="00760780" w:rsidRDefault="00B171AE" w:rsidP="00B171AE">
      <w:pPr>
        <w:rPr>
          <w:b/>
          <w:color w:val="003366"/>
          <w:szCs w:val="22"/>
          <w:lang w:val="en-GB"/>
        </w:rPr>
      </w:pPr>
      <w:r w:rsidRPr="00760780">
        <w:rPr>
          <w:b/>
          <w:color w:val="003366"/>
          <w:szCs w:val="22"/>
          <w:lang w:val="en-GB"/>
        </w:rPr>
        <w:t>Figure 1. Selected evaluation numbers</w:t>
      </w:r>
    </w:p>
    <w:tbl>
      <w:tblPr>
        <w:tblW w:w="9495" w:type="dxa"/>
        <w:tblBorders>
          <w:top w:val="single" w:sz="4" w:space="0" w:color="FFE599"/>
          <w:left w:val="single" w:sz="4" w:space="0" w:color="FFE599"/>
          <w:bottom w:val="single" w:sz="4" w:space="0" w:color="FFE599"/>
          <w:right w:val="single" w:sz="4" w:space="0" w:color="FFE599"/>
        </w:tblBorders>
        <w:tblLook w:val="00A0" w:firstRow="1" w:lastRow="0" w:firstColumn="1" w:lastColumn="0" w:noHBand="0" w:noVBand="0"/>
      </w:tblPr>
      <w:tblGrid>
        <w:gridCol w:w="969"/>
        <w:gridCol w:w="1098"/>
        <w:gridCol w:w="151"/>
        <w:gridCol w:w="48"/>
        <w:gridCol w:w="1043"/>
        <w:gridCol w:w="127"/>
        <w:gridCol w:w="1245"/>
        <w:gridCol w:w="682"/>
        <w:gridCol w:w="142"/>
        <w:gridCol w:w="247"/>
        <w:gridCol w:w="424"/>
        <w:gridCol w:w="370"/>
        <w:gridCol w:w="1702"/>
        <w:gridCol w:w="1247"/>
      </w:tblGrid>
      <w:tr w:rsidR="00B171AE" w:rsidRPr="00760780" w14:paraId="20911A1A" w14:textId="77777777" w:rsidTr="00AC3663">
        <w:tc>
          <w:tcPr>
            <w:tcW w:w="982" w:type="dxa"/>
            <w:tcBorders>
              <w:top w:val="single" w:sz="4" w:space="0" w:color="FFE599"/>
            </w:tcBorders>
            <w:vAlign w:val="center"/>
          </w:tcPr>
          <w:p w14:paraId="39FC5167" w14:textId="77777777" w:rsidR="00B171AE" w:rsidRPr="00760780" w:rsidRDefault="00B171AE" w:rsidP="00AC3663">
            <w:pPr>
              <w:rPr>
                <w:b/>
                <w:color w:val="AC8300"/>
                <w:sz w:val="20"/>
                <w:lang w:val="en-GB"/>
              </w:rPr>
            </w:pPr>
          </w:p>
        </w:tc>
        <w:tc>
          <w:tcPr>
            <w:tcW w:w="2278" w:type="dxa"/>
            <w:gridSpan w:val="4"/>
            <w:tcBorders>
              <w:top w:val="single" w:sz="4" w:space="0" w:color="FFE599"/>
            </w:tcBorders>
            <w:vAlign w:val="center"/>
          </w:tcPr>
          <w:p w14:paraId="1FCBA70D" w14:textId="77777777" w:rsidR="00B171AE" w:rsidRPr="009E5748" w:rsidRDefault="00B171AE" w:rsidP="00B171AE">
            <w:pPr>
              <w:jc w:val="right"/>
              <w:rPr>
                <w:color w:val="AC8300"/>
                <w:sz w:val="72"/>
                <w:szCs w:val="72"/>
                <w:lang w:val="en-GB"/>
              </w:rPr>
            </w:pPr>
            <w:r w:rsidRPr="009E5748">
              <w:rPr>
                <w:b/>
                <w:color w:val="AC8300"/>
                <w:sz w:val="72"/>
                <w:szCs w:val="72"/>
                <w:lang w:val="en-GB"/>
              </w:rPr>
              <w:t>5</w:t>
            </w:r>
          </w:p>
        </w:tc>
        <w:tc>
          <w:tcPr>
            <w:tcW w:w="2158" w:type="dxa"/>
            <w:gridSpan w:val="3"/>
            <w:tcBorders>
              <w:top w:val="single" w:sz="4" w:space="0" w:color="FFE599"/>
            </w:tcBorders>
            <w:vAlign w:val="center"/>
          </w:tcPr>
          <w:p w14:paraId="62D44DE6" w14:textId="77777777" w:rsidR="00B171AE" w:rsidRPr="00760780" w:rsidRDefault="00B171AE" w:rsidP="00AC3663">
            <w:pPr>
              <w:rPr>
                <w:sz w:val="20"/>
                <w:lang w:val="en-GB"/>
              </w:rPr>
            </w:pPr>
            <w:r w:rsidRPr="00760780">
              <w:rPr>
                <w:sz w:val="20"/>
                <w:lang w:val="en-GB"/>
              </w:rPr>
              <w:t>thematic areas</w:t>
            </w:r>
          </w:p>
        </w:tc>
        <w:tc>
          <w:tcPr>
            <w:tcW w:w="1288" w:type="dxa"/>
            <w:gridSpan w:val="4"/>
            <w:tcBorders>
              <w:top w:val="single" w:sz="4" w:space="0" w:color="FFE599"/>
            </w:tcBorders>
            <w:vAlign w:val="center"/>
          </w:tcPr>
          <w:p w14:paraId="05BD68E5" w14:textId="77777777" w:rsidR="00B171AE" w:rsidRPr="009E5748" w:rsidRDefault="00B171AE" w:rsidP="00AC3663">
            <w:pPr>
              <w:rPr>
                <w:b/>
                <w:color w:val="AC8300"/>
                <w:sz w:val="72"/>
                <w:szCs w:val="72"/>
                <w:lang w:val="en-GB"/>
              </w:rPr>
            </w:pPr>
            <w:r w:rsidRPr="009E5748">
              <w:rPr>
                <w:b/>
                <w:color w:val="AC8300"/>
                <w:sz w:val="72"/>
                <w:szCs w:val="72"/>
                <w:lang w:val="en-GB"/>
              </w:rPr>
              <w:t>16</w:t>
            </w:r>
          </w:p>
        </w:tc>
        <w:tc>
          <w:tcPr>
            <w:tcW w:w="1442" w:type="dxa"/>
            <w:tcBorders>
              <w:top w:val="single" w:sz="4" w:space="0" w:color="FFE599"/>
            </w:tcBorders>
            <w:vAlign w:val="center"/>
          </w:tcPr>
          <w:p w14:paraId="4E6DC1BA" w14:textId="77777777" w:rsidR="00B171AE" w:rsidRPr="00760780" w:rsidRDefault="00B171AE" w:rsidP="00AC3663">
            <w:pPr>
              <w:rPr>
                <w:b/>
                <w:color w:val="AC8300"/>
                <w:sz w:val="20"/>
                <w:lang w:val="en-GB"/>
              </w:rPr>
            </w:pPr>
            <w:r w:rsidRPr="00760780">
              <w:rPr>
                <w:sz w:val="20"/>
                <w:lang w:val="en-GB"/>
              </w:rPr>
              <w:t>research problems</w:t>
            </w:r>
          </w:p>
        </w:tc>
        <w:tc>
          <w:tcPr>
            <w:tcW w:w="1347" w:type="dxa"/>
            <w:tcBorders>
              <w:top w:val="single" w:sz="4" w:space="0" w:color="FFE599"/>
            </w:tcBorders>
            <w:vAlign w:val="center"/>
          </w:tcPr>
          <w:p w14:paraId="63ADE0AC" w14:textId="77777777" w:rsidR="00B171AE" w:rsidRPr="00760780" w:rsidRDefault="00B171AE" w:rsidP="00AC3663">
            <w:pPr>
              <w:rPr>
                <w:color w:val="AC8300"/>
                <w:sz w:val="20"/>
                <w:lang w:val="en-GB"/>
              </w:rPr>
            </w:pPr>
          </w:p>
        </w:tc>
      </w:tr>
      <w:tr w:rsidR="00B171AE" w:rsidRPr="00760780" w14:paraId="05354F69" w14:textId="77777777" w:rsidTr="00AC3663">
        <w:tc>
          <w:tcPr>
            <w:tcW w:w="982" w:type="dxa"/>
            <w:vAlign w:val="center"/>
          </w:tcPr>
          <w:p w14:paraId="79A31555" w14:textId="77777777" w:rsidR="00B171AE" w:rsidRPr="009E5748" w:rsidRDefault="00B171AE" w:rsidP="00B171AE">
            <w:pPr>
              <w:jc w:val="right"/>
              <w:rPr>
                <w:color w:val="AC8300"/>
                <w:sz w:val="72"/>
                <w:szCs w:val="72"/>
                <w:lang w:val="en-GB"/>
              </w:rPr>
            </w:pPr>
            <w:r w:rsidRPr="009E5748">
              <w:rPr>
                <w:b/>
                <w:color w:val="AC8300"/>
                <w:sz w:val="72"/>
                <w:szCs w:val="72"/>
                <w:lang w:val="en-GB"/>
              </w:rPr>
              <w:t>8</w:t>
            </w:r>
          </w:p>
        </w:tc>
        <w:tc>
          <w:tcPr>
            <w:tcW w:w="2278" w:type="dxa"/>
            <w:gridSpan w:val="4"/>
            <w:vAlign w:val="center"/>
          </w:tcPr>
          <w:p w14:paraId="00765F6F" w14:textId="77777777" w:rsidR="00B171AE" w:rsidRPr="00760780" w:rsidRDefault="00B171AE" w:rsidP="00AC3663">
            <w:pPr>
              <w:rPr>
                <w:b/>
                <w:color w:val="AC8300"/>
                <w:sz w:val="20"/>
                <w:lang w:val="en-GB"/>
              </w:rPr>
            </w:pPr>
            <w:r>
              <w:rPr>
                <w:sz w:val="20"/>
                <w:lang w:val="en-GB"/>
              </w:rPr>
              <w:t>s</w:t>
            </w:r>
            <w:r w:rsidRPr="00760780">
              <w:rPr>
                <w:sz w:val="20"/>
                <w:lang w:val="en-GB"/>
              </w:rPr>
              <w:t xml:space="preserve">trategic documents </w:t>
            </w:r>
          </w:p>
        </w:tc>
        <w:tc>
          <w:tcPr>
            <w:tcW w:w="2158" w:type="dxa"/>
            <w:gridSpan w:val="3"/>
            <w:vAlign w:val="center"/>
          </w:tcPr>
          <w:p w14:paraId="5837DB0C" w14:textId="77777777" w:rsidR="00B171AE" w:rsidRPr="009E5748" w:rsidRDefault="00B171AE" w:rsidP="00B171AE">
            <w:pPr>
              <w:jc w:val="right"/>
              <w:rPr>
                <w:sz w:val="72"/>
                <w:szCs w:val="72"/>
                <w:lang w:val="en-GB"/>
              </w:rPr>
            </w:pPr>
            <w:r w:rsidRPr="009E5748">
              <w:rPr>
                <w:b/>
                <w:color w:val="AC8300"/>
                <w:sz w:val="72"/>
                <w:szCs w:val="72"/>
                <w:lang w:val="en-GB"/>
              </w:rPr>
              <w:t>30</w:t>
            </w:r>
          </w:p>
        </w:tc>
        <w:tc>
          <w:tcPr>
            <w:tcW w:w="1288" w:type="dxa"/>
            <w:gridSpan w:val="4"/>
            <w:vAlign w:val="center"/>
          </w:tcPr>
          <w:p w14:paraId="71DB3E43" w14:textId="77777777" w:rsidR="00B171AE" w:rsidRPr="00760780" w:rsidRDefault="00B171AE" w:rsidP="00AC3663">
            <w:pPr>
              <w:rPr>
                <w:b/>
                <w:color w:val="AC8300"/>
                <w:sz w:val="20"/>
                <w:lang w:val="en-GB"/>
              </w:rPr>
            </w:pPr>
            <w:r w:rsidRPr="00760780">
              <w:rPr>
                <w:sz w:val="20"/>
                <w:lang w:val="en-GB"/>
              </w:rPr>
              <w:t>programs</w:t>
            </w:r>
          </w:p>
        </w:tc>
        <w:tc>
          <w:tcPr>
            <w:tcW w:w="1442" w:type="dxa"/>
            <w:vAlign w:val="center"/>
          </w:tcPr>
          <w:p w14:paraId="02F09305" w14:textId="77777777" w:rsidR="00B171AE" w:rsidRPr="009E5748" w:rsidRDefault="00B171AE" w:rsidP="00B171AE">
            <w:pPr>
              <w:jc w:val="right"/>
              <w:rPr>
                <w:sz w:val="72"/>
                <w:szCs w:val="72"/>
                <w:lang w:val="en-GB"/>
              </w:rPr>
            </w:pPr>
            <w:r w:rsidRPr="009E5748">
              <w:rPr>
                <w:b/>
                <w:color w:val="AC8300"/>
                <w:sz w:val="72"/>
                <w:szCs w:val="72"/>
                <w:lang w:val="en-GB"/>
              </w:rPr>
              <w:t>7</w:t>
            </w:r>
          </w:p>
        </w:tc>
        <w:tc>
          <w:tcPr>
            <w:tcW w:w="1347" w:type="dxa"/>
            <w:vAlign w:val="center"/>
          </w:tcPr>
          <w:p w14:paraId="6244D1E6" w14:textId="77777777" w:rsidR="00B171AE" w:rsidRPr="00760780" w:rsidRDefault="00B171AE" w:rsidP="00AC3663">
            <w:pPr>
              <w:rPr>
                <w:color w:val="AC8300"/>
                <w:sz w:val="20"/>
                <w:lang w:val="en-GB"/>
              </w:rPr>
            </w:pPr>
            <w:r w:rsidRPr="00760780">
              <w:rPr>
                <w:sz w:val="20"/>
                <w:lang w:val="en-GB"/>
              </w:rPr>
              <w:t>plans</w:t>
            </w:r>
          </w:p>
        </w:tc>
      </w:tr>
      <w:tr w:rsidR="00B171AE" w:rsidRPr="002E626A" w14:paraId="4D39CF73" w14:textId="77777777" w:rsidTr="00AC3663">
        <w:tc>
          <w:tcPr>
            <w:tcW w:w="982" w:type="dxa"/>
            <w:vAlign w:val="center"/>
          </w:tcPr>
          <w:p w14:paraId="69341402" w14:textId="77777777" w:rsidR="00B171AE" w:rsidRPr="00760780" w:rsidRDefault="00B171AE" w:rsidP="00AC3663">
            <w:pPr>
              <w:rPr>
                <w:color w:val="AC8300"/>
                <w:sz w:val="20"/>
                <w:lang w:val="en-GB"/>
              </w:rPr>
            </w:pPr>
          </w:p>
        </w:tc>
        <w:tc>
          <w:tcPr>
            <w:tcW w:w="1202" w:type="dxa"/>
            <w:gridSpan w:val="3"/>
            <w:vAlign w:val="center"/>
          </w:tcPr>
          <w:p w14:paraId="0DF078A8" w14:textId="77777777" w:rsidR="00B171AE" w:rsidRPr="009E5748" w:rsidRDefault="00B171AE" w:rsidP="00B171AE">
            <w:pPr>
              <w:jc w:val="right"/>
              <w:rPr>
                <w:b/>
                <w:color w:val="AC8300"/>
                <w:sz w:val="72"/>
                <w:szCs w:val="72"/>
                <w:lang w:val="en-GB"/>
              </w:rPr>
            </w:pPr>
            <w:r w:rsidRPr="009E5748">
              <w:rPr>
                <w:b/>
                <w:color w:val="AC8300"/>
                <w:sz w:val="72"/>
                <w:szCs w:val="72"/>
                <w:lang w:val="en-GB"/>
              </w:rPr>
              <w:t>40</w:t>
            </w:r>
          </w:p>
        </w:tc>
        <w:tc>
          <w:tcPr>
            <w:tcW w:w="2482" w:type="dxa"/>
            <w:gridSpan w:val="3"/>
            <w:vAlign w:val="center"/>
          </w:tcPr>
          <w:p w14:paraId="5D517608" w14:textId="77777777" w:rsidR="00B171AE" w:rsidRPr="00760780" w:rsidRDefault="00B171AE" w:rsidP="00B171AE">
            <w:pPr>
              <w:jc w:val="left"/>
              <w:rPr>
                <w:sz w:val="20"/>
                <w:lang w:val="en-GB"/>
              </w:rPr>
            </w:pPr>
            <w:r w:rsidRPr="00760780">
              <w:rPr>
                <w:sz w:val="20"/>
                <w:lang w:val="en-GB"/>
              </w:rPr>
              <w:t>individual interviews with the Voivodship Self-government employees</w:t>
            </w:r>
          </w:p>
        </w:tc>
        <w:tc>
          <w:tcPr>
            <w:tcW w:w="1141" w:type="dxa"/>
            <w:gridSpan w:val="3"/>
            <w:vAlign w:val="center"/>
          </w:tcPr>
          <w:p w14:paraId="192A092B" w14:textId="77777777" w:rsidR="00B171AE" w:rsidRPr="009E5748" w:rsidRDefault="00B171AE" w:rsidP="00AC3663">
            <w:pPr>
              <w:rPr>
                <w:b/>
                <w:color w:val="AC8300"/>
                <w:sz w:val="72"/>
                <w:szCs w:val="72"/>
                <w:lang w:val="en-GB"/>
              </w:rPr>
            </w:pPr>
            <w:r w:rsidRPr="009E5748">
              <w:rPr>
                <w:b/>
                <w:color w:val="AC8300"/>
                <w:sz w:val="72"/>
                <w:szCs w:val="72"/>
                <w:lang w:val="en-GB"/>
              </w:rPr>
              <w:t>13</w:t>
            </w:r>
          </w:p>
        </w:tc>
        <w:tc>
          <w:tcPr>
            <w:tcW w:w="3688" w:type="dxa"/>
            <w:gridSpan w:val="4"/>
            <w:vAlign w:val="center"/>
          </w:tcPr>
          <w:p w14:paraId="7CAE7E8D" w14:textId="77777777" w:rsidR="00B171AE" w:rsidRPr="00760780" w:rsidRDefault="00B171AE" w:rsidP="00B171AE">
            <w:pPr>
              <w:jc w:val="left"/>
              <w:rPr>
                <w:color w:val="AC8300"/>
                <w:sz w:val="20"/>
                <w:lang w:val="en-GB"/>
              </w:rPr>
            </w:pPr>
            <w:r w:rsidRPr="00760780">
              <w:rPr>
                <w:sz w:val="20"/>
                <w:lang w:val="en-GB"/>
              </w:rPr>
              <w:t>individual in-depth interviews with experts from various areas</w:t>
            </w:r>
          </w:p>
        </w:tc>
      </w:tr>
      <w:tr w:rsidR="00B171AE" w:rsidRPr="002E626A" w14:paraId="6117651B" w14:textId="77777777" w:rsidTr="00AC3663">
        <w:tc>
          <w:tcPr>
            <w:tcW w:w="982" w:type="dxa"/>
            <w:vAlign w:val="center"/>
          </w:tcPr>
          <w:p w14:paraId="3DD83BBB" w14:textId="77777777" w:rsidR="00B171AE" w:rsidRPr="009E5748" w:rsidRDefault="00B171AE" w:rsidP="00B171AE">
            <w:pPr>
              <w:jc w:val="right"/>
              <w:rPr>
                <w:color w:val="AC8300"/>
                <w:sz w:val="72"/>
                <w:szCs w:val="72"/>
                <w:lang w:val="en-GB"/>
              </w:rPr>
            </w:pPr>
            <w:r w:rsidRPr="009E5748">
              <w:rPr>
                <w:b/>
                <w:color w:val="AC8300"/>
                <w:sz w:val="72"/>
                <w:szCs w:val="72"/>
                <w:lang w:val="en-GB"/>
              </w:rPr>
              <w:t>2</w:t>
            </w:r>
          </w:p>
        </w:tc>
        <w:tc>
          <w:tcPr>
            <w:tcW w:w="1003" w:type="dxa"/>
            <w:vAlign w:val="center"/>
          </w:tcPr>
          <w:p w14:paraId="2B783D51" w14:textId="77777777" w:rsidR="00B171AE" w:rsidRPr="00760780" w:rsidRDefault="00B171AE" w:rsidP="00AC3663">
            <w:pPr>
              <w:rPr>
                <w:sz w:val="20"/>
                <w:lang w:val="en-GB"/>
              </w:rPr>
            </w:pPr>
            <w:r w:rsidRPr="00760780">
              <w:rPr>
                <w:sz w:val="20"/>
                <w:lang w:val="en-GB"/>
              </w:rPr>
              <w:t>workshops</w:t>
            </w:r>
          </w:p>
        </w:tc>
        <w:tc>
          <w:tcPr>
            <w:tcW w:w="1402" w:type="dxa"/>
            <w:gridSpan w:val="4"/>
            <w:vAlign w:val="center"/>
          </w:tcPr>
          <w:p w14:paraId="3ED511BC" w14:textId="77777777" w:rsidR="00B171AE" w:rsidRPr="009E5748" w:rsidRDefault="00B171AE" w:rsidP="00AC3663">
            <w:pPr>
              <w:rPr>
                <w:b/>
                <w:color w:val="AC8300"/>
                <w:sz w:val="72"/>
                <w:szCs w:val="72"/>
                <w:lang w:val="en-GB"/>
              </w:rPr>
            </w:pPr>
            <w:r w:rsidRPr="009E5748">
              <w:rPr>
                <w:b/>
                <w:color w:val="AC8300"/>
                <w:sz w:val="72"/>
                <w:szCs w:val="72"/>
                <w:lang w:val="en-GB"/>
              </w:rPr>
              <w:t>113</w:t>
            </w:r>
          </w:p>
        </w:tc>
        <w:tc>
          <w:tcPr>
            <w:tcW w:w="2173" w:type="dxa"/>
            <w:gridSpan w:val="3"/>
            <w:vAlign w:val="center"/>
          </w:tcPr>
          <w:p w14:paraId="0F1633D0" w14:textId="77777777" w:rsidR="00B171AE" w:rsidRPr="00760780" w:rsidRDefault="00B171AE" w:rsidP="00AC3663">
            <w:pPr>
              <w:rPr>
                <w:sz w:val="20"/>
                <w:lang w:val="en-GB"/>
              </w:rPr>
            </w:pPr>
            <w:r w:rsidRPr="00760780">
              <w:rPr>
                <w:sz w:val="20"/>
                <w:lang w:val="en-GB"/>
              </w:rPr>
              <w:t>papers and documents analyzed</w:t>
            </w:r>
          </w:p>
        </w:tc>
        <w:tc>
          <w:tcPr>
            <w:tcW w:w="709" w:type="dxa"/>
            <w:gridSpan w:val="2"/>
            <w:vAlign w:val="center"/>
          </w:tcPr>
          <w:p w14:paraId="61CE7639" w14:textId="77777777" w:rsidR="00B171AE" w:rsidRPr="009E5748" w:rsidRDefault="00B171AE" w:rsidP="00AC3663">
            <w:pPr>
              <w:rPr>
                <w:sz w:val="72"/>
                <w:szCs w:val="72"/>
                <w:lang w:val="en-GB"/>
              </w:rPr>
            </w:pPr>
            <w:r w:rsidRPr="009E5748">
              <w:rPr>
                <w:b/>
                <w:color w:val="AC8300"/>
                <w:sz w:val="72"/>
                <w:szCs w:val="72"/>
                <w:lang w:val="en-GB"/>
              </w:rPr>
              <w:t>6</w:t>
            </w:r>
          </w:p>
        </w:tc>
        <w:tc>
          <w:tcPr>
            <w:tcW w:w="3226" w:type="dxa"/>
            <w:gridSpan w:val="3"/>
            <w:vAlign w:val="center"/>
          </w:tcPr>
          <w:p w14:paraId="489A435F" w14:textId="77777777" w:rsidR="00B171AE" w:rsidRPr="00760780" w:rsidRDefault="00B171AE" w:rsidP="00B171AE">
            <w:pPr>
              <w:jc w:val="left"/>
              <w:rPr>
                <w:sz w:val="20"/>
                <w:lang w:val="en-GB"/>
              </w:rPr>
            </w:pPr>
            <w:r w:rsidRPr="00760780">
              <w:rPr>
                <w:sz w:val="20"/>
                <w:lang w:val="en-GB"/>
              </w:rPr>
              <w:t>individual interviews with the employees of local governments  covered by ITIs and Territorial Mandates</w:t>
            </w:r>
          </w:p>
        </w:tc>
      </w:tr>
      <w:tr w:rsidR="00B171AE" w:rsidRPr="002E626A" w14:paraId="54D024EA" w14:textId="77777777" w:rsidTr="00AC3663">
        <w:tc>
          <w:tcPr>
            <w:tcW w:w="982" w:type="dxa"/>
            <w:vAlign w:val="center"/>
          </w:tcPr>
          <w:p w14:paraId="598EB597" w14:textId="77777777" w:rsidR="00B171AE" w:rsidRPr="00760780" w:rsidRDefault="00B171AE" w:rsidP="00AC3663">
            <w:pPr>
              <w:rPr>
                <w:color w:val="AC8300"/>
                <w:sz w:val="20"/>
                <w:lang w:val="en-GB"/>
              </w:rPr>
            </w:pPr>
          </w:p>
        </w:tc>
        <w:tc>
          <w:tcPr>
            <w:tcW w:w="1154" w:type="dxa"/>
            <w:gridSpan w:val="2"/>
            <w:vAlign w:val="center"/>
          </w:tcPr>
          <w:p w14:paraId="52D95A90" w14:textId="77777777" w:rsidR="00B171AE" w:rsidRPr="009E5748" w:rsidRDefault="00B171AE" w:rsidP="00B171AE">
            <w:pPr>
              <w:jc w:val="right"/>
              <w:rPr>
                <w:b/>
                <w:color w:val="AC8300"/>
                <w:sz w:val="72"/>
                <w:szCs w:val="72"/>
                <w:lang w:val="en-GB"/>
              </w:rPr>
            </w:pPr>
            <w:r w:rsidRPr="009E5748">
              <w:rPr>
                <w:b/>
                <w:color w:val="AC8300"/>
                <w:sz w:val="72"/>
                <w:szCs w:val="72"/>
                <w:lang w:val="en-GB"/>
              </w:rPr>
              <w:t>6</w:t>
            </w:r>
          </w:p>
        </w:tc>
        <w:tc>
          <w:tcPr>
            <w:tcW w:w="3282" w:type="dxa"/>
            <w:gridSpan w:val="5"/>
            <w:vAlign w:val="center"/>
          </w:tcPr>
          <w:p w14:paraId="7774380D" w14:textId="77777777" w:rsidR="00B171AE" w:rsidRPr="001241AA" w:rsidRDefault="00B171AE" w:rsidP="00B171AE">
            <w:pPr>
              <w:jc w:val="left"/>
              <w:rPr>
                <w:sz w:val="20"/>
                <w:lang w:val="en-GB"/>
              </w:rPr>
            </w:pPr>
            <w:r>
              <w:rPr>
                <w:sz w:val="20"/>
                <w:lang w:val="en-GB"/>
              </w:rPr>
              <w:t>Voivodship Self-</w:t>
            </w:r>
            <w:r w:rsidRPr="001241AA">
              <w:rPr>
                <w:sz w:val="20"/>
                <w:lang w:val="en-GB"/>
              </w:rPr>
              <w:t>governments analyzed in case studies</w:t>
            </w:r>
          </w:p>
        </w:tc>
        <w:tc>
          <w:tcPr>
            <w:tcW w:w="1288" w:type="dxa"/>
            <w:gridSpan w:val="4"/>
            <w:vAlign w:val="center"/>
          </w:tcPr>
          <w:p w14:paraId="40974096" w14:textId="77777777" w:rsidR="00B171AE" w:rsidRPr="009E5748" w:rsidRDefault="00B171AE" w:rsidP="00B171AE">
            <w:pPr>
              <w:jc w:val="right"/>
              <w:rPr>
                <w:color w:val="AC8300"/>
                <w:sz w:val="72"/>
                <w:szCs w:val="72"/>
                <w:lang w:val="en-GB"/>
              </w:rPr>
            </w:pPr>
            <w:r w:rsidRPr="009E5748">
              <w:rPr>
                <w:b/>
                <w:color w:val="AC8300"/>
                <w:sz w:val="72"/>
                <w:szCs w:val="72"/>
                <w:lang w:val="en-GB"/>
              </w:rPr>
              <w:t>10</w:t>
            </w:r>
          </w:p>
        </w:tc>
        <w:tc>
          <w:tcPr>
            <w:tcW w:w="2789" w:type="dxa"/>
            <w:gridSpan w:val="2"/>
            <w:vAlign w:val="center"/>
          </w:tcPr>
          <w:p w14:paraId="059589B2" w14:textId="77777777" w:rsidR="00B171AE" w:rsidRPr="009E5748" w:rsidRDefault="00B171AE" w:rsidP="00B171AE">
            <w:pPr>
              <w:jc w:val="left"/>
              <w:rPr>
                <w:sz w:val="20"/>
                <w:lang w:val="en-GB"/>
              </w:rPr>
            </w:pPr>
            <w:r w:rsidRPr="009E5748">
              <w:rPr>
                <w:sz w:val="20"/>
                <w:lang w:val="en-GB"/>
              </w:rPr>
              <w:t>marshals sharing their vision of strategic planning</w:t>
            </w:r>
          </w:p>
        </w:tc>
      </w:tr>
      <w:tr w:rsidR="00B171AE" w:rsidRPr="001241AA" w14:paraId="7F4A4E96" w14:textId="77777777" w:rsidTr="00AC3663">
        <w:tc>
          <w:tcPr>
            <w:tcW w:w="982" w:type="dxa"/>
            <w:vAlign w:val="center"/>
          </w:tcPr>
          <w:p w14:paraId="50250823" w14:textId="77777777" w:rsidR="00B171AE" w:rsidRPr="001241AA" w:rsidRDefault="00B171AE" w:rsidP="00AC3663">
            <w:pPr>
              <w:rPr>
                <w:color w:val="AC8300"/>
                <w:sz w:val="96"/>
                <w:szCs w:val="96"/>
                <w:lang w:val="en-GB"/>
              </w:rPr>
            </w:pPr>
            <w:r w:rsidRPr="001241AA">
              <w:rPr>
                <w:b/>
                <w:color w:val="AC8300"/>
                <w:sz w:val="72"/>
                <w:szCs w:val="72"/>
                <w:lang w:val="en-GB"/>
              </w:rPr>
              <w:t>28</w:t>
            </w:r>
          </w:p>
        </w:tc>
        <w:tc>
          <w:tcPr>
            <w:tcW w:w="2278" w:type="dxa"/>
            <w:gridSpan w:val="4"/>
            <w:vAlign w:val="center"/>
          </w:tcPr>
          <w:p w14:paraId="37B60C78" w14:textId="77777777" w:rsidR="00B171AE" w:rsidRPr="001241AA" w:rsidRDefault="00B171AE" w:rsidP="00B171AE">
            <w:pPr>
              <w:jc w:val="left"/>
              <w:rPr>
                <w:sz w:val="20"/>
                <w:lang w:val="en-GB"/>
              </w:rPr>
            </w:pPr>
            <w:r w:rsidRPr="001241AA">
              <w:rPr>
                <w:sz w:val="20"/>
                <w:lang w:val="en-GB"/>
              </w:rPr>
              <w:t>surveys from the executive level</w:t>
            </w:r>
          </w:p>
        </w:tc>
        <w:tc>
          <w:tcPr>
            <w:tcW w:w="1406" w:type="dxa"/>
            <w:gridSpan w:val="2"/>
            <w:vAlign w:val="center"/>
          </w:tcPr>
          <w:p w14:paraId="5E0924B2" w14:textId="77777777" w:rsidR="00B171AE" w:rsidRPr="009E5748" w:rsidRDefault="00B171AE" w:rsidP="00B171AE">
            <w:pPr>
              <w:jc w:val="right"/>
              <w:rPr>
                <w:b/>
                <w:color w:val="AC8300"/>
                <w:sz w:val="72"/>
                <w:szCs w:val="72"/>
                <w:lang w:val="en-GB"/>
              </w:rPr>
            </w:pPr>
            <w:r w:rsidRPr="009E5748">
              <w:rPr>
                <w:b/>
                <w:color w:val="AC8300"/>
                <w:sz w:val="72"/>
                <w:szCs w:val="72"/>
                <w:lang w:val="en-GB"/>
              </w:rPr>
              <w:t>198</w:t>
            </w:r>
          </w:p>
        </w:tc>
        <w:tc>
          <w:tcPr>
            <w:tcW w:w="2040" w:type="dxa"/>
            <w:gridSpan w:val="5"/>
            <w:vAlign w:val="center"/>
          </w:tcPr>
          <w:p w14:paraId="1FD196FC" w14:textId="76D86DF0" w:rsidR="00B171AE" w:rsidRPr="001241AA" w:rsidRDefault="00B171AE" w:rsidP="00B171AE">
            <w:pPr>
              <w:jc w:val="left"/>
              <w:rPr>
                <w:color w:val="AC8300"/>
                <w:sz w:val="20"/>
                <w:lang w:val="en-GB"/>
              </w:rPr>
            </w:pPr>
            <w:r w:rsidRPr="001241AA">
              <w:rPr>
                <w:sz w:val="20"/>
                <w:lang w:val="en-GB"/>
              </w:rPr>
              <w:t xml:space="preserve">analysed SWOT items </w:t>
            </w:r>
          </w:p>
        </w:tc>
        <w:tc>
          <w:tcPr>
            <w:tcW w:w="1442" w:type="dxa"/>
            <w:vAlign w:val="center"/>
          </w:tcPr>
          <w:p w14:paraId="4699FE9D" w14:textId="77777777" w:rsidR="00B171AE" w:rsidRPr="009E5748" w:rsidRDefault="00B171AE" w:rsidP="00B171AE">
            <w:pPr>
              <w:jc w:val="right"/>
              <w:rPr>
                <w:b/>
                <w:color w:val="AC8300"/>
                <w:sz w:val="72"/>
                <w:szCs w:val="72"/>
                <w:lang w:val="en-GB"/>
              </w:rPr>
            </w:pPr>
            <w:r w:rsidRPr="009E5748">
              <w:rPr>
                <w:b/>
                <w:color w:val="AC8300"/>
                <w:sz w:val="72"/>
                <w:szCs w:val="72"/>
                <w:lang w:val="en-GB"/>
              </w:rPr>
              <w:t>11</w:t>
            </w:r>
          </w:p>
        </w:tc>
        <w:tc>
          <w:tcPr>
            <w:tcW w:w="1347" w:type="dxa"/>
            <w:vAlign w:val="center"/>
          </w:tcPr>
          <w:p w14:paraId="1CC9A84D" w14:textId="77777777" w:rsidR="00B171AE" w:rsidRPr="001241AA" w:rsidRDefault="00B171AE" w:rsidP="00B171AE">
            <w:pPr>
              <w:jc w:val="left"/>
              <w:rPr>
                <w:color w:val="AC8300"/>
                <w:sz w:val="20"/>
                <w:lang w:val="en-GB"/>
              </w:rPr>
            </w:pPr>
            <w:r>
              <w:rPr>
                <w:sz w:val="20"/>
                <w:lang w:val="en-GB"/>
              </w:rPr>
              <w:t>E</w:t>
            </w:r>
            <w:r w:rsidRPr="001241AA">
              <w:rPr>
                <w:sz w:val="20"/>
                <w:lang w:val="en-GB"/>
              </w:rPr>
              <w:t>valuators</w:t>
            </w:r>
          </w:p>
        </w:tc>
      </w:tr>
      <w:tr w:rsidR="00B171AE" w:rsidRPr="001241AA" w14:paraId="206EC576" w14:textId="77777777" w:rsidTr="00AC3663">
        <w:tc>
          <w:tcPr>
            <w:tcW w:w="982" w:type="dxa"/>
            <w:tcBorders>
              <w:bottom w:val="single" w:sz="4" w:space="0" w:color="FFE599"/>
            </w:tcBorders>
            <w:vAlign w:val="center"/>
          </w:tcPr>
          <w:p w14:paraId="60B5CEAB" w14:textId="77777777" w:rsidR="00B171AE" w:rsidRPr="001241AA" w:rsidRDefault="00B171AE" w:rsidP="00AC3663">
            <w:pPr>
              <w:rPr>
                <w:color w:val="AC8300"/>
                <w:sz w:val="20"/>
                <w:lang w:val="en-GB"/>
              </w:rPr>
            </w:pPr>
          </w:p>
        </w:tc>
        <w:tc>
          <w:tcPr>
            <w:tcW w:w="2278" w:type="dxa"/>
            <w:gridSpan w:val="4"/>
            <w:tcBorders>
              <w:bottom w:val="single" w:sz="4" w:space="0" w:color="FFE599"/>
            </w:tcBorders>
            <w:vAlign w:val="center"/>
          </w:tcPr>
          <w:p w14:paraId="39C671D4" w14:textId="77777777" w:rsidR="00B171AE" w:rsidRPr="009E5748" w:rsidRDefault="00B171AE" w:rsidP="00B171AE">
            <w:pPr>
              <w:jc w:val="right"/>
              <w:rPr>
                <w:color w:val="AC8300"/>
                <w:sz w:val="72"/>
                <w:szCs w:val="72"/>
                <w:lang w:val="en-GB"/>
              </w:rPr>
            </w:pPr>
            <w:r w:rsidRPr="009E5748">
              <w:rPr>
                <w:b/>
                <w:color w:val="AC8300"/>
                <w:sz w:val="72"/>
                <w:szCs w:val="72"/>
                <w:lang w:val="en-GB"/>
              </w:rPr>
              <w:t>110</w:t>
            </w:r>
          </w:p>
        </w:tc>
        <w:tc>
          <w:tcPr>
            <w:tcW w:w="2158" w:type="dxa"/>
            <w:gridSpan w:val="3"/>
            <w:tcBorders>
              <w:bottom w:val="single" w:sz="4" w:space="0" w:color="FFE599"/>
            </w:tcBorders>
            <w:vAlign w:val="center"/>
          </w:tcPr>
          <w:p w14:paraId="0D09A796" w14:textId="030D7898" w:rsidR="00B171AE" w:rsidRPr="001241AA" w:rsidRDefault="00B171AE" w:rsidP="00B171AE">
            <w:pPr>
              <w:jc w:val="left"/>
              <w:rPr>
                <w:sz w:val="20"/>
                <w:lang w:val="en-GB"/>
              </w:rPr>
            </w:pPr>
            <w:r w:rsidRPr="001241AA">
              <w:rPr>
                <w:sz w:val="20"/>
                <w:lang w:val="en-GB"/>
              </w:rPr>
              <w:t>pages of the Evaluation main text</w:t>
            </w:r>
          </w:p>
        </w:tc>
        <w:tc>
          <w:tcPr>
            <w:tcW w:w="1288" w:type="dxa"/>
            <w:gridSpan w:val="4"/>
            <w:tcBorders>
              <w:bottom w:val="single" w:sz="4" w:space="0" w:color="FFE599"/>
            </w:tcBorders>
            <w:vAlign w:val="center"/>
          </w:tcPr>
          <w:p w14:paraId="466EE99A" w14:textId="77777777" w:rsidR="00B171AE" w:rsidRPr="009E5748" w:rsidRDefault="00B171AE" w:rsidP="00B171AE">
            <w:pPr>
              <w:jc w:val="right"/>
              <w:rPr>
                <w:color w:val="AC8300"/>
                <w:sz w:val="72"/>
                <w:szCs w:val="72"/>
                <w:lang w:val="en-GB"/>
              </w:rPr>
            </w:pPr>
            <w:r w:rsidRPr="009E5748">
              <w:rPr>
                <w:b/>
                <w:color w:val="AC8300"/>
                <w:sz w:val="72"/>
                <w:szCs w:val="72"/>
                <w:lang w:val="en-GB"/>
              </w:rPr>
              <w:t>9</w:t>
            </w:r>
          </w:p>
        </w:tc>
        <w:tc>
          <w:tcPr>
            <w:tcW w:w="1442" w:type="dxa"/>
            <w:tcBorders>
              <w:bottom w:val="single" w:sz="4" w:space="0" w:color="FFE599"/>
            </w:tcBorders>
            <w:vAlign w:val="center"/>
          </w:tcPr>
          <w:p w14:paraId="2804970F" w14:textId="77777777" w:rsidR="00B171AE" w:rsidRPr="001241AA" w:rsidRDefault="00B171AE" w:rsidP="00B171AE">
            <w:pPr>
              <w:jc w:val="left"/>
              <w:rPr>
                <w:color w:val="AC8300"/>
                <w:sz w:val="20"/>
                <w:lang w:val="en-GB"/>
              </w:rPr>
            </w:pPr>
            <w:r w:rsidRPr="001241AA">
              <w:rPr>
                <w:sz w:val="20"/>
                <w:lang w:val="en-GB"/>
              </w:rPr>
              <w:t>strategic recommendations</w:t>
            </w:r>
          </w:p>
        </w:tc>
        <w:tc>
          <w:tcPr>
            <w:tcW w:w="1347" w:type="dxa"/>
            <w:tcBorders>
              <w:bottom w:val="single" w:sz="4" w:space="0" w:color="FFE599"/>
            </w:tcBorders>
            <w:vAlign w:val="center"/>
          </w:tcPr>
          <w:p w14:paraId="5323D352" w14:textId="77777777" w:rsidR="00B171AE" w:rsidRPr="001241AA" w:rsidRDefault="00B171AE" w:rsidP="00AC3663">
            <w:pPr>
              <w:rPr>
                <w:color w:val="AC8300"/>
                <w:sz w:val="20"/>
                <w:lang w:val="en-GB"/>
              </w:rPr>
            </w:pPr>
          </w:p>
        </w:tc>
      </w:tr>
    </w:tbl>
    <w:p w14:paraId="5499FD15" w14:textId="77777777" w:rsidR="00B171AE" w:rsidRPr="001241AA" w:rsidRDefault="00B171AE" w:rsidP="00B171AE">
      <w:pPr>
        <w:rPr>
          <w:sz w:val="16"/>
          <w:szCs w:val="16"/>
          <w:lang w:val="en-GB"/>
        </w:rPr>
      </w:pPr>
      <w:r w:rsidRPr="001241AA">
        <w:rPr>
          <w:sz w:val="16"/>
          <w:szCs w:val="16"/>
          <w:lang w:val="en-GB"/>
        </w:rPr>
        <w:t>Source</w:t>
      </w:r>
      <w:r>
        <w:rPr>
          <w:sz w:val="16"/>
          <w:szCs w:val="16"/>
          <w:lang w:val="en-GB"/>
        </w:rPr>
        <w:t>: own work</w:t>
      </w:r>
      <w:r w:rsidRPr="001241AA">
        <w:rPr>
          <w:sz w:val="16"/>
          <w:szCs w:val="16"/>
          <w:lang w:val="en-GB"/>
        </w:rPr>
        <w:t>.</w:t>
      </w:r>
    </w:p>
    <w:p w14:paraId="219476AE" w14:textId="45F6428C" w:rsidR="00B171AE" w:rsidRPr="00B171AE" w:rsidRDefault="00B171AE" w:rsidP="00B171AE">
      <w:pPr>
        <w:ind w:left="4536"/>
        <w:jc w:val="left"/>
        <w:rPr>
          <w:b/>
          <w:i/>
          <w:color w:val="001E50"/>
          <w:lang w:val="en-GB"/>
        </w:rPr>
      </w:pPr>
      <w:r w:rsidRPr="00B171AE">
        <w:rPr>
          <w:b/>
          <w:i/>
          <w:color w:val="001E50"/>
          <w:lang w:val="en-GB"/>
        </w:rPr>
        <w:t>Assessment of t</w:t>
      </w:r>
      <w:r>
        <w:rPr>
          <w:b/>
          <w:i/>
          <w:color w:val="001E50"/>
          <w:lang w:val="en-GB"/>
        </w:rPr>
        <w:t xml:space="preserve">he development paradigm adopted </w:t>
      </w:r>
      <w:r w:rsidRPr="00B171AE">
        <w:rPr>
          <w:b/>
          <w:i/>
          <w:color w:val="001E50"/>
          <w:lang w:val="en-GB"/>
        </w:rPr>
        <w:t>in the Wielkopolskie Voivodship Development Strategy</w:t>
      </w:r>
    </w:p>
    <w:p w14:paraId="4054D750" w14:textId="52432985" w:rsidR="00B171AE" w:rsidRDefault="00B171AE" w:rsidP="00B171AE">
      <w:pPr>
        <w:rPr>
          <w:szCs w:val="22"/>
          <w:lang w:val="en-GB"/>
        </w:rPr>
      </w:pPr>
      <w:r>
        <w:rPr>
          <w:noProof/>
          <w:lang w:eastAsia="pl-PL"/>
        </w:rPr>
        <w:drawing>
          <wp:anchor distT="0" distB="0" distL="114300" distR="114300" simplePos="0" relativeHeight="251658273" behindDoc="1" locked="0" layoutInCell="1" allowOverlap="1" wp14:anchorId="301B6B55" wp14:editId="2020F9A2">
            <wp:simplePos x="0" y="0"/>
            <wp:positionH relativeFrom="column">
              <wp:posOffset>27305</wp:posOffset>
            </wp:positionH>
            <wp:positionV relativeFrom="paragraph">
              <wp:posOffset>446405</wp:posOffset>
            </wp:positionV>
            <wp:extent cx="2438400" cy="2096135"/>
            <wp:effectExtent l="0" t="0" r="0" b="0"/>
            <wp:wrapTight wrapText="bothSides">
              <wp:wrapPolygon edited="0">
                <wp:start x="0" y="0"/>
                <wp:lineTo x="0" y="21397"/>
                <wp:lineTo x="21431" y="21397"/>
                <wp:lineTo x="21431" y="0"/>
                <wp:lineTo x="0" y="0"/>
              </wp:wrapPolygon>
            </wp:wrapTight>
            <wp:docPr id="286099762" name="Obraz 28609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2096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9BD">
        <w:rPr>
          <w:szCs w:val="22"/>
          <w:lang w:val="en-GB"/>
        </w:rPr>
        <w:t xml:space="preserve">The development </w:t>
      </w:r>
      <w:r>
        <w:rPr>
          <w:szCs w:val="22"/>
          <w:lang w:val="en-GB"/>
        </w:rPr>
        <w:t>paradigm</w:t>
      </w:r>
      <w:r w:rsidRPr="005D09BD">
        <w:rPr>
          <w:szCs w:val="22"/>
          <w:lang w:val="en-GB"/>
        </w:rPr>
        <w:t xml:space="preserve"> in the Wielkopolskie Voivodship Development Strategy consists of a development model, a </w:t>
      </w:r>
      <w:r>
        <w:rPr>
          <w:szCs w:val="22"/>
          <w:lang w:val="en-GB"/>
        </w:rPr>
        <w:t>d</w:t>
      </w:r>
      <w:r w:rsidRPr="005D09BD">
        <w:rPr>
          <w:szCs w:val="22"/>
          <w:lang w:val="en-GB"/>
        </w:rPr>
        <w:t>evelopment vision and a mission. The diffusive-absorptive  development model adopted in the Strategy is adequate to the voivodship's situation and also flexible from the point of view of external determinants. The model is a good response to the requirements of global competition (diffusion is associated with the spread of positive developmental impulses, mainly from growth centres). In addition, this model assumes increasing the absorption capacity of problem areas in the region. The evaluation points to num</w:t>
      </w:r>
      <w:r>
        <w:rPr>
          <w:szCs w:val="22"/>
          <w:lang w:val="en-GB"/>
        </w:rPr>
        <w:t xml:space="preserve">erous suggestions regarding </w:t>
      </w:r>
      <w:r w:rsidRPr="005D09BD">
        <w:rPr>
          <w:szCs w:val="22"/>
          <w:lang w:val="en-GB"/>
        </w:rPr>
        <w:t xml:space="preserve">discussion on the </w:t>
      </w:r>
      <w:r w:rsidRPr="005D09BD">
        <w:rPr>
          <w:szCs w:val="22"/>
          <w:lang w:val="en-GB"/>
        </w:rPr>
        <w:lastRenderedPageBreak/>
        <w:t xml:space="preserve">region’s development with the key assumption to be highlighted: the leader should identify himself with the vision of the future even if the vision is formulated in a participatory process. In addition, according to the Evaluators, the vision should be the starting </w:t>
      </w:r>
      <w:r>
        <w:rPr>
          <w:szCs w:val="22"/>
          <w:lang w:val="en-GB"/>
        </w:rPr>
        <w:t>point of the entire Strategy while</w:t>
      </w:r>
      <w:r w:rsidRPr="005D09BD">
        <w:rPr>
          <w:szCs w:val="22"/>
          <w:lang w:val="en-GB"/>
        </w:rPr>
        <w:t xml:space="preserve"> </w:t>
      </w:r>
      <w:r>
        <w:rPr>
          <w:szCs w:val="22"/>
          <w:lang w:val="en-GB"/>
        </w:rPr>
        <w:t xml:space="preserve">the </w:t>
      </w:r>
      <w:r w:rsidRPr="005D09BD">
        <w:rPr>
          <w:szCs w:val="22"/>
          <w:lang w:val="en-GB"/>
        </w:rPr>
        <w:t xml:space="preserve">other components of the Strategy construction and implementation </w:t>
      </w:r>
      <w:r>
        <w:rPr>
          <w:szCs w:val="22"/>
          <w:lang w:val="en-GB"/>
        </w:rPr>
        <w:t>process should be subordinate to it. In this</w:t>
      </w:r>
      <w:r w:rsidRPr="005D09BD">
        <w:rPr>
          <w:szCs w:val="22"/>
          <w:lang w:val="en-GB"/>
        </w:rPr>
        <w:t xml:space="preserve"> document, the subject of the mission is the Voivodship </w:t>
      </w:r>
      <w:r>
        <w:rPr>
          <w:szCs w:val="22"/>
          <w:lang w:val="en-GB"/>
        </w:rPr>
        <w:t>Self-g</w:t>
      </w:r>
      <w:r w:rsidRPr="005D09BD">
        <w:rPr>
          <w:szCs w:val="22"/>
          <w:lang w:val="en-GB"/>
        </w:rPr>
        <w:t>overnment</w:t>
      </w:r>
      <w:r>
        <w:rPr>
          <w:szCs w:val="22"/>
          <w:lang w:val="en-GB"/>
        </w:rPr>
        <w:t>. The Evaluation points</w:t>
      </w:r>
      <w:r w:rsidRPr="005D09BD">
        <w:rPr>
          <w:szCs w:val="22"/>
          <w:lang w:val="en-GB"/>
        </w:rPr>
        <w:t xml:space="preserve"> to the fact that the document creation and implementation process serves higher purposes. The answer to the question about the sense of creating a strategy and the sense of strategic action will allow to achieve an even higher level of strategic management in the voivodship.</w:t>
      </w:r>
    </w:p>
    <w:p w14:paraId="11D4DFEC" w14:textId="68457C4C" w:rsidR="00B171AE" w:rsidRPr="00B171AE" w:rsidRDefault="00B171AE" w:rsidP="00B171AE">
      <w:pPr>
        <w:ind w:left="4536"/>
        <w:jc w:val="left"/>
        <w:rPr>
          <w:b/>
          <w:i/>
          <w:color w:val="001E50"/>
          <w:lang w:val="en-GB"/>
        </w:rPr>
      </w:pPr>
      <w:r>
        <w:rPr>
          <w:noProof/>
          <w:lang w:eastAsia="pl-PL"/>
        </w:rPr>
        <w:drawing>
          <wp:anchor distT="0" distB="0" distL="114300" distR="114300" simplePos="0" relativeHeight="251658274" behindDoc="1" locked="0" layoutInCell="1" allowOverlap="1" wp14:anchorId="26F16828" wp14:editId="040618F5">
            <wp:simplePos x="0" y="0"/>
            <wp:positionH relativeFrom="column">
              <wp:posOffset>60291</wp:posOffset>
            </wp:positionH>
            <wp:positionV relativeFrom="paragraph">
              <wp:posOffset>136518</wp:posOffset>
            </wp:positionV>
            <wp:extent cx="2438400" cy="2220595"/>
            <wp:effectExtent l="0" t="0" r="0" b="8255"/>
            <wp:wrapTight wrapText="bothSides">
              <wp:wrapPolygon edited="0">
                <wp:start x="0" y="0"/>
                <wp:lineTo x="0" y="21495"/>
                <wp:lineTo x="21431" y="21495"/>
                <wp:lineTo x="21431" y="0"/>
                <wp:lineTo x="0" y="0"/>
              </wp:wrapPolygon>
            </wp:wrapTight>
            <wp:docPr id="286099761" name="Obraz 28609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2220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71AE">
        <w:rPr>
          <w:b/>
          <w:i/>
          <w:color w:val="001E50"/>
          <w:lang w:val="en-GB"/>
        </w:rPr>
        <w:t>Assessment of the voivodship's strengths and weaknesses  as well as the opportunities and threats in its environment</w:t>
      </w:r>
    </w:p>
    <w:p w14:paraId="2E9F1BA1" w14:textId="5D49B6FF" w:rsidR="00B171AE" w:rsidRDefault="00B171AE" w:rsidP="00B171AE">
      <w:pPr>
        <w:tabs>
          <w:tab w:val="left" w:pos="1240"/>
        </w:tabs>
        <w:rPr>
          <w:szCs w:val="22"/>
          <w:lang w:val="en-GB"/>
        </w:rPr>
      </w:pPr>
      <w:r w:rsidRPr="000560C7">
        <w:rPr>
          <w:szCs w:val="22"/>
          <w:lang w:val="en-GB"/>
        </w:rPr>
        <w:t>In the years to come, the development policy of the Wielkopolskie voivodship should be based on its strong sides, ie: a thriving economy and the multifunctional metropolis of Poznań th</w:t>
      </w:r>
      <w:r>
        <w:rPr>
          <w:szCs w:val="22"/>
          <w:lang w:val="en-GB"/>
        </w:rPr>
        <w:t>at is unique in the country. Making</w:t>
      </w:r>
      <w:r w:rsidRPr="000560C7">
        <w:rPr>
          <w:szCs w:val="22"/>
          <w:lang w:val="en-GB"/>
        </w:rPr>
        <w:t xml:space="preserve"> use</w:t>
      </w:r>
      <w:r>
        <w:rPr>
          <w:szCs w:val="22"/>
          <w:lang w:val="en-GB"/>
        </w:rPr>
        <w:t xml:space="preserve"> of </w:t>
      </w:r>
      <w:r w:rsidRPr="000560C7">
        <w:rPr>
          <w:szCs w:val="22"/>
          <w:lang w:val="en-GB"/>
        </w:rPr>
        <w:t>the well-developed hierarchical settlement grid and support</w:t>
      </w:r>
      <w:r>
        <w:rPr>
          <w:szCs w:val="22"/>
          <w:lang w:val="en-GB"/>
        </w:rPr>
        <w:t>ing</w:t>
      </w:r>
      <w:r w:rsidRPr="000560C7">
        <w:rPr>
          <w:szCs w:val="22"/>
          <w:lang w:val="en-GB"/>
        </w:rPr>
        <w:t xml:space="preserve"> the development of the supra-local functions of subregional centers</w:t>
      </w:r>
      <w:r w:rsidRPr="00A434AE">
        <w:rPr>
          <w:szCs w:val="22"/>
          <w:lang w:val="en-GB"/>
        </w:rPr>
        <w:t xml:space="preserve"> </w:t>
      </w:r>
      <w:r w:rsidRPr="000560C7">
        <w:rPr>
          <w:szCs w:val="22"/>
          <w:lang w:val="en-GB"/>
        </w:rPr>
        <w:t>will also be important. The region has great pote</w:t>
      </w:r>
      <w:r>
        <w:rPr>
          <w:szCs w:val="22"/>
          <w:lang w:val="en-GB"/>
        </w:rPr>
        <w:t>ntial for innovation</w:t>
      </w:r>
      <w:r w:rsidRPr="000560C7">
        <w:rPr>
          <w:szCs w:val="22"/>
          <w:lang w:val="en-GB"/>
        </w:rPr>
        <w:t xml:space="preserve"> and fits well in the EU policies oriented towards the development</w:t>
      </w:r>
      <w:r>
        <w:rPr>
          <w:szCs w:val="22"/>
          <w:lang w:val="en-GB"/>
        </w:rPr>
        <w:t xml:space="preserve"> of renewable energy. The environment</w:t>
      </w:r>
      <w:r w:rsidRPr="000560C7">
        <w:rPr>
          <w:szCs w:val="22"/>
          <w:lang w:val="en-GB"/>
        </w:rPr>
        <w:t xml:space="preserve"> of the Wielkopolskie voivodship should be considered unstable both in the European and national dimension. However, the </w:t>
      </w:r>
      <w:r>
        <w:rPr>
          <w:szCs w:val="22"/>
          <w:lang w:val="en-GB"/>
        </w:rPr>
        <w:t xml:space="preserve">region’s </w:t>
      </w:r>
      <w:r w:rsidRPr="000560C7">
        <w:rPr>
          <w:szCs w:val="22"/>
          <w:lang w:val="en-GB"/>
        </w:rPr>
        <w:t>socio-e</w:t>
      </w:r>
      <w:r>
        <w:rPr>
          <w:szCs w:val="22"/>
          <w:lang w:val="en-GB"/>
        </w:rPr>
        <w:t xml:space="preserve">conomic potential </w:t>
      </w:r>
      <w:r w:rsidRPr="000560C7">
        <w:rPr>
          <w:szCs w:val="22"/>
          <w:lang w:val="en-GB"/>
        </w:rPr>
        <w:t xml:space="preserve">allows to focus activities on the exploitation of opportunities (bearing in mind the possible negative impact of the threats, of course). The most important opportunities include: the national and European development instruments based on competitiveness in which the entities of the Wielkopolska Region have </w:t>
      </w:r>
      <w:r>
        <w:rPr>
          <w:szCs w:val="22"/>
          <w:lang w:val="en-GB"/>
        </w:rPr>
        <w:t xml:space="preserve">already </w:t>
      </w:r>
      <w:r w:rsidRPr="000560C7">
        <w:rPr>
          <w:szCs w:val="22"/>
          <w:lang w:val="en-GB"/>
        </w:rPr>
        <w:t xml:space="preserve">been successful; labor migration to </w:t>
      </w:r>
      <w:smartTag w:uri="urn:schemas-microsoft-com:office:smarttags" w:element="country-region">
        <w:smartTag w:uri="urn:schemas-microsoft-com:office:smarttags" w:element="place">
          <w:r w:rsidRPr="000560C7">
            <w:rPr>
              <w:szCs w:val="22"/>
              <w:lang w:val="en-GB"/>
            </w:rPr>
            <w:t>Poland</w:t>
          </w:r>
        </w:smartTag>
      </w:smartTag>
      <w:r w:rsidRPr="000560C7">
        <w:rPr>
          <w:szCs w:val="22"/>
          <w:lang w:val="en-GB"/>
        </w:rPr>
        <w:t xml:space="preserve">; increase of ecological awareness of Europeans and the development of activities and technologies aimed at the social sphere (counteracting social exclusion). The voivodship's weaknesses include: strong internal differences (economic and </w:t>
      </w:r>
      <w:r>
        <w:rPr>
          <w:szCs w:val="22"/>
          <w:lang w:val="en-GB"/>
        </w:rPr>
        <w:t xml:space="preserve">in </w:t>
      </w:r>
      <w:r w:rsidRPr="000560C7">
        <w:rPr>
          <w:szCs w:val="22"/>
          <w:lang w:val="en-GB"/>
        </w:rPr>
        <w:t>access to services), insufficient functional links with the border areas of the region and poorly developed links between science and economy.</w:t>
      </w:r>
      <w:r w:rsidRPr="00E2068F">
        <w:rPr>
          <w:szCs w:val="22"/>
          <w:lang w:val="en-GB"/>
        </w:rPr>
        <w:t xml:space="preserve"> </w:t>
      </w:r>
    </w:p>
    <w:p w14:paraId="28F3C07D" w14:textId="6FFE32BE" w:rsidR="00B171AE" w:rsidRPr="00B171AE" w:rsidRDefault="00B171AE" w:rsidP="00B171AE">
      <w:pPr>
        <w:ind w:left="4536"/>
        <w:jc w:val="left"/>
        <w:rPr>
          <w:b/>
          <w:i/>
          <w:color w:val="001E50"/>
          <w:lang w:val="en-GB"/>
        </w:rPr>
      </w:pPr>
      <w:r w:rsidRPr="00B171AE">
        <w:rPr>
          <w:b/>
          <w:i/>
          <w:noProof/>
          <w:color w:val="001E50"/>
          <w:lang w:eastAsia="pl-PL"/>
        </w:rPr>
        <w:drawing>
          <wp:anchor distT="0" distB="0" distL="114300" distR="114300" simplePos="0" relativeHeight="251658276" behindDoc="1" locked="0" layoutInCell="1" allowOverlap="1" wp14:anchorId="16359CED" wp14:editId="0AE176D6">
            <wp:simplePos x="0" y="0"/>
            <wp:positionH relativeFrom="column">
              <wp:posOffset>0</wp:posOffset>
            </wp:positionH>
            <wp:positionV relativeFrom="paragraph">
              <wp:posOffset>421619</wp:posOffset>
            </wp:positionV>
            <wp:extent cx="2438400" cy="2085340"/>
            <wp:effectExtent l="0" t="0" r="0" b="0"/>
            <wp:wrapTight wrapText="bothSides">
              <wp:wrapPolygon edited="0">
                <wp:start x="0" y="0"/>
                <wp:lineTo x="0" y="21311"/>
                <wp:lineTo x="21431" y="21311"/>
                <wp:lineTo x="21431" y="0"/>
                <wp:lineTo x="0" y="0"/>
              </wp:wrapPolygon>
            </wp:wrapTight>
            <wp:docPr id="286099760" name="Obraz 286099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2085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71AE">
        <w:rPr>
          <w:b/>
          <w:i/>
          <w:color w:val="001E50"/>
          <w:lang w:val="en-GB"/>
        </w:rPr>
        <w:t>Key achievements in the implementation of objectives</w:t>
      </w:r>
    </w:p>
    <w:p w14:paraId="73D1B90F" w14:textId="3B89809F" w:rsidR="00B171AE" w:rsidRDefault="00B171AE" w:rsidP="00B171AE">
      <w:pPr>
        <w:tabs>
          <w:tab w:val="left" w:pos="1240"/>
        </w:tabs>
        <w:rPr>
          <w:szCs w:val="22"/>
          <w:lang w:val="en-GB"/>
        </w:rPr>
      </w:pPr>
      <w:r w:rsidRPr="002C17A6">
        <w:rPr>
          <w:szCs w:val="22"/>
          <w:lang w:val="en-GB"/>
        </w:rPr>
        <w:t>The voivodship is close to achieving its general goal, but it is being done at "two speeds". The general economic situation in the region has been improving</w:t>
      </w:r>
      <w:r w:rsidRPr="009E45CE">
        <w:rPr>
          <w:szCs w:val="22"/>
          <w:lang w:val="en-GB"/>
        </w:rPr>
        <w:t xml:space="preserve"> </w:t>
      </w:r>
      <w:r w:rsidRPr="002C17A6">
        <w:rPr>
          <w:szCs w:val="22"/>
          <w:lang w:val="en-GB"/>
        </w:rPr>
        <w:t>significantly. The synthetic index of the socio-economic development, the GDP value per capita, was increasing in</w:t>
      </w:r>
      <w:r>
        <w:rPr>
          <w:szCs w:val="22"/>
          <w:lang w:val="en-GB"/>
        </w:rPr>
        <w:t xml:space="preserve"> the Wielkopolskie voivodship between 2012 and </w:t>
      </w:r>
      <w:r w:rsidRPr="002C17A6">
        <w:rPr>
          <w:szCs w:val="22"/>
          <w:lang w:val="en-GB"/>
        </w:rPr>
        <w:t xml:space="preserve">2017 at a pace which lifted the region to the second place among all the voivodships in Poland. Thanks to this growth, the voivodship advanced by one place and now ranks third in the country. </w:t>
      </w:r>
    </w:p>
    <w:p w14:paraId="2A2C3C73" w14:textId="53586369" w:rsidR="00B171AE" w:rsidRDefault="00B171AE" w:rsidP="00B171AE">
      <w:pPr>
        <w:tabs>
          <w:tab w:val="left" w:pos="1240"/>
        </w:tabs>
        <w:rPr>
          <w:szCs w:val="22"/>
          <w:lang w:val="en-GB"/>
        </w:rPr>
      </w:pPr>
      <w:r w:rsidRPr="002C17A6">
        <w:rPr>
          <w:szCs w:val="22"/>
          <w:lang w:val="en-GB"/>
        </w:rPr>
        <w:lastRenderedPageBreak/>
        <w:t>Wielkopolska is also characterized by the lowest unemployment rate and high employment rates. Investment expenditures also rank the region high. However, the unsatisfactory level of innovation in the region remains a great challenge. The analysis of 90 indicators used to monitor progress in achieving the objectives shows that almost 70% of them improved in 2012-2017.</w:t>
      </w:r>
    </w:p>
    <w:p w14:paraId="7E17D4BA" w14:textId="2A3B7ECC" w:rsidR="00B171AE" w:rsidRPr="00B171AE" w:rsidRDefault="00B171AE" w:rsidP="00B171AE">
      <w:pPr>
        <w:ind w:left="4536"/>
        <w:jc w:val="left"/>
        <w:rPr>
          <w:b/>
          <w:i/>
          <w:color w:val="001E50"/>
          <w:lang w:val="en-GB"/>
        </w:rPr>
      </w:pPr>
      <w:r w:rsidRPr="00B171AE">
        <w:rPr>
          <w:b/>
          <w:i/>
          <w:color w:val="001E50"/>
          <w:lang w:val="en-GB"/>
        </w:rPr>
        <w:t>The Strategy implementation means not only financial outlays</w:t>
      </w:r>
    </w:p>
    <w:p w14:paraId="7348D250" w14:textId="477C1E18" w:rsidR="00B171AE" w:rsidRDefault="00B171AE" w:rsidP="00B171AE">
      <w:pPr>
        <w:rPr>
          <w:szCs w:val="22"/>
          <w:lang w:val="en-GB"/>
        </w:rPr>
      </w:pPr>
      <w:r>
        <w:rPr>
          <w:noProof/>
          <w:lang w:eastAsia="pl-PL"/>
        </w:rPr>
        <w:drawing>
          <wp:anchor distT="0" distB="0" distL="114300" distR="114300" simplePos="0" relativeHeight="251658275" behindDoc="1" locked="0" layoutInCell="1" allowOverlap="1" wp14:anchorId="21D1F422" wp14:editId="349E7766">
            <wp:simplePos x="0" y="0"/>
            <wp:positionH relativeFrom="column">
              <wp:posOffset>4557</wp:posOffset>
            </wp:positionH>
            <wp:positionV relativeFrom="paragraph">
              <wp:posOffset>221092</wp:posOffset>
            </wp:positionV>
            <wp:extent cx="2362200" cy="2122170"/>
            <wp:effectExtent l="0" t="0" r="0" b="0"/>
            <wp:wrapTight wrapText="bothSides">
              <wp:wrapPolygon edited="0">
                <wp:start x="0" y="0"/>
                <wp:lineTo x="0" y="21329"/>
                <wp:lineTo x="21426" y="21329"/>
                <wp:lineTo x="21426" y="0"/>
                <wp:lineTo x="0" y="0"/>
              </wp:wrapPolygon>
            </wp:wrapTight>
            <wp:docPr id="286099757" name="Obraz 28609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2200" cy="2122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1A52">
        <w:rPr>
          <w:szCs w:val="22"/>
          <w:lang w:val="en-GB"/>
        </w:rPr>
        <w:t>In 2013-2017, 5.7 billion zlotys were spent out of the voivodship budget for activities related to the implementation of the Strategy objectives. 45% of this amount was allocated to communication</w:t>
      </w:r>
      <w:r>
        <w:rPr>
          <w:szCs w:val="22"/>
          <w:lang w:val="en-GB"/>
        </w:rPr>
        <w:t>s</w:t>
      </w:r>
      <w:r w:rsidRPr="00951A52">
        <w:rPr>
          <w:szCs w:val="22"/>
          <w:lang w:val="en-GB"/>
        </w:rPr>
        <w:t xml:space="preserve"> (main</w:t>
      </w:r>
      <w:r>
        <w:rPr>
          <w:szCs w:val="22"/>
          <w:lang w:val="en-GB"/>
        </w:rPr>
        <w:t>ly transport) and another 25% for</w:t>
      </w:r>
      <w:r w:rsidRPr="00951A52">
        <w:rPr>
          <w:szCs w:val="22"/>
          <w:lang w:val="en-GB"/>
        </w:rPr>
        <w:t xml:space="preserve"> social purposes (culture and cultural heritage, health and social policy). The budget policy implemented so far has allowed the region to take the leading position in the country due to the operating surplus. In addition, the debt of Wielkopolska is at a much lower level than the average debt of Polish voivodships. This situation is certainly a positive element in the context of changeable external determinants. It is worth noting that the voivodship authorities are involved in numerous non-financial initiatives that also contribute to the implementation of objectives (e.g. formal and informal meetings, presence in the media, lobbying for  development of the region, setting up or participating in working groups, committees, commissions, councils, awarding scholars</w:t>
      </w:r>
      <w:r>
        <w:rPr>
          <w:szCs w:val="22"/>
          <w:lang w:val="en-GB"/>
        </w:rPr>
        <w:t>hips and prizes, organizing</w:t>
      </w:r>
      <w:r w:rsidRPr="00951A52">
        <w:rPr>
          <w:szCs w:val="22"/>
          <w:lang w:val="en-GB"/>
        </w:rPr>
        <w:t xml:space="preserve"> festivals, picnics, fairs, business missions).</w:t>
      </w:r>
    </w:p>
    <w:p w14:paraId="4BB932E2" w14:textId="77777777" w:rsidR="00B171AE" w:rsidRPr="00B171AE" w:rsidRDefault="00B171AE" w:rsidP="00B171AE">
      <w:pPr>
        <w:ind w:left="4536"/>
        <w:jc w:val="left"/>
        <w:rPr>
          <w:b/>
          <w:i/>
          <w:color w:val="001E50"/>
          <w:lang w:val="en-GB"/>
        </w:rPr>
      </w:pPr>
      <w:r w:rsidRPr="00B171AE">
        <w:rPr>
          <w:b/>
          <w:i/>
          <w:color w:val="001E50"/>
          <w:lang w:val="en-GB"/>
        </w:rPr>
        <w:t>The Strategy implementation system testifies to the high quality of management, but it can be further improved</w:t>
      </w:r>
    </w:p>
    <w:p w14:paraId="1AE1F0A1" w14:textId="5A313B8C" w:rsidR="00B171AE" w:rsidRDefault="00B171AE" w:rsidP="00B171AE">
      <w:pPr>
        <w:rPr>
          <w:szCs w:val="22"/>
          <w:lang w:val="en-GB"/>
        </w:rPr>
      </w:pPr>
      <w:r>
        <w:rPr>
          <w:noProof/>
          <w:lang w:eastAsia="pl-PL"/>
        </w:rPr>
        <w:drawing>
          <wp:anchor distT="0" distB="0" distL="114300" distR="114300" simplePos="0" relativeHeight="251658277" behindDoc="1" locked="0" layoutInCell="1" allowOverlap="1" wp14:anchorId="0E8F937F" wp14:editId="44657B3B">
            <wp:simplePos x="0" y="0"/>
            <wp:positionH relativeFrom="column">
              <wp:posOffset>0</wp:posOffset>
            </wp:positionH>
            <wp:positionV relativeFrom="paragraph">
              <wp:posOffset>156210</wp:posOffset>
            </wp:positionV>
            <wp:extent cx="2286000" cy="2057400"/>
            <wp:effectExtent l="0" t="0" r="0" b="0"/>
            <wp:wrapTight wrapText="bothSides">
              <wp:wrapPolygon edited="0">
                <wp:start x="0" y="0"/>
                <wp:lineTo x="0" y="21400"/>
                <wp:lineTo x="21420" y="21400"/>
                <wp:lineTo x="21420" y="0"/>
                <wp:lineTo x="0" y="0"/>
              </wp:wrapPolygon>
            </wp:wrapTight>
            <wp:docPr id="286099756" name="Obraz 28609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1A52">
        <w:rPr>
          <w:szCs w:val="22"/>
          <w:lang w:val="en-GB"/>
        </w:rPr>
        <w:t>The Strategy applies to the entire voivodship and in fact it is being implemented by four groups of entities: administration (voivodship self-go</w:t>
      </w:r>
      <w:r>
        <w:rPr>
          <w:szCs w:val="22"/>
          <w:lang w:val="en-GB"/>
        </w:rPr>
        <w:t>vernment and local governments, although</w:t>
      </w:r>
      <w:r w:rsidRPr="00951A52">
        <w:rPr>
          <w:szCs w:val="22"/>
          <w:lang w:val="en-GB"/>
        </w:rPr>
        <w:t xml:space="preserve"> the state government investments are also important); business (including entrepreneurs' organizations); science; residents (mostly through NGOs). The diversity of interested parties means that the implementation of the Strategy requires a high organizational culture. It should be emphasized that in such a complex process of implementing the development policy of the whole region, the key issue is the leadership role of the voivodship self-government </w:t>
      </w:r>
      <w:r>
        <w:rPr>
          <w:szCs w:val="22"/>
          <w:lang w:val="en-GB"/>
        </w:rPr>
        <w:t>capable of</w:t>
      </w:r>
      <w:r w:rsidRPr="00951A52">
        <w:rPr>
          <w:szCs w:val="22"/>
          <w:lang w:val="en-GB"/>
        </w:rPr>
        <w:t xml:space="preserve"> build</w:t>
      </w:r>
      <w:r>
        <w:rPr>
          <w:szCs w:val="22"/>
          <w:lang w:val="en-GB"/>
        </w:rPr>
        <w:t>ing and initiating</w:t>
      </w:r>
      <w:r w:rsidRPr="00951A52">
        <w:rPr>
          <w:szCs w:val="22"/>
          <w:lang w:val="en-GB"/>
        </w:rPr>
        <w:t xml:space="preserve"> various cooperation networks. Examples of the application in Wielkopolska of instruments such as Integrated Territorial Investments or Territorial Mandates show that the Marsha</w:t>
      </w:r>
      <w:r>
        <w:rPr>
          <w:szCs w:val="22"/>
          <w:lang w:val="en-GB"/>
        </w:rPr>
        <w:t>l’s Office successfully copes with</w:t>
      </w:r>
      <w:r w:rsidRPr="00951A52">
        <w:rPr>
          <w:szCs w:val="22"/>
          <w:lang w:val="en-GB"/>
        </w:rPr>
        <w:t xml:space="preserve"> the complex subject of multi-level governance. At the same time, the </w:t>
      </w:r>
      <w:r>
        <w:rPr>
          <w:szCs w:val="22"/>
          <w:lang w:val="en-GB"/>
        </w:rPr>
        <w:t>Marshal’s office</w:t>
      </w:r>
      <w:r w:rsidRPr="00951A52">
        <w:rPr>
          <w:szCs w:val="22"/>
          <w:lang w:val="en-GB"/>
        </w:rPr>
        <w:t xml:space="preserve"> employees </w:t>
      </w:r>
      <w:r>
        <w:rPr>
          <w:szCs w:val="22"/>
          <w:lang w:val="en-GB"/>
        </w:rPr>
        <w:t>point to the insufficiency</w:t>
      </w:r>
      <w:r w:rsidRPr="00951A52">
        <w:rPr>
          <w:szCs w:val="22"/>
          <w:lang w:val="en-GB"/>
        </w:rPr>
        <w:t xml:space="preserve"> in the area of creating task teams, exchanging </w:t>
      </w:r>
      <w:r>
        <w:rPr>
          <w:szCs w:val="22"/>
          <w:lang w:val="en-GB"/>
        </w:rPr>
        <w:t>information and discussing the</w:t>
      </w:r>
      <w:r w:rsidRPr="00951A52">
        <w:rPr>
          <w:szCs w:val="22"/>
          <w:lang w:val="en-GB"/>
        </w:rPr>
        <w:t xml:space="preserve"> sph</w:t>
      </w:r>
      <w:r>
        <w:rPr>
          <w:szCs w:val="22"/>
          <w:lang w:val="en-GB"/>
        </w:rPr>
        <w:t>eres of Strategy implementation</w:t>
      </w:r>
      <w:r w:rsidRPr="00951A52">
        <w:rPr>
          <w:szCs w:val="22"/>
          <w:lang w:val="en-GB"/>
        </w:rPr>
        <w:t xml:space="preserve"> which are interdisciplinary</w:t>
      </w:r>
      <w:r>
        <w:rPr>
          <w:szCs w:val="22"/>
          <w:lang w:val="en-GB"/>
        </w:rPr>
        <w:t>.</w:t>
      </w:r>
    </w:p>
    <w:p w14:paraId="2DC65934" w14:textId="77777777" w:rsidR="00B171AE" w:rsidRDefault="00B171AE" w:rsidP="00B171AE">
      <w:pPr>
        <w:rPr>
          <w:szCs w:val="22"/>
          <w:lang w:val="en-GB"/>
        </w:rPr>
      </w:pPr>
    </w:p>
    <w:p w14:paraId="6AB5F2AA" w14:textId="5C39B4A2" w:rsidR="00B171AE" w:rsidRPr="00B171AE" w:rsidRDefault="00717F47" w:rsidP="00B171AE">
      <w:pPr>
        <w:ind w:left="4536"/>
        <w:jc w:val="left"/>
        <w:rPr>
          <w:b/>
          <w:i/>
          <w:color w:val="001E50"/>
          <w:lang w:val="en-GB"/>
        </w:rPr>
      </w:pPr>
      <w:r>
        <w:rPr>
          <w:noProof/>
          <w:lang w:eastAsia="pl-PL"/>
        </w:rPr>
        <w:lastRenderedPageBreak/>
        <w:drawing>
          <wp:anchor distT="0" distB="0" distL="114300" distR="114300" simplePos="0" relativeHeight="251658278" behindDoc="1" locked="0" layoutInCell="1" allowOverlap="1" wp14:anchorId="351A2C21" wp14:editId="132466EB">
            <wp:simplePos x="0" y="0"/>
            <wp:positionH relativeFrom="column">
              <wp:posOffset>0</wp:posOffset>
            </wp:positionH>
            <wp:positionV relativeFrom="paragraph">
              <wp:posOffset>410503</wp:posOffset>
            </wp:positionV>
            <wp:extent cx="2286000" cy="1976755"/>
            <wp:effectExtent l="0" t="0" r="0" b="4445"/>
            <wp:wrapTight wrapText="bothSides">
              <wp:wrapPolygon edited="0">
                <wp:start x="0" y="0"/>
                <wp:lineTo x="0" y="21440"/>
                <wp:lineTo x="21420" y="21440"/>
                <wp:lineTo x="21420" y="0"/>
                <wp:lineTo x="0" y="0"/>
              </wp:wrapPolygon>
            </wp:wrapTight>
            <wp:docPr id="286099755" name="Obraz 28609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0"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sidR="00B171AE" w:rsidRPr="00B171AE">
        <w:rPr>
          <w:b/>
          <w:i/>
          <w:color w:val="001E50"/>
          <w:lang w:val="en-GB"/>
        </w:rPr>
        <w:t xml:space="preserve">Strategy monitoring is still a challenge in all of Poland </w:t>
      </w:r>
    </w:p>
    <w:p w14:paraId="7D8E070D" w14:textId="28EFD339" w:rsidR="00B171AE" w:rsidRPr="00717F47" w:rsidRDefault="00B171AE" w:rsidP="00717F47">
      <w:pPr>
        <w:rPr>
          <w:szCs w:val="22"/>
          <w:lang w:val="en-GB"/>
        </w:rPr>
      </w:pPr>
      <w:r>
        <w:rPr>
          <w:szCs w:val="22"/>
          <w:lang w:val="en-GB"/>
        </w:rPr>
        <w:t>The a</w:t>
      </w:r>
      <w:r w:rsidRPr="00FE727D">
        <w:rPr>
          <w:szCs w:val="22"/>
          <w:lang w:val="en-GB"/>
        </w:rPr>
        <w:t>nalyses of monitoring systems in four selected voivodships justify the thesis that very often strategies are monitored as much as public statistics allow. Given this approach, the Wielkopolskie Voivodship Development S</w:t>
      </w:r>
      <w:r>
        <w:rPr>
          <w:szCs w:val="22"/>
          <w:lang w:val="en-GB"/>
        </w:rPr>
        <w:t>trategy is monitored properly</w:t>
      </w:r>
      <w:r w:rsidRPr="00FE727D">
        <w:rPr>
          <w:szCs w:val="22"/>
          <w:lang w:val="en-GB"/>
        </w:rPr>
        <w:t>. However, problems related to monitoring, e.g.</w:t>
      </w:r>
      <w:r>
        <w:rPr>
          <w:szCs w:val="22"/>
          <w:lang w:val="en-GB"/>
        </w:rPr>
        <w:t xml:space="preserve"> </w:t>
      </w:r>
      <w:r w:rsidRPr="00FE727D">
        <w:rPr>
          <w:szCs w:val="22"/>
          <w:lang w:val="en-GB"/>
        </w:rPr>
        <w:t xml:space="preserve">preparation of reports on the Strategy implementation, show that the challenge is to create a system that will be focused on real actions under the Strategy. The monitoring mechanism, the effect of which will be </w:t>
      </w:r>
      <w:r>
        <w:rPr>
          <w:szCs w:val="22"/>
          <w:lang w:val="en-GB"/>
        </w:rPr>
        <w:t xml:space="preserve">the </w:t>
      </w:r>
      <w:r w:rsidRPr="00FE727D">
        <w:rPr>
          <w:szCs w:val="22"/>
          <w:lang w:val="en-GB"/>
        </w:rPr>
        <w:t xml:space="preserve">knowledge about the Strategy implementation and </w:t>
      </w:r>
      <w:r>
        <w:rPr>
          <w:szCs w:val="22"/>
          <w:lang w:val="en-GB"/>
        </w:rPr>
        <w:t xml:space="preserve"> </w:t>
      </w:r>
      <w:r w:rsidRPr="00FE727D">
        <w:rPr>
          <w:szCs w:val="22"/>
          <w:lang w:val="en-GB"/>
        </w:rPr>
        <w:t>the opportunity to learn (draw conclusions), will raise</w:t>
      </w:r>
      <w:r w:rsidR="00717F47">
        <w:rPr>
          <w:szCs w:val="22"/>
          <w:lang w:val="en-GB"/>
        </w:rPr>
        <w:t xml:space="preserve"> </w:t>
      </w:r>
      <w:r>
        <w:rPr>
          <w:szCs w:val="22"/>
          <w:lang w:val="en-GB"/>
        </w:rPr>
        <w:t>t</w:t>
      </w:r>
      <w:r w:rsidRPr="00FE727D">
        <w:rPr>
          <w:szCs w:val="22"/>
          <w:lang w:val="en-GB"/>
        </w:rPr>
        <w:t>he</w:t>
      </w:r>
      <w:r>
        <w:rPr>
          <w:szCs w:val="22"/>
          <w:lang w:val="en-GB"/>
        </w:rPr>
        <w:t xml:space="preserve"> </w:t>
      </w:r>
      <w:r w:rsidRPr="00FE727D">
        <w:rPr>
          <w:szCs w:val="22"/>
          <w:lang w:val="en-GB"/>
        </w:rPr>
        <w:t>level of strategic management at the Marshal's Office.</w:t>
      </w:r>
    </w:p>
    <w:p w14:paraId="4CB17A1A" w14:textId="77777777" w:rsidR="00B171AE" w:rsidRPr="00717F47" w:rsidRDefault="00B171AE" w:rsidP="00717F47">
      <w:pPr>
        <w:ind w:left="4536"/>
        <w:jc w:val="left"/>
        <w:rPr>
          <w:b/>
          <w:i/>
          <w:color w:val="001E50"/>
          <w:lang w:val="en-GB"/>
        </w:rPr>
      </w:pPr>
      <w:r w:rsidRPr="00717F47">
        <w:rPr>
          <w:b/>
          <w:i/>
          <w:color w:val="001E50"/>
          <w:lang w:val="en-GB"/>
        </w:rPr>
        <w:t>What is particularly worth considering in the context of   the future update of the Strategy</w:t>
      </w:r>
    </w:p>
    <w:p w14:paraId="4FA6255D" w14:textId="77777777" w:rsidR="00B171AE" w:rsidRDefault="00B171AE" w:rsidP="00B171AE">
      <w:pPr>
        <w:rPr>
          <w:szCs w:val="22"/>
          <w:lang w:val="en-GB"/>
        </w:rPr>
      </w:pPr>
      <w:r w:rsidRPr="00FE727D">
        <w:rPr>
          <w:szCs w:val="22"/>
          <w:lang w:val="en-GB"/>
        </w:rPr>
        <w:t>The table below contains the key "strategic" conclusions from the entire evaluation and the suggestions of the Evalua</w:t>
      </w:r>
      <w:r>
        <w:rPr>
          <w:szCs w:val="22"/>
          <w:lang w:val="en-GB"/>
        </w:rPr>
        <w:t>tors team regarding the due</w:t>
      </w:r>
      <w:r w:rsidRPr="00FE727D">
        <w:rPr>
          <w:szCs w:val="22"/>
          <w:lang w:val="en-GB"/>
        </w:rPr>
        <w:t xml:space="preserve"> activities. The following recommendations are addressed to the Voivodship Board, however, it is worth remembering that although the Board is responsible for the Strategy pr</w:t>
      </w:r>
      <w:r>
        <w:rPr>
          <w:szCs w:val="22"/>
          <w:lang w:val="en-GB"/>
        </w:rPr>
        <w:t>eparation and implementation, this</w:t>
      </w:r>
      <w:r w:rsidRPr="00FE727D">
        <w:rPr>
          <w:szCs w:val="22"/>
          <w:lang w:val="en-GB"/>
        </w:rPr>
        <w:t xml:space="preserve"> can not be done without effective cooperation with the Voivodship Parliament and other parties having interest in the development policy. The table is brief, because each recommendation, along with its justification, is included in the main part of the Report. The main task of the Evaluators was to evaluate the strategic document in such a way that</w:t>
      </w:r>
      <w:r>
        <w:rPr>
          <w:szCs w:val="22"/>
          <w:lang w:val="en-GB"/>
        </w:rPr>
        <w:t xml:space="preserve"> the evaluation conclusions would be</w:t>
      </w:r>
      <w:r w:rsidRPr="00FE727D">
        <w:rPr>
          <w:szCs w:val="22"/>
          <w:lang w:val="en-GB"/>
        </w:rPr>
        <w:t xml:space="preserve"> useful both at the level of strategic planning and operational planning.</w:t>
      </w:r>
    </w:p>
    <w:p w14:paraId="3E28DEE3" w14:textId="588A6E6C" w:rsidR="00B171AE" w:rsidRPr="00717F47" w:rsidRDefault="00B171AE" w:rsidP="00B171AE">
      <w:pPr>
        <w:rPr>
          <w:b/>
          <w:szCs w:val="22"/>
          <w:lang w:val="en-GB"/>
        </w:rPr>
      </w:pPr>
      <w:r w:rsidRPr="00717F47">
        <w:rPr>
          <w:b/>
          <w:szCs w:val="22"/>
          <w:lang w:val="en-GB"/>
        </w:rPr>
        <w:t>Table 1. Strategic conclusions and recommendations</w:t>
      </w:r>
    </w:p>
    <w:tbl>
      <w:tblPr>
        <w:tblW w:w="0" w:type="auto"/>
        <w:tblLook w:val="00A0" w:firstRow="1" w:lastRow="0" w:firstColumn="1" w:lastColumn="0" w:noHBand="0" w:noVBand="0"/>
      </w:tblPr>
      <w:tblGrid>
        <w:gridCol w:w="4253"/>
        <w:gridCol w:w="567"/>
        <w:gridCol w:w="4252"/>
      </w:tblGrid>
      <w:tr w:rsidR="00B171AE" w:rsidRPr="00F608A7" w14:paraId="61BC31C4" w14:textId="77777777" w:rsidTr="00AC3663">
        <w:trPr>
          <w:tblHeader/>
        </w:trPr>
        <w:tc>
          <w:tcPr>
            <w:tcW w:w="4253" w:type="dxa"/>
            <w:shd w:val="clear" w:color="auto" w:fill="F6BB00"/>
            <w:vAlign w:val="center"/>
          </w:tcPr>
          <w:p w14:paraId="40FB905E" w14:textId="77777777" w:rsidR="00B171AE" w:rsidRPr="00F608A7" w:rsidRDefault="00B171AE" w:rsidP="00AC3663">
            <w:pPr>
              <w:rPr>
                <w:b/>
                <w:sz w:val="20"/>
                <w:lang w:val="en-GB"/>
              </w:rPr>
            </w:pPr>
            <w:r w:rsidRPr="00F608A7">
              <w:rPr>
                <w:b/>
                <w:sz w:val="20"/>
                <w:lang w:val="en-GB"/>
              </w:rPr>
              <w:t>Conclusions</w:t>
            </w:r>
          </w:p>
        </w:tc>
        <w:tc>
          <w:tcPr>
            <w:tcW w:w="567" w:type="dxa"/>
            <w:shd w:val="clear" w:color="auto" w:fill="F6BB00"/>
            <w:vAlign w:val="center"/>
          </w:tcPr>
          <w:p w14:paraId="0DDE4131" w14:textId="77777777" w:rsidR="00B171AE" w:rsidRPr="00F608A7" w:rsidRDefault="00B171AE" w:rsidP="00AC3663">
            <w:pPr>
              <w:rPr>
                <w:b/>
                <w:sz w:val="20"/>
                <w:lang w:val="en-GB"/>
              </w:rPr>
            </w:pPr>
          </w:p>
        </w:tc>
        <w:tc>
          <w:tcPr>
            <w:tcW w:w="4252" w:type="dxa"/>
            <w:shd w:val="clear" w:color="auto" w:fill="F6BB00"/>
            <w:vAlign w:val="center"/>
          </w:tcPr>
          <w:p w14:paraId="22779C84" w14:textId="51BAFF4C" w:rsidR="00B171AE" w:rsidRPr="00F608A7" w:rsidRDefault="00B171AE" w:rsidP="00717F47">
            <w:pPr>
              <w:rPr>
                <w:b/>
                <w:sz w:val="20"/>
                <w:lang w:val="en-GB"/>
              </w:rPr>
            </w:pPr>
            <w:r w:rsidRPr="00F608A7">
              <w:rPr>
                <w:b/>
                <w:sz w:val="20"/>
                <w:lang w:val="en-GB"/>
              </w:rPr>
              <w:t>Strategic recommedations</w:t>
            </w:r>
          </w:p>
        </w:tc>
      </w:tr>
      <w:tr w:rsidR="00B171AE" w:rsidRPr="002E626A" w14:paraId="2641DA93" w14:textId="77777777" w:rsidTr="00AC3663">
        <w:tc>
          <w:tcPr>
            <w:tcW w:w="4253" w:type="dxa"/>
            <w:tcBorders>
              <w:bottom w:val="single" w:sz="4" w:space="0" w:color="FFC000"/>
            </w:tcBorders>
            <w:vAlign w:val="center"/>
          </w:tcPr>
          <w:p w14:paraId="0BCE26CA" w14:textId="77777777" w:rsidR="00B171AE" w:rsidRPr="00F608A7" w:rsidRDefault="00B171AE" w:rsidP="00AC3663">
            <w:pPr>
              <w:spacing w:before="60" w:after="60"/>
              <w:rPr>
                <w:color w:val="002060"/>
                <w:sz w:val="20"/>
                <w:lang w:val="en-GB"/>
              </w:rPr>
            </w:pPr>
            <w:r w:rsidRPr="00F608A7">
              <w:rPr>
                <w:b/>
                <w:color w:val="002060"/>
                <w:sz w:val="20"/>
                <w:lang w:val="en-GB"/>
              </w:rPr>
              <w:t>1.</w:t>
            </w:r>
            <w:r w:rsidRPr="00F608A7">
              <w:rPr>
                <w:color w:val="002060"/>
                <w:sz w:val="20"/>
                <w:lang w:val="en-GB"/>
              </w:rPr>
              <w:t xml:space="preserve"> The Wielkopolskie </w:t>
            </w:r>
            <w:r>
              <w:rPr>
                <w:color w:val="002060"/>
                <w:sz w:val="20"/>
                <w:lang w:val="en-GB"/>
              </w:rPr>
              <w:t>Voivodship</w:t>
            </w:r>
            <w:r w:rsidRPr="00F608A7">
              <w:rPr>
                <w:color w:val="002060"/>
                <w:sz w:val="20"/>
                <w:lang w:val="en-GB"/>
              </w:rPr>
              <w:t xml:space="preserve"> development strategy needs updating</w:t>
            </w:r>
            <w:r>
              <w:rPr>
                <w:color w:val="002060"/>
                <w:sz w:val="20"/>
                <w:lang w:val="en-GB"/>
              </w:rPr>
              <w:t>.</w:t>
            </w:r>
          </w:p>
        </w:tc>
        <w:tc>
          <w:tcPr>
            <w:tcW w:w="567" w:type="dxa"/>
            <w:tcBorders>
              <w:bottom w:val="single" w:sz="4" w:space="0" w:color="FFC000"/>
            </w:tcBorders>
            <w:vAlign w:val="center"/>
          </w:tcPr>
          <w:p w14:paraId="7EB2CD26" w14:textId="57FFEBD8" w:rsidR="00B171AE" w:rsidRPr="00F608A7" w:rsidRDefault="00B171AE" w:rsidP="00AC3663">
            <w:pPr>
              <w:spacing w:before="60" w:after="60"/>
              <w:rPr>
                <w:sz w:val="20"/>
                <w:lang w:val="en-GB"/>
              </w:rPr>
            </w:pPr>
            <w:r w:rsidRPr="00F608A7">
              <w:rPr>
                <w:noProof/>
                <w:lang w:eastAsia="pl-PL"/>
              </w:rPr>
              <mc:AlternateContent>
                <mc:Choice Requires="wps">
                  <w:drawing>
                    <wp:anchor distT="0" distB="0" distL="114300" distR="114300" simplePos="0" relativeHeight="251658264" behindDoc="0" locked="0" layoutInCell="1" allowOverlap="1" wp14:anchorId="481BC248" wp14:editId="5EE02533">
                      <wp:simplePos x="0" y="0"/>
                      <wp:positionH relativeFrom="column">
                        <wp:posOffset>-58420</wp:posOffset>
                      </wp:positionH>
                      <wp:positionV relativeFrom="paragraph">
                        <wp:posOffset>92075</wp:posOffset>
                      </wp:positionV>
                      <wp:extent cx="232410" cy="309880"/>
                      <wp:effectExtent l="0" t="19050" r="34290" b="33020"/>
                      <wp:wrapNone/>
                      <wp:docPr id="286099754" name="Strzałka w prawo 286099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 cy="309880"/>
                              </a:xfrm>
                              <a:prstGeom prst="rightArrow">
                                <a:avLst/>
                              </a:prstGeom>
                              <a:noFill/>
                              <a:ln>
                                <a:solidFill>
                                  <a:srgbClr val="FFE5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F01AC6" id="Strzałka w prawo 286099754" o:spid="_x0000_s1026" type="#_x0000_t13" style="position:absolute;margin-left:-4.6pt;margin-top:7.25pt;width:18.3pt;height:24.4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" adj="10800" filled="f" strokecolor="#ffe599" strokeweight="1pt">
                      <v:path arrowok="t"/>
                    </v:shape>
                  </w:pict>
                </mc:Fallback>
              </mc:AlternateContent>
            </w:r>
          </w:p>
        </w:tc>
        <w:tc>
          <w:tcPr>
            <w:tcW w:w="4252" w:type="dxa"/>
            <w:tcBorders>
              <w:bottom w:val="single" w:sz="4" w:space="0" w:color="FFC000"/>
            </w:tcBorders>
            <w:vAlign w:val="center"/>
          </w:tcPr>
          <w:p w14:paraId="2C752CBB" w14:textId="77777777" w:rsidR="00B171AE" w:rsidRPr="000E40AA" w:rsidRDefault="00B171AE" w:rsidP="00AC3663">
            <w:pPr>
              <w:spacing w:before="60" w:after="60"/>
              <w:rPr>
                <w:sz w:val="20"/>
                <w:lang w:val="en-GB"/>
              </w:rPr>
            </w:pPr>
            <w:r>
              <w:rPr>
                <w:sz w:val="20"/>
                <w:lang w:val="en-GB"/>
              </w:rPr>
              <w:t>Use</w:t>
            </w:r>
            <w:r w:rsidRPr="000E40AA">
              <w:rPr>
                <w:sz w:val="20"/>
                <w:lang w:val="en-GB"/>
              </w:rPr>
              <w:t xml:space="preserve"> the Strategy update time to strengthen the existing relationships and build new ones with parties having interest in the Strategy</w:t>
            </w:r>
            <w:r>
              <w:rPr>
                <w:sz w:val="20"/>
                <w:lang w:val="en-GB"/>
              </w:rPr>
              <w:t>.</w:t>
            </w:r>
          </w:p>
        </w:tc>
      </w:tr>
      <w:tr w:rsidR="00B171AE" w:rsidRPr="002E626A" w14:paraId="5D37EF71" w14:textId="77777777" w:rsidTr="00AC3663">
        <w:tc>
          <w:tcPr>
            <w:tcW w:w="4253" w:type="dxa"/>
            <w:tcBorders>
              <w:top w:val="single" w:sz="4" w:space="0" w:color="FFC000"/>
              <w:bottom w:val="single" w:sz="4" w:space="0" w:color="FFC000"/>
            </w:tcBorders>
            <w:vAlign w:val="center"/>
          </w:tcPr>
          <w:p w14:paraId="476B0EAC" w14:textId="77777777" w:rsidR="00B171AE" w:rsidRPr="00F608A7" w:rsidRDefault="00B171AE" w:rsidP="00AC3663">
            <w:pPr>
              <w:spacing w:before="60" w:after="60"/>
              <w:rPr>
                <w:color w:val="002060"/>
                <w:sz w:val="20"/>
                <w:lang w:val="en-GB"/>
              </w:rPr>
            </w:pPr>
            <w:r w:rsidRPr="00F608A7">
              <w:rPr>
                <w:b/>
                <w:color w:val="002060"/>
                <w:sz w:val="20"/>
                <w:lang w:val="en-GB"/>
              </w:rPr>
              <w:t>2.</w:t>
            </w:r>
            <w:r w:rsidRPr="00F608A7">
              <w:rPr>
                <w:color w:val="002060"/>
                <w:sz w:val="20"/>
                <w:lang w:val="en-GB"/>
              </w:rPr>
              <w:t xml:space="preserve"> Regional</w:t>
            </w:r>
            <w:r>
              <w:rPr>
                <w:color w:val="002060"/>
                <w:sz w:val="20"/>
                <w:lang w:val="en-GB"/>
              </w:rPr>
              <w:t xml:space="preserve"> leadership should be associated with the Voivodship Marshal</w:t>
            </w:r>
            <w:r w:rsidRPr="00F608A7">
              <w:rPr>
                <w:color w:val="002060"/>
                <w:sz w:val="20"/>
                <w:lang w:val="en-GB"/>
              </w:rPr>
              <w:t xml:space="preserve"> but the complexity of the region's development process requires a broader look at the leadership role and function of the Wielkopolska Voivodship Self</w:t>
            </w:r>
            <w:r>
              <w:rPr>
                <w:color w:val="002060"/>
                <w:sz w:val="20"/>
                <w:lang w:val="en-GB"/>
              </w:rPr>
              <w:t>-Government, i.e. the Self-G</w:t>
            </w:r>
            <w:r w:rsidRPr="00F608A7">
              <w:rPr>
                <w:color w:val="002060"/>
                <w:sz w:val="20"/>
                <w:lang w:val="en-GB"/>
              </w:rPr>
              <w:t>ove</w:t>
            </w:r>
            <w:r>
              <w:rPr>
                <w:color w:val="002060"/>
                <w:sz w:val="20"/>
                <w:lang w:val="en-GB"/>
              </w:rPr>
              <w:t>rnment A</w:t>
            </w:r>
            <w:r w:rsidRPr="00F608A7">
              <w:rPr>
                <w:color w:val="002060"/>
                <w:sz w:val="20"/>
                <w:lang w:val="en-GB"/>
              </w:rPr>
              <w:t>ssembly and the Management Board</w:t>
            </w:r>
            <w:r>
              <w:rPr>
                <w:color w:val="002060"/>
                <w:sz w:val="20"/>
                <w:lang w:val="en-GB"/>
              </w:rPr>
              <w:t>.</w:t>
            </w:r>
          </w:p>
        </w:tc>
        <w:tc>
          <w:tcPr>
            <w:tcW w:w="567" w:type="dxa"/>
            <w:tcBorders>
              <w:top w:val="single" w:sz="4" w:space="0" w:color="FFC000"/>
              <w:bottom w:val="single" w:sz="4" w:space="0" w:color="FFC000"/>
            </w:tcBorders>
            <w:vAlign w:val="center"/>
          </w:tcPr>
          <w:p w14:paraId="711EAB15" w14:textId="72149183" w:rsidR="00B171AE" w:rsidRPr="00F608A7" w:rsidRDefault="00B171AE" w:rsidP="00AC3663">
            <w:pPr>
              <w:spacing w:before="60" w:after="60"/>
              <w:rPr>
                <w:sz w:val="20"/>
                <w:lang w:val="en-GB"/>
              </w:rPr>
            </w:pPr>
            <w:r w:rsidRPr="00F608A7">
              <w:rPr>
                <w:noProof/>
                <w:lang w:eastAsia="pl-PL"/>
              </w:rPr>
              <mc:AlternateContent>
                <mc:Choice Requires="wps">
                  <w:drawing>
                    <wp:anchor distT="0" distB="0" distL="114300" distR="114300" simplePos="0" relativeHeight="251658265" behindDoc="0" locked="0" layoutInCell="1" allowOverlap="1" wp14:anchorId="6BF92B41" wp14:editId="0EF8990F">
                      <wp:simplePos x="0" y="0"/>
                      <wp:positionH relativeFrom="column">
                        <wp:posOffset>-55245</wp:posOffset>
                      </wp:positionH>
                      <wp:positionV relativeFrom="paragraph">
                        <wp:posOffset>305435</wp:posOffset>
                      </wp:positionV>
                      <wp:extent cx="232410" cy="309880"/>
                      <wp:effectExtent l="0" t="19050" r="34290" b="33020"/>
                      <wp:wrapNone/>
                      <wp:docPr id="286099753" name="Strzałka w prawo 286099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 cy="309880"/>
                              </a:xfrm>
                              <a:prstGeom prst="rightArrow">
                                <a:avLst/>
                              </a:prstGeom>
                              <a:noFill/>
                              <a:ln>
                                <a:solidFill>
                                  <a:srgbClr val="FFE5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ED6EA4" id="Strzałka w prawo 286099753" o:spid="_x0000_s1026" type="#_x0000_t13" style="position:absolute;margin-left:-4.35pt;margin-top:24.05pt;width:18.3pt;height:24.4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" adj="10800" filled="f" strokecolor="#ffe599" strokeweight="1pt">
                      <v:path arrowok="t"/>
                    </v:shape>
                  </w:pict>
                </mc:Fallback>
              </mc:AlternateContent>
            </w:r>
          </w:p>
        </w:tc>
        <w:tc>
          <w:tcPr>
            <w:tcW w:w="4252" w:type="dxa"/>
            <w:tcBorders>
              <w:top w:val="single" w:sz="4" w:space="0" w:color="FFC000"/>
              <w:bottom w:val="single" w:sz="4" w:space="0" w:color="FFC000"/>
            </w:tcBorders>
            <w:vAlign w:val="center"/>
          </w:tcPr>
          <w:p w14:paraId="40963339" w14:textId="77777777" w:rsidR="00B171AE" w:rsidRPr="00A116D5" w:rsidRDefault="00B171AE" w:rsidP="00AC3663">
            <w:pPr>
              <w:spacing w:before="60" w:after="60"/>
              <w:rPr>
                <w:sz w:val="20"/>
                <w:lang w:val="en-GB"/>
              </w:rPr>
            </w:pPr>
            <w:r>
              <w:rPr>
                <w:sz w:val="20"/>
                <w:lang w:val="en-GB"/>
              </w:rPr>
              <w:t>Introduce</w:t>
            </w:r>
            <w:r w:rsidRPr="00A116D5">
              <w:rPr>
                <w:sz w:val="20"/>
                <w:lang w:val="en-GB"/>
              </w:rPr>
              <w:t xml:space="preserve"> transparent rules for building relations with the internal environment of the Voivodship Self-government based on: readiness to jointly define tasks, cooperation in planning, exchange of information, quality control of performed tasks, reliable evaluation, motivating to cooperation and responsibility</w:t>
            </w:r>
          </w:p>
        </w:tc>
      </w:tr>
      <w:tr w:rsidR="00B171AE" w:rsidRPr="002E626A" w14:paraId="6AECAF2E" w14:textId="77777777" w:rsidTr="00AC3663">
        <w:tc>
          <w:tcPr>
            <w:tcW w:w="4253" w:type="dxa"/>
            <w:tcBorders>
              <w:top w:val="single" w:sz="4" w:space="0" w:color="FFC000"/>
              <w:bottom w:val="single" w:sz="4" w:space="0" w:color="FFC000"/>
            </w:tcBorders>
            <w:vAlign w:val="center"/>
          </w:tcPr>
          <w:p w14:paraId="45E9A4CE" w14:textId="77777777" w:rsidR="00B171AE" w:rsidRPr="00A116D5" w:rsidRDefault="00B171AE" w:rsidP="00AC3663">
            <w:pPr>
              <w:spacing w:before="60" w:after="60"/>
              <w:rPr>
                <w:color w:val="002060"/>
                <w:sz w:val="20"/>
                <w:lang w:val="en-GB"/>
              </w:rPr>
            </w:pPr>
            <w:r w:rsidRPr="00F608A7">
              <w:rPr>
                <w:b/>
                <w:color w:val="002060"/>
                <w:sz w:val="20"/>
                <w:lang w:val="en-GB"/>
              </w:rPr>
              <w:t>3.</w:t>
            </w:r>
            <w:r w:rsidRPr="00F608A7">
              <w:rPr>
                <w:color w:val="002060"/>
                <w:sz w:val="20"/>
                <w:lang w:val="en-GB"/>
              </w:rPr>
              <w:t xml:space="preserve"> </w:t>
            </w:r>
            <w:r w:rsidRPr="00A116D5">
              <w:rPr>
                <w:color w:val="002060"/>
                <w:sz w:val="20"/>
                <w:lang w:val="en-GB"/>
              </w:rPr>
              <w:t xml:space="preserve">People involved in the implementation of the Strategy, with whom numerous in-depth interviews were conducted, are aware of the processes for which they are responsible and show very high substantive preparation. However, they feel that </w:t>
            </w:r>
            <w:r>
              <w:rPr>
                <w:color w:val="002060"/>
                <w:sz w:val="20"/>
                <w:lang w:val="en-GB"/>
              </w:rPr>
              <w:t>they co-own the Strategy i</w:t>
            </w:r>
            <w:r w:rsidRPr="00A116D5">
              <w:rPr>
                <w:color w:val="002060"/>
                <w:sz w:val="20"/>
                <w:lang w:val="en-GB"/>
              </w:rPr>
              <w:t xml:space="preserve">only in </w:t>
            </w:r>
            <w:r w:rsidRPr="00A116D5">
              <w:rPr>
                <w:color w:val="002060"/>
                <w:sz w:val="20"/>
                <w:lang w:val="en-GB"/>
              </w:rPr>
              <w:lastRenderedPageBreak/>
              <w:t>the part relevant to the department in which they work.</w:t>
            </w:r>
          </w:p>
        </w:tc>
        <w:tc>
          <w:tcPr>
            <w:tcW w:w="567" w:type="dxa"/>
            <w:tcBorders>
              <w:top w:val="single" w:sz="4" w:space="0" w:color="FFC000"/>
              <w:bottom w:val="single" w:sz="4" w:space="0" w:color="FFC000"/>
            </w:tcBorders>
            <w:vAlign w:val="center"/>
          </w:tcPr>
          <w:p w14:paraId="2F645C1D" w14:textId="0C288D8E" w:rsidR="00B171AE" w:rsidRPr="00F608A7" w:rsidRDefault="00B171AE" w:rsidP="00AC3663">
            <w:pPr>
              <w:spacing w:before="60" w:after="60"/>
              <w:rPr>
                <w:sz w:val="20"/>
                <w:lang w:val="en-GB"/>
              </w:rPr>
            </w:pPr>
            <w:r w:rsidRPr="00F608A7">
              <w:rPr>
                <w:noProof/>
                <w:lang w:eastAsia="pl-PL"/>
              </w:rPr>
              <w:lastRenderedPageBreak/>
              <mc:AlternateContent>
                <mc:Choice Requires="wps">
                  <w:drawing>
                    <wp:anchor distT="0" distB="0" distL="114300" distR="114300" simplePos="0" relativeHeight="251658266" behindDoc="0" locked="0" layoutInCell="1" allowOverlap="1" wp14:anchorId="50FD5A6B" wp14:editId="1FC964B1">
                      <wp:simplePos x="0" y="0"/>
                      <wp:positionH relativeFrom="column">
                        <wp:posOffset>-55245</wp:posOffset>
                      </wp:positionH>
                      <wp:positionV relativeFrom="paragraph">
                        <wp:posOffset>344805</wp:posOffset>
                      </wp:positionV>
                      <wp:extent cx="232410" cy="309880"/>
                      <wp:effectExtent l="0" t="19050" r="34290" b="33020"/>
                      <wp:wrapNone/>
                      <wp:docPr id="286099752" name="Strzałka w prawo 286099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 cy="309880"/>
                              </a:xfrm>
                              <a:prstGeom prst="rightArrow">
                                <a:avLst/>
                              </a:prstGeom>
                              <a:noFill/>
                              <a:ln>
                                <a:solidFill>
                                  <a:srgbClr val="FFE5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EE9F4D" id="Strzałka w prawo 286099752" o:spid="_x0000_s1026" type="#_x0000_t13" style="position:absolute;margin-left:-4.35pt;margin-top:27.15pt;width:18.3pt;height:24.4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" adj="10800" filled="f" strokecolor="#ffe599" strokeweight="1pt">
                      <v:path arrowok="t"/>
                    </v:shape>
                  </w:pict>
                </mc:Fallback>
              </mc:AlternateContent>
            </w:r>
          </w:p>
        </w:tc>
        <w:tc>
          <w:tcPr>
            <w:tcW w:w="4252" w:type="dxa"/>
            <w:tcBorders>
              <w:top w:val="single" w:sz="4" w:space="0" w:color="FFC000"/>
              <w:bottom w:val="single" w:sz="4" w:space="0" w:color="FFC000"/>
            </w:tcBorders>
            <w:vAlign w:val="center"/>
          </w:tcPr>
          <w:p w14:paraId="382E7FE1" w14:textId="77777777" w:rsidR="00B171AE" w:rsidRPr="00172CC2" w:rsidRDefault="00B171AE" w:rsidP="00AC3663">
            <w:pPr>
              <w:spacing w:before="60" w:after="60"/>
              <w:rPr>
                <w:sz w:val="20"/>
                <w:lang w:val="en-GB"/>
              </w:rPr>
            </w:pPr>
            <w:r w:rsidRPr="00172CC2">
              <w:rPr>
                <w:sz w:val="20"/>
                <w:lang w:val="en-GB"/>
              </w:rPr>
              <w:t>The need for a sys</w:t>
            </w:r>
            <w:r>
              <w:rPr>
                <w:sz w:val="20"/>
                <w:lang w:val="en-GB"/>
              </w:rPr>
              <w:t>temic introduction of regular</w:t>
            </w:r>
            <w:r w:rsidRPr="00172CC2">
              <w:rPr>
                <w:sz w:val="20"/>
                <w:lang w:val="en-GB"/>
              </w:rPr>
              <w:t xml:space="preserve"> "strategic workshops" for teams composed of representatives of variou</w:t>
            </w:r>
            <w:r>
              <w:rPr>
                <w:sz w:val="20"/>
                <w:lang w:val="en-GB"/>
              </w:rPr>
              <w:t>s departments, that would enhance</w:t>
            </w:r>
            <w:r w:rsidRPr="00172CC2">
              <w:rPr>
                <w:sz w:val="20"/>
                <w:lang w:val="en-GB"/>
              </w:rPr>
              <w:t xml:space="preserve"> the possibilities of interaction compared to the previous </w:t>
            </w:r>
            <w:r>
              <w:rPr>
                <w:sz w:val="20"/>
                <w:lang w:val="en-GB"/>
              </w:rPr>
              <w:t>executive</w:t>
            </w:r>
            <w:r w:rsidRPr="00172CC2">
              <w:rPr>
                <w:sz w:val="20"/>
                <w:lang w:val="en-GB"/>
              </w:rPr>
              <w:t xml:space="preserve"> meetings, as </w:t>
            </w:r>
            <w:r w:rsidRPr="00172CC2">
              <w:rPr>
                <w:sz w:val="20"/>
                <w:lang w:val="en-GB"/>
              </w:rPr>
              <w:lastRenderedPageBreak/>
              <w:t xml:space="preserve">well as systemic trainings </w:t>
            </w:r>
            <w:r>
              <w:rPr>
                <w:sz w:val="20"/>
                <w:lang w:val="en-GB"/>
              </w:rPr>
              <w:t>to improve skills</w:t>
            </w:r>
            <w:r w:rsidRPr="00172CC2">
              <w:rPr>
                <w:sz w:val="20"/>
                <w:lang w:val="en-GB"/>
              </w:rPr>
              <w:t xml:space="preserve"> in the field of cooperation and teamwork</w:t>
            </w:r>
            <w:r>
              <w:rPr>
                <w:sz w:val="20"/>
                <w:lang w:val="en-GB"/>
              </w:rPr>
              <w:t>.</w:t>
            </w:r>
          </w:p>
        </w:tc>
      </w:tr>
      <w:tr w:rsidR="00B171AE" w:rsidRPr="002E626A" w14:paraId="640B88BD" w14:textId="77777777" w:rsidTr="00AC3663">
        <w:tc>
          <w:tcPr>
            <w:tcW w:w="4253" w:type="dxa"/>
            <w:tcBorders>
              <w:top w:val="single" w:sz="4" w:space="0" w:color="FFC000"/>
              <w:bottom w:val="single" w:sz="4" w:space="0" w:color="FFC000"/>
            </w:tcBorders>
            <w:vAlign w:val="center"/>
          </w:tcPr>
          <w:p w14:paraId="15096CC0" w14:textId="77777777" w:rsidR="00B171AE" w:rsidRPr="00172CC2" w:rsidRDefault="00B171AE" w:rsidP="00AC3663">
            <w:pPr>
              <w:spacing w:before="60" w:after="60"/>
              <w:rPr>
                <w:color w:val="002060"/>
                <w:sz w:val="20"/>
                <w:lang w:val="en-GB"/>
              </w:rPr>
            </w:pPr>
            <w:r w:rsidRPr="00172CC2">
              <w:rPr>
                <w:b/>
                <w:color w:val="002060"/>
                <w:sz w:val="20"/>
                <w:lang w:val="en-GB"/>
              </w:rPr>
              <w:lastRenderedPageBreak/>
              <w:t>4.</w:t>
            </w:r>
            <w:r w:rsidRPr="00172CC2">
              <w:rPr>
                <w:color w:val="002060"/>
                <w:sz w:val="20"/>
                <w:lang w:val="en-GB"/>
              </w:rPr>
              <w:t xml:space="preserve"> It is people that are the subject of </w:t>
            </w:r>
            <w:r>
              <w:rPr>
                <w:color w:val="002060"/>
                <w:sz w:val="20"/>
                <w:lang w:val="en-GB"/>
              </w:rPr>
              <w:t xml:space="preserve">the </w:t>
            </w:r>
            <w:r w:rsidRPr="00172CC2">
              <w:rPr>
                <w:color w:val="002060"/>
                <w:sz w:val="20"/>
                <w:lang w:val="en-GB"/>
              </w:rPr>
              <w:t>development policy, theref</w:t>
            </w:r>
            <w:r>
              <w:rPr>
                <w:color w:val="002060"/>
                <w:sz w:val="20"/>
                <w:lang w:val="en-GB"/>
              </w:rPr>
              <w:t>ore the pro-development activities</w:t>
            </w:r>
            <w:r w:rsidRPr="00172CC2">
              <w:rPr>
                <w:color w:val="002060"/>
                <w:sz w:val="20"/>
                <w:lang w:val="en-GB"/>
              </w:rPr>
              <w:t xml:space="preserve"> of the Voivodship Self-government should be focused on building the widest possible network of valuable relationships.</w:t>
            </w:r>
          </w:p>
        </w:tc>
        <w:tc>
          <w:tcPr>
            <w:tcW w:w="567" w:type="dxa"/>
            <w:tcBorders>
              <w:top w:val="single" w:sz="4" w:space="0" w:color="FFC000"/>
              <w:bottom w:val="single" w:sz="4" w:space="0" w:color="FFC000"/>
            </w:tcBorders>
            <w:vAlign w:val="center"/>
          </w:tcPr>
          <w:p w14:paraId="259DD11A" w14:textId="53B17049" w:rsidR="00B171AE" w:rsidRPr="00172CC2" w:rsidRDefault="00B171AE" w:rsidP="00AC3663">
            <w:pPr>
              <w:spacing w:before="60" w:after="60"/>
              <w:rPr>
                <w:sz w:val="20"/>
                <w:lang w:val="en-GB"/>
              </w:rPr>
            </w:pPr>
            <w:r w:rsidRPr="00172CC2">
              <w:rPr>
                <w:noProof/>
                <w:lang w:eastAsia="pl-PL"/>
              </w:rPr>
              <mc:AlternateContent>
                <mc:Choice Requires="wps">
                  <w:drawing>
                    <wp:anchor distT="0" distB="0" distL="114300" distR="114300" simplePos="0" relativeHeight="251658267" behindDoc="0" locked="0" layoutInCell="1" allowOverlap="1" wp14:anchorId="228293D0" wp14:editId="60A5CCDF">
                      <wp:simplePos x="0" y="0"/>
                      <wp:positionH relativeFrom="column">
                        <wp:posOffset>-46355</wp:posOffset>
                      </wp:positionH>
                      <wp:positionV relativeFrom="paragraph">
                        <wp:posOffset>316865</wp:posOffset>
                      </wp:positionV>
                      <wp:extent cx="232410" cy="309880"/>
                      <wp:effectExtent l="0" t="19050" r="34290" b="33020"/>
                      <wp:wrapNone/>
                      <wp:docPr id="286099750" name="Strzałka w prawo 286099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 cy="309880"/>
                              </a:xfrm>
                              <a:prstGeom prst="rightArrow">
                                <a:avLst/>
                              </a:prstGeom>
                              <a:noFill/>
                              <a:ln>
                                <a:solidFill>
                                  <a:srgbClr val="FFE5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6C8D7E" id="Strzałka w prawo 286099750" o:spid="_x0000_s1026" type="#_x0000_t13" style="position:absolute;margin-left:-3.65pt;margin-top:24.95pt;width:18.3pt;height:24.4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" adj="10800" filled="f" strokecolor="#ffe599" strokeweight="1pt">
                      <v:path arrowok="t"/>
                    </v:shape>
                  </w:pict>
                </mc:Fallback>
              </mc:AlternateContent>
            </w:r>
          </w:p>
        </w:tc>
        <w:tc>
          <w:tcPr>
            <w:tcW w:w="4252" w:type="dxa"/>
            <w:tcBorders>
              <w:top w:val="single" w:sz="4" w:space="0" w:color="FFC000"/>
              <w:bottom w:val="single" w:sz="4" w:space="0" w:color="FFC000"/>
            </w:tcBorders>
            <w:vAlign w:val="center"/>
          </w:tcPr>
          <w:p w14:paraId="326B93A2" w14:textId="77777777" w:rsidR="00B171AE" w:rsidRPr="00172CC2" w:rsidRDefault="00B171AE" w:rsidP="00AC3663">
            <w:pPr>
              <w:spacing w:before="60" w:after="60"/>
              <w:rPr>
                <w:sz w:val="20"/>
                <w:lang w:val="en-GB"/>
              </w:rPr>
            </w:pPr>
            <w:r>
              <w:rPr>
                <w:sz w:val="20"/>
                <w:lang w:val="en-GB"/>
              </w:rPr>
              <w:t>Implement</w:t>
            </w:r>
            <w:r w:rsidRPr="00172CC2">
              <w:rPr>
                <w:sz w:val="20"/>
                <w:lang w:val="en-GB"/>
              </w:rPr>
              <w:t xml:space="preserve"> the Territorial Forum idea and other forms of building intra-regional relations based on good experience as a permanent element of strengthening the potential of the Voivodship Self-Government for the development of Wielkopolska</w:t>
            </w:r>
            <w:r>
              <w:rPr>
                <w:sz w:val="20"/>
                <w:lang w:val="en-GB"/>
              </w:rPr>
              <w:t>.</w:t>
            </w:r>
          </w:p>
        </w:tc>
      </w:tr>
      <w:tr w:rsidR="00B171AE" w:rsidRPr="002E626A" w14:paraId="34C2145E" w14:textId="77777777" w:rsidTr="00AC3663">
        <w:tc>
          <w:tcPr>
            <w:tcW w:w="4253" w:type="dxa"/>
            <w:tcBorders>
              <w:top w:val="single" w:sz="4" w:space="0" w:color="FFC000"/>
              <w:bottom w:val="single" w:sz="4" w:space="0" w:color="FFC000"/>
            </w:tcBorders>
            <w:vAlign w:val="center"/>
          </w:tcPr>
          <w:p w14:paraId="2989A12A" w14:textId="77777777" w:rsidR="00B171AE" w:rsidRPr="00172CC2" w:rsidRDefault="00B171AE" w:rsidP="00AC3663">
            <w:pPr>
              <w:spacing w:before="60" w:after="60"/>
              <w:rPr>
                <w:color w:val="002060"/>
                <w:sz w:val="20"/>
                <w:lang w:val="en-GB"/>
              </w:rPr>
            </w:pPr>
            <w:r w:rsidRPr="00172CC2">
              <w:rPr>
                <w:b/>
                <w:color w:val="002060"/>
                <w:sz w:val="20"/>
                <w:lang w:val="en-GB"/>
              </w:rPr>
              <w:t>5.</w:t>
            </w:r>
            <w:r w:rsidRPr="00172CC2">
              <w:rPr>
                <w:color w:val="002060"/>
                <w:sz w:val="20"/>
                <w:lang w:val="en-GB"/>
              </w:rPr>
              <w:t xml:space="preserve"> Well-developed strategic management, even if it currently exists at the level of </w:t>
            </w:r>
            <w:r>
              <w:rPr>
                <w:color w:val="002060"/>
                <w:sz w:val="20"/>
                <w:lang w:val="en-GB"/>
              </w:rPr>
              <w:t>marshal’s office</w:t>
            </w:r>
            <w:r w:rsidRPr="00172CC2">
              <w:rPr>
                <w:color w:val="002060"/>
                <w:sz w:val="20"/>
                <w:lang w:val="en-GB"/>
              </w:rPr>
              <w:t>s, will be subject to a serious test in the near future</w:t>
            </w:r>
            <w:r>
              <w:rPr>
                <w:color w:val="002060"/>
                <w:sz w:val="20"/>
                <w:lang w:val="en-GB"/>
              </w:rPr>
              <w:t>.</w:t>
            </w:r>
          </w:p>
        </w:tc>
        <w:tc>
          <w:tcPr>
            <w:tcW w:w="567" w:type="dxa"/>
            <w:tcBorders>
              <w:top w:val="single" w:sz="4" w:space="0" w:color="FFC000"/>
              <w:bottom w:val="single" w:sz="4" w:space="0" w:color="FFC000"/>
            </w:tcBorders>
            <w:vAlign w:val="center"/>
          </w:tcPr>
          <w:p w14:paraId="1FF88E51" w14:textId="0ACE9945" w:rsidR="00B171AE" w:rsidRPr="00172CC2" w:rsidRDefault="00B171AE" w:rsidP="00AC3663">
            <w:pPr>
              <w:spacing w:before="60" w:after="60"/>
              <w:rPr>
                <w:sz w:val="20"/>
                <w:lang w:val="en-GB"/>
              </w:rPr>
            </w:pPr>
            <w:r w:rsidRPr="00172CC2">
              <w:rPr>
                <w:noProof/>
                <w:lang w:eastAsia="pl-PL"/>
              </w:rPr>
              <mc:AlternateContent>
                <mc:Choice Requires="wps">
                  <w:drawing>
                    <wp:anchor distT="0" distB="0" distL="114300" distR="114300" simplePos="0" relativeHeight="251658268" behindDoc="0" locked="0" layoutInCell="1" allowOverlap="1" wp14:anchorId="066D5D58" wp14:editId="19AC8748">
                      <wp:simplePos x="0" y="0"/>
                      <wp:positionH relativeFrom="column">
                        <wp:posOffset>-43180</wp:posOffset>
                      </wp:positionH>
                      <wp:positionV relativeFrom="paragraph">
                        <wp:posOffset>266065</wp:posOffset>
                      </wp:positionV>
                      <wp:extent cx="232410" cy="309880"/>
                      <wp:effectExtent l="0" t="19050" r="34290" b="33020"/>
                      <wp:wrapNone/>
                      <wp:docPr id="286099749" name="Strzałka w prawo 286099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 cy="309880"/>
                              </a:xfrm>
                              <a:prstGeom prst="rightArrow">
                                <a:avLst/>
                              </a:prstGeom>
                              <a:noFill/>
                              <a:ln>
                                <a:solidFill>
                                  <a:srgbClr val="FFE5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575EFE" id="Strzałka w prawo 286099749" o:spid="_x0000_s1026" type="#_x0000_t13" style="position:absolute;margin-left:-3.4pt;margin-top:20.95pt;width:18.3pt;height:24.4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" adj="10800" filled="f" strokecolor="#ffe599" strokeweight="1pt">
                      <v:path arrowok="t"/>
                    </v:shape>
                  </w:pict>
                </mc:Fallback>
              </mc:AlternateContent>
            </w:r>
          </w:p>
        </w:tc>
        <w:tc>
          <w:tcPr>
            <w:tcW w:w="4252" w:type="dxa"/>
            <w:tcBorders>
              <w:top w:val="single" w:sz="4" w:space="0" w:color="FFC000"/>
              <w:bottom w:val="single" w:sz="4" w:space="0" w:color="FFC000"/>
            </w:tcBorders>
            <w:vAlign w:val="center"/>
          </w:tcPr>
          <w:p w14:paraId="1D788CE6" w14:textId="77777777" w:rsidR="00B171AE" w:rsidRPr="00172CC2" w:rsidRDefault="00B171AE" w:rsidP="00AC3663">
            <w:pPr>
              <w:spacing w:before="60" w:after="60"/>
              <w:rPr>
                <w:sz w:val="20"/>
                <w:lang w:val="en-GB"/>
              </w:rPr>
            </w:pPr>
            <w:r>
              <w:rPr>
                <w:sz w:val="20"/>
                <w:lang w:val="en-GB"/>
              </w:rPr>
              <w:t>Undertake</w:t>
            </w:r>
            <w:r w:rsidRPr="00172CC2">
              <w:rPr>
                <w:sz w:val="20"/>
                <w:lang w:val="en-GB"/>
              </w:rPr>
              <w:t xml:space="preserve"> work on in-depth scenarios of the Voivodship Self-government's response to various external stimuli in a </w:t>
            </w:r>
            <w:r>
              <w:rPr>
                <w:sz w:val="20"/>
                <w:lang w:val="en-GB"/>
              </w:rPr>
              <w:t xml:space="preserve">way </w:t>
            </w:r>
            <w:r w:rsidRPr="00172CC2">
              <w:rPr>
                <w:sz w:val="20"/>
                <w:lang w:val="en-GB"/>
              </w:rPr>
              <w:t xml:space="preserve">transparent, </w:t>
            </w:r>
            <w:r>
              <w:rPr>
                <w:sz w:val="20"/>
                <w:lang w:val="en-GB"/>
              </w:rPr>
              <w:t>inclusive and understandable</w:t>
            </w:r>
            <w:r w:rsidRPr="00172CC2">
              <w:rPr>
                <w:sz w:val="20"/>
                <w:lang w:val="en-GB"/>
              </w:rPr>
              <w:t xml:space="preserve"> for employees at all levels</w:t>
            </w:r>
            <w:r>
              <w:rPr>
                <w:sz w:val="20"/>
                <w:lang w:val="en-GB"/>
              </w:rPr>
              <w:t>.</w:t>
            </w:r>
          </w:p>
        </w:tc>
      </w:tr>
      <w:tr w:rsidR="00B171AE" w:rsidRPr="002E626A" w14:paraId="046603EA" w14:textId="77777777" w:rsidTr="00AC3663">
        <w:tc>
          <w:tcPr>
            <w:tcW w:w="4253" w:type="dxa"/>
            <w:tcBorders>
              <w:top w:val="single" w:sz="4" w:space="0" w:color="FFC000"/>
              <w:bottom w:val="single" w:sz="4" w:space="0" w:color="FFC000"/>
            </w:tcBorders>
            <w:vAlign w:val="center"/>
          </w:tcPr>
          <w:p w14:paraId="14943890" w14:textId="77777777" w:rsidR="00B171AE" w:rsidRPr="00AC6A41" w:rsidRDefault="00B171AE" w:rsidP="00AC3663">
            <w:pPr>
              <w:spacing w:before="60" w:after="60"/>
              <w:rPr>
                <w:color w:val="002060"/>
                <w:sz w:val="20"/>
                <w:lang w:val="en-GB"/>
              </w:rPr>
            </w:pPr>
            <w:r w:rsidRPr="00172CC2">
              <w:rPr>
                <w:b/>
                <w:color w:val="002060"/>
                <w:sz w:val="20"/>
                <w:lang w:val="en-GB"/>
              </w:rPr>
              <w:t>6.</w:t>
            </w:r>
            <w:r w:rsidRPr="00172CC2">
              <w:rPr>
                <w:color w:val="002060"/>
                <w:sz w:val="20"/>
                <w:lang w:val="en-GB"/>
              </w:rPr>
              <w:t xml:space="preserve"> </w:t>
            </w:r>
            <w:r w:rsidRPr="00AC6A41">
              <w:rPr>
                <w:color w:val="002060"/>
                <w:sz w:val="20"/>
                <w:lang w:val="en-GB"/>
              </w:rPr>
              <w:t>Str</w:t>
            </w:r>
            <w:r>
              <w:rPr>
                <w:color w:val="002060"/>
                <w:sz w:val="20"/>
                <w:lang w:val="en-GB"/>
              </w:rPr>
              <w:t>ategic planning is still not a strategy building</w:t>
            </w:r>
            <w:r w:rsidRPr="00AC6A41">
              <w:rPr>
                <w:color w:val="002060"/>
                <w:sz w:val="20"/>
                <w:lang w:val="en-GB"/>
              </w:rPr>
              <w:t xml:space="preserve"> process. It is forgotten that the process of creating a document, from the point of view of strengthening human and institutional potential for its subsequent implementation, is just as important as the implementation itself</w:t>
            </w:r>
            <w:r>
              <w:rPr>
                <w:color w:val="002060"/>
                <w:sz w:val="20"/>
                <w:lang w:val="en-GB"/>
              </w:rPr>
              <w:t>.</w:t>
            </w:r>
          </w:p>
        </w:tc>
        <w:tc>
          <w:tcPr>
            <w:tcW w:w="567" w:type="dxa"/>
            <w:tcBorders>
              <w:top w:val="single" w:sz="4" w:space="0" w:color="FFC000"/>
              <w:bottom w:val="single" w:sz="4" w:space="0" w:color="FFC000"/>
            </w:tcBorders>
            <w:vAlign w:val="center"/>
          </w:tcPr>
          <w:p w14:paraId="154A9AB2" w14:textId="61D3CB5E" w:rsidR="00B171AE" w:rsidRPr="00172CC2" w:rsidRDefault="00B171AE" w:rsidP="00AC3663">
            <w:pPr>
              <w:spacing w:before="60" w:after="60"/>
              <w:rPr>
                <w:sz w:val="20"/>
                <w:lang w:val="en-GB"/>
              </w:rPr>
            </w:pPr>
            <w:r w:rsidRPr="00172CC2">
              <w:rPr>
                <w:noProof/>
                <w:lang w:eastAsia="pl-PL"/>
              </w:rPr>
              <mc:AlternateContent>
                <mc:Choice Requires="wps">
                  <w:drawing>
                    <wp:anchor distT="0" distB="0" distL="114300" distR="114300" simplePos="0" relativeHeight="251658269" behindDoc="0" locked="0" layoutInCell="1" allowOverlap="1" wp14:anchorId="2CA2B716" wp14:editId="426618D7">
                      <wp:simplePos x="0" y="0"/>
                      <wp:positionH relativeFrom="column">
                        <wp:posOffset>-46355</wp:posOffset>
                      </wp:positionH>
                      <wp:positionV relativeFrom="paragraph">
                        <wp:posOffset>311785</wp:posOffset>
                      </wp:positionV>
                      <wp:extent cx="232410" cy="309880"/>
                      <wp:effectExtent l="0" t="19050" r="34290" b="33020"/>
                      <wp:wrapNone/>
                      <wp:docPr id="286099748" name="Strzałka w prawo 286099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 cy="309880"/>
                              </a:xfrm>
                              <a:prstGeom prst="rightArrow">
                                <a:avLst/>
                              </a:prstGeom>
                              <a:noFill/>
                              <a:ln>
                                <a:solidFill>
                                  <a:srgbClr val="FFE5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CA038C" id="Strzałka w prawo 286099748" o:spid="_x0000_s1026" type="#_x0000_t13" style="position:absolute;margin-left:-3.65pt;margin-top:24.55pt;width:18.3pt;height:24.4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" adj="10800" filled="f" strokecolor="#ffe599" strokeweight="1pt">
                      <v:path arrowok="t"/>
                    </v:shape>
                  </w:pict>
                </mc:Fallback>
              </mc:AlternateContent>
            </w:r>
          </w:p>
        </w:tc>
        <w:tc>
          <w:tcPr>
            <w:tcW w:w="4252" w:type="dxa"/>
            <w:tcBorders>
              <w:top w:val="single" w:sz="4" w:space="0" w:color="FFC000"/>
              <w:bottom w:val="single" w:sz="4" w:space="0" w:color="FFC000"/>
            </w:tcBorders>
            <w:vAlign w:val="center"/>
          </w:tcPr>
          <w:p w14:paraId="6A1D62D9" w14:textId="77777777" w:rsidR="00B171AE" w:rsidRPr="00AC6A41" w:rsidRDefault="00B171AE" w:rsidP="00AC3663">
            <w:pPr>
              <w:spacing w:before="60" w:after="60"/>
              <w:rPr>
                <w:sz w:val="20"/>
                <w:lang w:val="en-GB"/>
              </w:rPr>
            </w:pPr>
            <w:r>
              <w:rPr>
                <w:sz w:val="20"/>
                <w:lang w:val="en-GB"/>
              </w:rPr>
              <w:t>Launch the "Strategy instrumentalis</w:t>
            </w:r>
            <w:r w:rsidRPr="00AC6A41">
              <w:rPr>
                <w:sz w:val="20"/>
                <w:lang w:val="en-GB"/>
              </w:rPr>
              <w:t xml:space="preserve">ation" process </w:t>
            </w:r>
            <w:r>
              <w:rPr>
                <w:sz w:val="20"/>
                <w:lang w:val="en-GB"/>
              </w:rPr>
              <w:t>to the effect that it will be</w:t>
            </w:r>
            <w:r w:rsidRPr="00AC6A41">
              <w:rPr>
                <w:sz w:val="20"/>
                <w:lang w:val="en-GB"/>
              </w:rPr>
              <w:t xml:space="preserve"> treated as the core of all strategic initiatives, including also cooperation networks</w:t>
            </w:r>
            <w:r>
              <w:rPr>
                <w:sz w:val="20"/>
                <w:lang w:val="en-GB"/>
              </w:rPr>
              <w:t>.</w:t>
            </w:r>
          </w:p>
        </w:tc>
      </w:tr>
      <w:tr w:rsidR="00B171AE" w:rsidRPr="002E626A" w14:paraId="2C5FB878" w14:textId="77777777" w:rsidTr="00AC3663">
        <w:tc>
          <w:tcPr>
            <w:tcW w:w="4253" w:type="dxa"/>
            <w:tcBorders>
              <w:top w:val="single" w:sz="4" w:space="0" w:color="FFC000"/>
              <w:bottom w:val="single" w:sz="4" w:space="0" w:color="FFC000"/>
            </w:tcBorders>
            <w:vAlign w:val="center"/>
          </w:tcPr>
          <w:p w14:paraId="58B0DCC2" w14:textId="77777777" w:rsidR="00B171AE" w:rsidRPr="00AC6A41" w:rsidRDefault="00B171AE" w:rsidP="00AC3663">
            <w:pPr>
              <w:spacing w:before="60" w:after="60"/>
              <w:rPr>
                <w:color w:val="002060"/>
                <w:sz w:val="20"/>
                <w:lang w:val="en-GB"/>
              </w:rPr>
            </w:pPr>
            <w:r w:rsidRPr="00AC6A41">
              <w:rPr>
                <w:b/>
                <w:color w:val="002060"/>
                <w:sz w:val="20"/>
                <w:lang w:val="en-GB"/>
              </w:rPr>
              <w:t>7.</w:t>
            </w:r>
            <w:r w:rsidRPr="00AC6A41">
              <w:rPr>
                <w:color w:val="002060"/>
                <w:sz w:val="20"/>
                <w:lang w:val="en-GB"/>
              </w:rPr>
              <w:t xml:space="preserve"> The developmental </w:t>
            </w:r>
            <w:r>
              <w:rPr>
                <w:color w:val="002060"/>
                <w:sz w:val="20"/>
                <w:lang w:val="en-GB"/>
              </w:rPr>
              <w:t>potential of the Wielkopolskie voivodship is so strong that they</w:t>
            </w:r>
            <w:r w:rsidRPr="00AC6A41">
              <w:rPr>
                <w:color w:val="002060"/>
                <w:sz w:val="20"/>
                <w:lang w:val="en-GB"/>
              </w:rPr>
              <w:t xml:space="preserve"> can apply and strengthen the endogenous development model</w:t>
            </w:r>
            <w:r>
              <w:rPr>
                <w:color w:val="002060"/>
                <w:sz w:val="20"/>
                <w:lang w:val="en-GB"/>
              </w:rPr>
              <w:t>.</w:t>
            </w:r>
          </w:p>
        </w:tc>
        <w:tc>
          <w:tcPr>
            <w:tcW w:w="567" w:type="dxa"/>
            <w:tcBorders>
              <w:top w:val="single" w:sz="4" w:space="0" w:color="FFC000"/>
              <w:bottom w:val="single" w:sz="4" w:space="0" w:color="FFC000"/>
            </w:tcBorders>
            <w:vAlign w:val="center"/>
          </w:tcPr>
          <w:p w14:paraId="1411D386" w14:textId="1F30673E" w:rsidR="00B171AE" w:rsidRPr="00AC6A41" w:rsidRDefault="00B171AE" w:rsidP="00AC3663">
            <w:pPr>
              <w:spacing w:before="60" w:after="60"/>
              <w:rPr>
                <w:sz w:val="20"/>
                <w:lang w:val="en-GB"/>
              </w:rPr>
            </w:pPr>
            <w:r w:rsidRPr="00AC6A41">
              <w:rPr>
                <w:noProof/>
                <w:lang w:eastAsia="pl-PL"/>
              </w:rPr>
              <mc:AlternateContent>
                <mc:Choice Requires="wps">
                  <w:drawing>
                    <wp:anchor distT="0" distB="0" distL="114300" distR="114300" simplePos="0" relativeHeight="251658270" behindDoc="0" locked="0" layoutInCell="1" allowOverlap="1" wp14:anchorId="795690B8" wp14:editId="4FA59ACC">
                      <wp:simplePos x="0" y="0"/>
                      <wp:positionH relativeFrom="column">
                        <wp:posOffset>-43180</wp:posOffset>
                      </wp:positionH>
                      <wp:positionV relativeFrom="paragraph">
                        <wp:posOffset>109220</wp:posOffset>
                      </wp:positionV>
                      <wp:extent cx="232410" cy="309880"/>
                      <wp:effectExtent l="0" t="19050" r="34290" b="33020"/>
                      <wp:wrapNone/>
                      <wp:docPr id="286099744" name="Strzałka w prawo 286099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 cy="309880"/>
                              </a:xfrm>
                              <a:prstGeom prst="rightArrow">
                                <a:avLst/>
                              </a:prstGeom>
                              <a:noFill/>
                              <a:ln>
                                <a:solidFill>
                                  <a:srgbClr val="FFE5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752E65" id="Strzałka w prawo 286099744" o:spid="_x0000_s1026" type="#_x0000_t13" style="position:absolute;margin-left:-3.4pt;margin-top:8.6pt;width:18.3pt;height:24.4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" adj="10800" filled="f" strokecolor="#ffe599" strokeweight="1pt">
                      <v:path arrowok="t"/>
                    </v:shape>
                  </w:pict>
                </mc:Fallback>
              </mc:AlternateContent>
            </w:r>
          </w:p>
        </w:tc>
        <w:tc>
          <w:tcPr>
            <w:tcW w:w="4252" w:type="dxa"/>
            <w:tcBorders>
              <w:top w:val="single" w:sz="4" w:space="0" w:color="FFC000"/>
              <w:bottom w:val="single" w:sz="4" w:space="0" w:color="FFC000"/>
            </w:tcBorders>
            <w:vAlign w:val="center"/>
          </w:tcPr>
          <w:p w14:paraId="0AEC7561" w14:textId="77777777" w:rsidR="00B171AE" w:rsidRPr="00AB32C9" w:rsidRDefault="00B171AE" w:rsidP="00AC3663">
            <w:pPr>
              <w:spacing w:before="60" w:after="60"/>
              <w:rPr>
                <w:sz w:val="20"/>
                <w:lang w:val="en-GB"/>
              </w:rPr>
            </w:pPr>
            <w:r>
              <w:rPr>
                <w:sz w:val="20"/>
                <w:lang w:val="en-GB"/>
              </w:rPr>
              <w:t>Develop assumptions,</w:t>
            </w:r>
            <w:r w:rsidRPr="00AB32C9">
              <w:rPr>
                <w:sz w:val="20"/>
                <w:lang w:val="en-GB"/>
              </w:rPr>
              <w:t xml:space="preserve"> as part of t</w:t>
            </w:r>
            <w:r>
              <w:rPr>
                <w:sz w:val="20"/>
                <w:lang w:val="en-GB"/>
              </w:rPr>
              <w:t xml:space="preserve">he Strategy update process, for a “program of </w:t>
            </w:r>
            <w:r w:rsidRPr="00AB32C9">
              <w:rPr>
                <w:sz w:val="20"/>
                <w:lang w:val="en-GB"/>
              </w:rPr>
              <w:t xml:space="preserve">institutional strengthening </w:t>
            </w:r>
            <w:r>
              <w:rPr>
                <w:sz w:val="20"/>
                <w:lang w:val="en-GB"/>
              </w:rPr>
              <w:t>of the region</w:t>
            </w:r>
            <w:r w:rsidRPr="00AB32C9">
              <w:rPr>
                <w:sz w:val="20"/>
                <w:lang w:val="en-GB"/>
              </w:rPr>
              <w:t>", the aim of which will be to i</w:t>
            </w:r>
            <w:r>
              <w:rPr>
                <w:sz w:val="20"/>
                <w:lang w:val="en-GB"/>
              </w:rPr>
              <w:t>ncrease the cooperative capabilities</w:t>
            </w:r>
            <w:r w:rsidRPr="00AB32C9">
              <w:rPr>
                <w:sz w:val="20"/>
                <w:lang w:val="en-GB"/>
              </w:rPr>
              <w:t xml:space="preserve"> </w:t>
            </w:r>
            <w:r>
              <w:rPr>
                <w:sz w:val="20"/>
                <w:lang w:val="en-GB"/>
              </w:rPr>
              <w:t>within</w:t>
            </w:r>
            <w:r w:rsidRPr="00AB32C9">
              <w:rPr>
                <w:sz w:val="20"/>
                <w:lang w:val="en-GB"/>
              </w:rPr>
              <w:t xml:space="preserve"> the voivodship as well as </w:t>
            </w:r>
            <w:r>
              <w:rPr>
                <w:sz w:val="20"/>
                <w:lang w:val="en-GB"/>
              </w:rPr>
              <w:t xml:space="preserve">the </w:t>
            </w:r>
            <w:r w:rsidRPr="00AB32C9">
              <w:rPr>
                <w:sz w:val="20"/>
                <w:lang w:val="en-GB"/>
              </w:rPr>
              <w:t>competitive capabilities outside its borders.</w:t>
            </w:r>
          </w:p>
        </w:tc>
      </w:tr>
      <w:tr w:rsidR="00B171AE" w:rsidRPr="002E626A" w14:paraId="4A3ACE24" w14:textId="77777777" w:rsidTr="00AC3663">
        <w:tc>
          <w:tcPr>
            <w:tcW w:w="4253" w:type="dxa"/>
            <w:tcBorders>
              <w:top w:val="single" w:sz="4" w:space="0" w:color="FFC000"/>
              <w:bottom w:val="single" w:sz="4" w:space="0" w:color="FFC000"/>
            </w:tcBorders>
            <w:vAlign w:val="center"/>
          </w:tcPr>
          <w:p w14:paraId="6F34B034" w14:textId="77777777" w:rsidR="00B171AE" w:rsidRPr="00AB32C9" w:rsidRDefault="00B171AE" w:rsidP="00AC3663">
            <w:pPr>
              <w:spacing w:before="60" w:after="60"/>
              <w:rPr>
                <w:color w:val="002060"/>
                <w:sz w:val="20"/>
                <w:lang w:val="en-GB"/>
              </w:rPr>
            </w:pPr>
            <w:r w:rsidRPr="00AB32C9">
              <w:rPr>
                <w:b/>
                <w:color w:val="002060"/>
                <w:sz w:val="20"/>
                <w:lang w:val="en-GB"/>
              </w:rPr>
              <w:t>8.</w:t>
            </w:r>
            <w:r w:rsidRPr="00AB32C9">
              <w:rPr>
                <w:color w:val="002060"/>
                <w:sz w:val="20"/>
                <w:lang w:val="en-GB"/>
              </w:rPr>
              <w:t xml:space="preserve"> The development model described in the SRWW 2020 is a declaration of the regional authorities' approach to the voivodship's future, which is bold and based on firm substantive premises</w:t>
            </w:r>
            <w:r>
              <w:rPr>
                <w:color w:val="002060"/>
                <w:sz w:val="20"/>
                <w:lang w:val="en-GB"/>
              </w:rPr>
              <w:t>.</w:t>
            </w:r>
          </w:p>
        </w:tc>
        <w:tc>
          <w:tcPr>
            <w:tcW w:w="567" w:type="dxa"/>
            <w:tcBorders>
              <w:top w:val="single" w:sz="4" w:space="0" w:color="FFC000"/>
              <w:bottom w:val="single" w:sz="4" w:space="0" w:color="FFC000"/>
            </w:tcBorders>
            <w:vAlign w:val="center"/>
          </w:tcPr>
          <w:p w14:paraId="5358A836" w14:textId="4AA66981" w:rsidR="00B171AE" w:rsidRPr="00F33271" w:rsidRDefault="00B171AE" w:rsidP="00AC3663">
            <w:pPr>
              <w:spacing w:before="60" w:after="60"/>
              <w:rPr>
                <w:sz w:val="20"/>
                <w:lang w:val="en-GB"/>
              </w:rPr>
            </w:pPr>
            <w:r w:rsidRPr="00F608A7">
              <w:rPr>
                <w:noProof/>
                <w:lang w:eastAsia="pl-PL"/>
              </w:rPr>
              <mc:AlternateContent>
                <mc:Choice Requires="wps">
                  <w:drawing>
                    <wp:anchor distT="0" distB="0" distL="114300" distR="114300" simplePos="0" relativeHeight="251658271" behindDoc="0" locked="0" layoutInCell="1" allowOverlap="1" wp14:anchorId="08FAD8DC" wp14:editId="5576D3C1">
                      <wp:simplePos x="0" y="0"/>
                      <wp:positionH relativeFrom="column">
                        <wp:posOffset>-27940</wp:posOffset>
                      </wp:positionH>
                      <wp:positionV relativeFrom="paragraph">
                        <wp:posOffset>225425</wp:posOffset>
                      </wp:positionV>
                      <wp:extent cx="232410" cy="309880"/>
                      <wp:effectExtent l="0" t="19050" r="34290" b="33020"/>
                      <wp:wrapNone/>
                      <wp:docPr id="1410683478" name="Strzałka w prawo 1410683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 cy="309880"/>
                              </a:xfrm>
                              <a:prstGeom prst="rightArrow">
                                <a:avLst/>
                              </a:prstGeom>
                              <a:noFill/>
                              <a:ln>
                                <a:solidFill>
                                  <a:srgbClr val="FFE5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A0D289" id="Strzałka w prawo 1410683478" o:spid="_x0000_s1026" type="#_x0000_t13" style="position:absolute;margin-left:-2.2pt;margin-top:17.75pt;width:18.3pt;height:24.4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" adj="10800" filled="f" strokecolor="#ffe599" strokeweight="1pt">
                      <v:path arrowok="t"/>
                    </v:shape>
                  </w:pict>
                </mc:Fallback>
              </mc:AlternateContent>
            </w:r>
          </w:p>
        </w:tc>
        <w:tc>
          <w:tcPr>
            <w:tcW w:w="4252" w:type="dxa"/>
            <w:tcBorders>
              <w:top w:val="single" w:sz="4" w:space="0" w:color="FFC000"/>
              <w:bottom w:val="single" w:sz="4" w:space="0" w:color="FFC000"/>
            </w:tcBorders>
            <w:vAlign w:val="center"/>
          </w:tcPr>
          <w:p w14:paraId="0B39FA0F" w14:textId="77777777" w:rsidR="00B171AE" w:rsidRPr="00AB32C9" w:rsidRDefault="00B171AE" w:rsidP="00AC3663">
            <w:pPr>
              <w:spacing w:before="60" w:after="60"/>
              <w:rPr>
                <w:sz w:val="20"/>
                <w:lang w:val="en-GB"/>
              </w:rPr>
            </w:pPr>
            <w:r>
              <w:rPr>
                <w:sz w:val="20"/>
                <w:lang w:val="en-GB"/>
              </w:rPr>
              <w:t>Maintain</w:t>
            </w:r>
            <w:r w:rsidRPr="00AB32C9">
              <w:rPr>
                <w:sz w:val="20"/>
                <w:lang w:val="en-GB"/>
              </w:rPr>
              <w:t xml:space="preserve"> the current d</w:t>
            </w:r>
            <w:r>
              <w:rPr>
                <w:sz w:val="20"/>
                <w:lang w:val="en-GB"/>
              </w:rPr>
              <w:t>evelopment model  while considering changes in the placement</w:t>
            </w:r>
            <w:r w:rsidRPr="00AB32C9">
              <w:rPr>
                <w:sz w:val="20"/>
                <w:lang w:val="en-GB"/>
              </w:rPr>
              <w:t xml:space="preserve"> and </w:t>
            </w:r>
            <w:r>
              <w:rPr>
                <w:sz w:val="20"/>
                <w:lang w:val="en-GB"/>
              </w:rPr>
              <w:t>form of the vision</w:t>
            </w:r>
            <w:r w:rsidRPr="00AB32C9">
              <w:rPr>
                <w:sz w:val="20"/>
                <w:lang w:val="en-GB"/>
              </w:rPr>
              <w:t xml:space="preserve"> as well as the role of the mission in the document.</w:t>
            </w:r>
          </w:p>
        </w:tc>
      </w:tr>
      <w:tr w:rsidR="00B171AE" w:rsidRPr="002E626A" w14:paraId="5AF1E992" w14:textId="77777777" w:rsidTr="00AC3663">
        <w:tc>
          <w:tcPr>
            <w:tcW w:w="4253" w:type="dxa"/>
            <w:tcBorders>
              <w:top w:val="single" w:sz="4" w:space="0" w:color="FFC000"/>
              <w:bottom w:val="single" w:sz="4" w:space="0" w:color="FFC000"/>
            </w:tcBorders>
            <w:vAlign w:val="center"/>
          </w:tcPr>
          <w:p w14:paraId="4D0319DD" w14:textId="77777777" w:rsidR="00B171AE" w:rsidRPr="00AB32C9" w:rsidRDefault="00B171AE" w:rsidP="00AC3663">
            <w:pPr>
              <w:spacing w:before="60" w:after="60"/>
              <w:rPr>
                <w:color w:val="002060"/>
                <w:sz w:val="20"/>
                <w:lang w:val="en-GB"/>
              </w:rPr>
            </w:pPr>
            <w:r w:rsidRPr="00AB32C9">
              <w:rPr>
                <w:b/>
                <w:color w:val="002060"/>
                <w:sz w:val="20"/>
                <w:lang w:val="en-GB"/>
              </w:rPr>
              <w:t>9.</w:t>
            </w:r>
            <w:r w:rsidRPr="00AB32C9">
              <w:rPr>
                <w:color w:val="002060"/>
                <w:sz w:val="20"/>
                <w:lang w:val="en-GB"/>
              </w:rPr>
              <w:t xml:space="preserve"> </w:t>
            </w:r>
            <w:r>
              <w:rPr>
                <w:color w:val="002060"/>
                <w:sz w:val="20"/>
                <w:lang w:val="en-GB"/>
              </w:rPr>
              <w:t xml:space="preserve">The awareness of </w:t>
            </w:r>
            <w:r w:rsidRPr="00AB32C9">
              <w:rPr>
                <w:color w:val="002060"/>
                <w:sz w:val="20"/>
                <w:lang w:val="en-GB"/>
              </w:rPr>
              <w:t xml:space="preserve">the Strategy </w:t>
            </w:r>
            <w:r>
              <w:rPr>
                <w:color w:val="002060"/>
                <w:sz w:val="20"/>
                <w:lang w:val="en-GB"/>
              </w:rPr>
              <w:t xml:space="preserve">existence </w:t>
            </w:r>
            <w:r w:rsidRPr="00AB32C9">
              <w:rPr>
                <w:color w:val="002060"/>
                <w:sz w:val="20"/>
                <w:lang w:val="en-GB"/>
              </w:rPr>
              <w:t>is decl</w:t>
            </w:r>
            <w:r>
              <w:rPr>
                <w:color w:val="002060"/>
                <w:sz w:val="20"/>
                <w:lang w:val="en-GB"/>
              </w:rPr>
              <w:t>ared, which has a certain significance</w:t>
            </w:r>
            <w:r w:rsidRPr="00AB32C9">
              <w:rPr>
                <w:color w:val="002060"/>
                <w:sz w:val="20"/>
                <w:lang w:val="en-GB"/>
              </w:rPr>
              <w:t>, but what is implemented on a daily basis is programs and current tasks. After the Strategy is adopted, it becomes the "property" of the Regional Policy Department, which not only does not raise objections from other departments, but also seems to be accept</w:t>
            </w:r>
            <w:r>
              <w:rPr>
                <w:color w:val="002060"/>
                <w:sz w:val="20"/>
                <w:lang w:val="en-GB"/>
              </w:rPr>
              <w:t>ed.</w:t>
            </w:r>
          </w:p>
        </w:tc>
        <w:tc>
          <w:tcPr>
            <w:tcW w:w="567" w:type="dxa"/>
            <w:tcBorders>
              <w:top w:val="single" w:sz="4" w:space="0" w:color="FFC000"/>
              <w:bottom w:val="single" w:sz="4" w:space="0" w:color="FFC000"/>
            </w:tcBorders>
            <w:vAlign w:val="center"/>
          </w:tcPr>
          <w:p w14:paraId="0B040483" w14:textId="6BD0E8B1" w:rsidR="00B171AE" w:rsidRPr="00F33271" w:rsidRDefault="00B171AE" w:rsidP="00AC3663">
            <w:pPr>
              <w:spacing w:before="60" w:after="60"/>
              <w:rPr>
                <w:sz w:val="20"/>
                <w:lang w:val="en-GB"/>
              </w:rPr>
            </w:pPr>
            <w:r w:rsidRPr="00F608A7">
              <w:rPr>
                <w:noProof/>
                <w:lang w:eastAsia="pl-PL"/>
              </w:rPr>
              <mc:AlternateContent>
                <mc:Choice Requires="wps">
                  <w:drawing>
                    <wp:anchor distT="0" distB="0" distL="114300" distR="114300" simplePos="0" relativeHeight="251658272" behindDoc="0" locked="0" layoutInCell="1" allowOverlap="1" wp14:anchorId="1A5E26B2" wp14:editId="30E8BE15">
                      <wp:simplePos x="0" y="0"/>
                      <wp:positionH relativeFrom="column">
                        <wp:posOffset>-24765</wp:posOffset>
                      </wp:positionH>
                      <wp:positionV relativeFrom="paragraph">
                        <wp:posOffset>425450</wp:posOffset>
                      </wp:positionV>
                      <wp:extent cx="232410" cy="309880"/>
                      <wp:effectExtent l="0" t="19050" r="34290" b="33020"/>
                      <wp:wrapNone/>
                      <wp:docPr id="25" name="Strzałka w praw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 cy="309880"/>
                              </a:xfrm>
                              <a:prstGeom prst="rightArrow">
                                <a:avLst/>
                              </a:prstGeom>
                              <a:noFill/>
                              <a:ln>
                                <a:solidFill>
                                  <a:srgbClr val="FFE5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C959B6" id="Strzałka w prawo 25" o:spid="_x0000_s1026" type="#_x0000_t13" style="position:absolute;margin-left:-1.95pt;margin-top:33.5pt;width:18.3pt;height:24.4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" adj="10800" filled="f" strokecolor="#ffe599" strokeweight="1pt">
                      <v:path arrowok="t"/>
                    </v:shape>
                  </w:pict>
                </mc:Fallback>
              </mc:AlternateContent>
            </w:r>
          </w:p>
        </w:tc>
        <w:tc>
          <w:tcPr>
            <w:tcW w:w="4252" w:type="dxa"/>
            <w:tcBorders>
              <w:top w:val="single" w:sz="4" w:space="0" w:color="FFC000"/>
              <w:bottom w:val="single" w:sz="4" w:space="0" w:color="FFC000"/>
            </w:tcBorders>
            <w:vAlign w:val="center"/>
          </w:tcPr>
          <w:p w14:paraId="342DC52C" w14:textId="77777777" w:rsidR="00B171AE" w:rsidRPr="00AB32C9" w:rsidRDefault="00B171AE" w:rsidP="00AC3663">
            <w:pPr>
              <w:spacing w:before="60" w:after="60"/>
              <w:rPr>
                <w:sz w:val="20"/>
                <w:lang w:val="en-GB"/>
              </w:rPr>
            </w:pPr>
            <w:r>
              <w:rPr>
                <w:sz w:val="20"/>
                <w:lang w:val="en-GB"/>
              </w:rPr>
              <w:t>Develop</w:t>
            </w:r>
            <w:r w:rsidRPr="00AB32C9">
              <w:rPr>
                <w:sz w:val="20"/>
                <w:lang w:val="en-GB"/>
              </w:rPr>
              <w:t xml:space="preserve"> </w:t>
            </w:r>
            <w:r>
              <w:rPr>
                <w:sz w:val="20"/>
                <w:lang w:val="en-GB"/>
              </w:rPr>
              <w:t>assumptions,</w:t>
            </w:r>
            <w:r w:rsidRPr="00AB32C9">
              <w:rPr>
                <w:sz w:val="20"/>
                <w:lang w:val="en-GB"/>
              </w:rPr>
              <w:t xml:space="preserve"> as part of the Strategy up</w:t>
            </w:r>
            <w:r>
              <w:rPr>
                <w:sz w:val="20"/>
                <w:lang w:val="en-GB"/>
              </w:rPr>
              <w:t xml:space="preserve">date process, for the system of communication, </w:t>
            </w:r>
            <w:r w:rsidRPr="00AB32C9">
              <w:rPr>
                <w:sz w:val="20"/>
                <w:lang w:val="en-GB"/>
              </w:rPr>
              <w:t>implementation and monitoring of the most important planning document in the voivodship</w:t>
            </w:r>
            <w:r>
              <w:rPr>
                <w:sz w:val="20"/>
                <w:lang w:val="en-GB"/>
              </w:rPr>
              <w:t>.</w:t>
            </w:r>
          </w:p>
        </w:tc>
      </w:tr>
    </w:tbl>
    <w:p w14:paraId="0D9A75E9" w14:textId="77777777" w:rsidR="00B171AE" w:rsidRDefault="00B171AE" w:rsidP="00B171AE">
      <w:pPr>
        <w:rPr>
          <w:sz w:val="18"/>
          <w:szCs w:val="18"/>
          <w:lang w:val="en-GB"/>
        </w:rPr>
      </w:pPr>
    </w:p>
    <w:p w14:paraId="79AA2663" w14:textId="77777777" w:rsidR="00B171AE" w:rsidRPr="00872A4D" w:rsidRDefault="00B171AE" w:rsidP="00B171AE">
      <w:pPr>
        <w:rPr>
          <w:szCs w:val="22"/>
          <w:lang w:val="en-GB"/>
        </w:rPr>
      </w:pPr>
      <w:r w:rsidRPr="00872A4D">
        <w:rPr>
          <w:szCs w:val="22"/>
          <w:lang w:val="en-GB"/>
        </w:rPr>
        <w:t>In addition to the above-mentioned key suggestions regarding the actions recommended for the preparation of the voivodship development strategy update and its implementation, the evaluation provides two recommendations regarding operational programs:</w:t>
      </w:r>
    </w:p>
    <w:p w14:paraId="0F8F8D64" w14:textId="77777777" w:rsidR="00B171AE" w:rsidRDefault="00B171AE" w:rsidP="00B171AE">
      <w:pPr>
        <w:rPr>
          <w:szCs w:val="22"/>
          <w:lang w:val="en-GB"/>
        </w:rPr>
      </w:pPr>
      <w:r w:rsidRPr="00872A4D">
        <w:rPr>
          <w:b/>
          <w:szCs w:val="22"/>
          <w:lang w:val="en-GB"/>
        </w:rPr>
        <w:t>Recomme</w:t>
      </w:r>
      <w:r>
        <w:rPr>
          <w:b/>
          <w:szCs w:val="22"/>
          <w:lang w:val="en-GB"/>
        </w:rPr>
        <w:t>ndation 1. Develop rules for</w:t>
      </w:r>
      <w:r w:rsidRPr="00872A4D">
        <w:rPr>
          <w:b/>
          <w:szCs w:val="22"/>
          <w:lang w:val="en-GB"/>
        </w:rPr>
        <w:t xml:space="preserve"> effective monitoring of strategic projects.</w:t>
      </w:r>
      <w:r w:rsidRPr="00872A4D">
        <w:rPr>
          <w:szCs w:val="22"/>
          <w:lang w:val="en-GB"/>
        </w:rPr>
        <w:t xml:space="preserve"> </w:t>
      </w:r>
    </w:p>
    <w:p w14:paraId="112FFEB0" w14:textId="77777777" w:rsidR="00B171AE" w:rsidRPr="00872A4D" w:rsidRDefault="00B171AE" w:rsidP="00B171AE">
      <w:pPr>
        <w:rPr>
          <w:szCs w:val="22"/>
          <w:lang w:val="en-GB"/>
        </w:rPr>
      </w:pPr>
      <w:r w:rsidRPr="00872A4D">
        <w:rPr>
          <w:szCs w:val="22"/>
          <w:lang w:val="en-GB"/>
        </w:rPr>
        <w:t xml:space="preserve">Most likely, the voivodships' fourth-generation development strategies will include provisions for strategic projects that should be particularly monitored (a combination of product, result and impact </w:t>
      </w:r>
      <w:r w:rsidRPr="00872A4D">
        <w:rPr>
          <w:szCs w:val="22"/>
          <w:lang w:val="en-GB"/>
        </w:rPr>
        <w:lastRenderedPageBreak/>
        <w:t xml:space="preserve">indicators). Already at the selection stage of these projects, criteria should be adopted for assessing the strategic impact of a given project on the </w:t>
      </w:r>
      <w:r>
        <w:rPr>
          <w:szCs w:val="22"/>
          <w:lang w:val="en-GB"/>
        </w:rPr>
        <w:t>voivodship</w:t>
      </w:r>
      <w:r w:rsidRPr="00872A4D">
        <w:rPr>
          <w:szCs w:val="22"/>
          <w:lang w:val="en-GB"/>
        </w:rPr>
        <w:t xml:space="preserve"> dev</w:t>
      </w:r>
      <w:r>
        <w:rPr>
          <w:szCs w:val="22"/>
          <w:lang w:val="en-GB"/>
        </w:rPr>
        <w:t xml:space="preserve">elopment </w:t>
      </w:r>
      <w:r w:rsidRPr="00872A4D">
        <w:rPr>
          <w:szCs w:val="22"/>
          <w:lang w:val="en-GB"/>
        </w:rPr>
        <w:t>and</w:t>
      </w:r>
      <w:r>
        <w:rPr>
          <w:szCs w:val="22"/>
          <w:lang w:val="en-GB"/>
        </w:rPr>
        <w:t xml:space="preserve"> subsequent verification of that</w:t>
      </w:r>
      <w:r w:rsidRPr="00872A4D">
        <w:rPr>
          <w:szCs w:val="22"/>
          <w:lang w:val="en-GB"/>
        </w:rPr>
        <w:t xml:space="preserve"> impact.</w:t>
      </w:r>
    </w:p>
    <w:p w14:paraId="794A52BE" w14:textId="77777777" w:rsidR="00B171AE" w:rsidRDefault="00B171AE" w:rsidP="00B171AE">
      <w:pPr>
        <w:rPr>
          <w:szCs w:val="22"/>
          <w:lang w:val="en-GB"/>
        </w:rPr>
      </w:pPr>
      <w:r w:rsidRPr="00872A4D">
        <w:rPr>
          <w:b/>
          <w:szCs w:val="22"/>
          <w:lang w:val="en-GB"/>
        </w:rPr>
        <w:t>Recommendation 2. Increasing the territorialisation coherence of development policy in the strategic and operational dimension</w:t>
      </w:r>
      <w:r w:rsidRPr="00872A4D">
        <w:rPr>
          <w:szCs w:val="22"/>
          <w:lang w:val="en-GB"/>
        </w:rPr>
        <w:t xml:space="preserve">. Territorial integration should be sought for planned activities financed from various European funds (mainly: ERDF, ESF, EAFRD). This type of integration will allow to intensify the impact of development policy in specific subregions and, above all, it should reduce the number of interventions that assume "the whole </w:t>
      </w:r>
      <w:r>
        <w:rPr>
          <w:szCs w:val="22"/>
          <w:lang w:val="en-GB"/>
        </w:rPr>
        <w:t>voivodship</w:t>
      </w:r>
      <w:r w:rsidRPr="00872A4D">
        <w:rPr>
          <w:szCs w:val="22"/>
          <w:lang w:val="en-GB"/>
        </w:rPr>
        <w:t xml:space="preserve"> area" already at th</w:t>
      </w:r>
      <w:r>
        <w:rPr>
          <w:szCs w:val="22"/>
          <w:lang w:val="en-GB"/>
        </w:rPr>
        <w:t>e stage of program construction</w:t>
      </w:r>
      <w:r w:rsidRPr="00872A4D">
        <w:rPr>
          <w:szCs w:val="22"/>
          <w:lang w:val="en-GB"/>
        </w:rPr>
        <w:t>.</w:t>
      </w:r>
    </w:p>
    <w:p w14:paraId="335534B1" w14:textId="77777777" w:rsidR="00B171AE" w:rsidRDefault="00B171AE" w:rsidP="00B171AE">
      <w:pPr>
        <w:tabs>
          <w:tab w:val="left" w:pos="4053"/>
        </w:tabs>
        <w:rPr>
          <w:szCs w:val="22"/>
          <w:lang w:val="en-GB"/>
        </w:rPr>
      </w:pPr>
      <w:r>
        <w:rPr>
          <w:szCs w:val="22"/>
          <w:lang w:val="en-GB"/>
        </w:rPr>
        <w:tab/>
      </w:r>
      <w:r w:rsidRPr="00F33271">
        <w:rPr>
          <w:lang w:val="en-GB"/>
        </w:rPr>
        <w:t>***</w:t>
      </w:r>
    </w:p>
    <w:p w14:paraId="66D332E7" w14:textId="77777777" w:rsidR="00B171AE" w:rsidRPr="00872A4D" w:rsidRDefault="00B171AE" w:rsidP="00B171AE">
      <w:pPr>
        <w:rPr>
          <w:szCs w:val="22"/>
          <w:lang w:val="en-GB"/>
        </w:rPr>
      </w:pPr>
      <w:r w:rsidRPr="00872A4D">
        <w:rPr>
          <w:szCs w:val="22"/>
          <w:lang w:val="en-GB"/>
        </w:rPr>
        <w:t>At this point, the authors of the evaluation would like to thank all those who have devoted their time and shared their own experiences and insights regarding the topics addressed in the Report. Special tribute to the employees of the Department of Regiona</w:t>
      </w:r>
      <w:r>
        <w:rPr>
          <w:szCs w:val="22"/>
          <w:lang w:val="en-GB"/>
        </w:rPr>
        <w:t xml:space="preserve">l Policy of the </w:t>
      </w:r>
      <w:r w:rsidRPr="00760780">
        <w:rPr>
          <w:szCs w:val="22"/>
          <w:lang w:val="en-GB"/>
        </w:rPr>
        <w:t>Wie</w:t>
      </w:r>
      <w:r>
        <w:rPr>
          <w:szCs w:val="22"/>
          <w:lang w:val="en-GB"/>
        </w:rPr>
        <w:t>lkopolskie</w:t>
      </w:r>
      <w:r w:rsidRPr="00760780">
        <w:rPr>
          <w:szCs w:val="22"/>
          <w:lang w:val="en-GB"/>
        </w:rPr>
        <w:t xml:space="preserve"> Voivodship Marshal</w:t>
      </w:r>
      <w:r>
        <w:rPr>
          <w:szCs w:val="22"/>
          <w:lang w:val="en-GB"/>
        </w:rPr>
        <w:t>’s</w:t>
      </w:r>
      <w:r w:rsidRPr="00760780">
        <w:rPr>
          <w:szCs w:val="22"/>
          <w:lang w:val="en-GB"/>
        </w:rPr>
        <w:t xml:space="preserve"> Office</w:t>
      </w:r>
      <w:r w:rsidRPr="00872A4D">
        <w:rPr>
          <w:szCs w:val="22"/>
          <w:lang w:val="en-GB"/>
        </w:rPr>
        <w:t>. Their involvement, support and criticism were the foundation of the evaluation process finalized in this Report</w:t>
      </w:r>
    </w:p>
    <w:p w14:paraId="189776BA" w14:textId="77777777" w:rsidR="00F47610" w:rsidRPr="00B171AE" w:rsidRDefault="00F47610">
      <w:pPr>
        <w:spacing w:after="0" w:line="240" w:lineRule="auto"/>
        <w:jc w:val="left"/>
        <w:rPr>
          <w:lang w:val="en-GB" w:eastAsia="pl-PL"/>
        </w:rPr>
      </w:pPr>
    </w:p>
    <w:p w14:paraId="57EB4845" w14:textId="77777777" w:rsidR="00F47610" w:rsidRPr="00B171AE" w:rsidRDefault="00F47610">
      <w:pPr>
        <w:spacing w:after="0" w:line="240" w:lineRule="auto"/>
        <w:jc w:val="left"/>
        <w:rPr>
          <w:lang w:val="en-GB" w:eastAsia="pl-PL"/>
        </w:rPr>
      </w:pPr>
      <w:r w:rsidRPr="00B171AE">
        <w:rPr>
          <w:lang w:val="en-GB" w:eastAsia="pl-PL"/>
        </w:rPr>
        <w:br w:type="page"/>
      </w:r>
    </w:p>
    <w:p w14:paraId="78406ACF" w14:textId="2E86C3C6" w:rsidR="00E5220E" w:rsidRDefault="004846B7" w:rsidP="000370BA">
      <w:pPr>
        <w:pStyle w:val="Nagwek1"/>
      </w:pPr>
      <w:bookmarkStart w:id="21" w:name="_Toc536653096"/>
      <w:bookmarkStart w:id="22" w:name="_Toc5699441"/>
      <w:r>
        <w:lastRenderedPageBreak/>
        <w:t>Strategia Wielkopolska 2020</w:t>
      </w:r>
      <w:r w:rsidR="00124395">
        <w:rPr>
          <w:rStyle w:val="Odwoanieprzypisudolnego"/>
        </w:rPr>
        <w:footnoteReference w:id="6"/>
      </w:r>
      <w:r>
        <w:t xml:space="preserve"> potrzebuje </w:t>
      </w:r>
      <w:bookmarkEnd w:id="21"/>
      <w:r>
        <w:t>aktualizacji</w:t>
      </w:r>
      <w:bookmarkEnd w:id="22"/>
    </w:p>
    <w:p w14:paraId="5A4E8F0B" w14:textId="77777777" w:rsidR="00CF23B5" w:rsidRPr="00CF23B5" w:rsidRDefault="00CF23B5" w:rsidP="00CF23B5">
      <w:pPr>
        <w:pStyle w:val="Nagwek2"/>
      </w:pPr>
      <w:bookmarkStart w:id="23" w:name="_Toc5699442"/>
      <w:r>
        <w:t>Aktualizacja jest odpowiedzią na różn</w:t>
      </w:r>
      <w:r w:rsidR="00193909">
        <w:t>e</w:t>
      </w:r>
      <w:r>
        <w:t xml:space="preserve"> uwarunkowania planowania strategicznego</w:t>
      </w:r>
      <w:bookmarkEnd w:id="23"/>
    </w:p>
    <w:p w14:paraId="12D27EFA" w14:textId="77777777" w:rsidR="004846B7" w:rsidRPr="00193909" w:rsidRDefault="004846B7" w:rsidP="00D31F83">
      <w:pPr>
        <w:ind w:left="4536"/>
        <w:jc w:val="left"/>
        <w:rPr>
          <w:b/>
          <w:i/>
          <w:color w:val="001E50"/>
        </w:rPr>
      </w:pPr>
      <w:r w:rsidRPr="00193909">
        <w:rPr>
          <w:b/>
          <w:i/>
          <w:color w:val="001E50"/>
        </w:rPr>
        <w:t>Strategia jest przygotowana na określony czas…</w:t>
      </w:r>
    </w:p>
    <w:p w14:paraId="305DF877" w14:textId="61E10BE4" w:rsidR="004846B7" w:rsidRDefault="00DE0D4F" w:rsidP="00E5220E">
      <w:pPr>
        <w:rPr>
          <w:lang w:eastAsia="pl-PL"/>
        </w:rPr>
      </w:pPr>
      <w:r>
        <w:rPr>
          <w:lang w:eastAsia="pl-PL"/>
        </w:rPr>
        <w:t>Aktualna Strategia rozwoju województwa została przygotowana w 2012 roku i swoim zakresem czasowym sięga 2020 roku.</w:t>
      </w:r>
      <w:r w:rsidR="004846B7">
        <w:rPr>
          <w:lang w:eastAsia="pl-PL"/>
        </w:rPr>
        <w:t xml:space="preserve"> Zatem niezależnie od uwarunkowań </w:t>
      </w:r>
      <w:r w:rsidR="00503E58">
        <w:rPr>
          <w:lang w:eastAsia="pl-PL"/>
        </w:rPr>
        <w:t xml:space="preserve">zewnętrznych Zarząd Województwa, nie mogąc dopuścić do sytuacji, w której Samorząd Województwa nie ma aktualnej Strategii, jest zmuszony do rozpoczęcia prac nad </w:t>
      </w:r>
      <w:r w:rsidR="00253334">
        <w:rPr>
          <w:lang w:eastAsia="pl-PL"/>
        </w:rPr>
        <w:t xml:space="preserve">jej </w:t>
      </w:r>
      <w:r w:rsidR="00503E58">
        <w:rPr>
          <w:lang w:eastAsia="pl-PL"/>
        </w:rPr>
        <w:t>aktualizacją.</w:t>
      </w:r>
    </w:p>
    <w:p w14:paraId="2011B730" w14:textId="77777777" w:rsidR="004846B7" w:rsidRPr="004846B7" w:rsidRDefault="00503E58" w:rsidP="00D31F83">
      <w:pPr>
        <w:ind w:left="4536"/>
        <w:jc w:val="left"/>
        <w:rPr>
          <w:b/>
          <w:i/>
          <w:color w:val="001E50"/>
        </w:rPr>
      </w:pPr>
      <w:r>
        <w:rPr>
          <w:b/>
          <w:i/>
          <w:color w:val="001E50"/>
        </w:rPr>
        <w:t xml:space="preserve">…jednak najczęściej o </w:t>
      </w:r>
      <w:r w:rsidR="00CF23B5">
        <w:rPr>
          <w:b/>
          <w:i/>
          <w:color w:val="001E50"/>
        </w:rPr>
        <w:t xml:space="preserve">potrzebie </w:t>
      </w:r>
      <w:r>
        <w:rPr>
          <w:b/>
          <w:i/>
          <w:color w:val="001E50"/>
        </w:rPr>
        <w:t>jej aktualizacji decydują czynniki zewnętrzne</w:t>
      </w:r>
    </w:p>
    <w:p w14:paraId="62AD6AA0" w14:textId="38EF7D69" w:rsidR="004846B7" w:rsidRDefault="4A476B56" w:rsidP="00E5220E">
      <w:pPr>
        <w:rPr>
          <w:lang w:eastAsia="pl-PL"/>
        </w:rPr>
      </w:pPr>
      <w:r w:rsidRPr="4A476B56">
        <w:rPr>
          <w:lang w:eastAsia="pl-PL"/>
        </w:rPr>
        <w:t>Poza</w:t>
      </w:r>
      <w:r w:rsidR="00503E58">
        <w:rPr>
          <w:lang w:eastAsia="pl-PL"/>
        </w:rPr>
        <w:t xml:space="preserve"> powodem związanym ze zbliżającym się terminem ważności Strategii, należy odnotować bardzo ważne procesy zewnętrzne, które wpływają na konieczność aktualizacji wszystkich strategii województw w Polsce:</w:t>
      </w:r>
    </w:p>
    <w:p w14:paraId="0523A1A3" w14:textId="3B00BA2B" w:rsidR="4A476B56" w:rsidRDefault="4A476B56" w:rsidP="4A476B56">
      <w:pPr>
        <w:pStyle w:val="Akapitzlist"/>
        <w:numPr>
          <w:ilvl w:val="0"/>
          <w:numId w:val="29"/>
        </w:numPr>
        <w:rPr>
          <w:lang w:eastAsia="pl-PL"/>
        </w:rPr>
      </w:pPr>
      <w:r w:rsidRPr="4A476B56">
        <w:rPr>
          <w:lang w:eastAsia="pl-PL"/>
        </w:rPr>
        <w:t>w lutym 2017 roku</w:t>
      </w:r>
      <w:r w:rsidR="00FE3834">
        <w:rPr>
          <w:lang w:eastAsia="pl-PL"/>
        </w:rPr>
        <w:t xml:space="preserve"> Rząd RP</w:t>
      </w:r>
      <w:r w:rsidRPr="4A476B56">
        <w:rPr>
          <w:lang w:eastAsia="pl-PL"/>
        </w:rPr>
        <w:t xml:space="preserve"> przyjął </w:t>
      </w:r>
      <w:r w:rsidRPr="00FE3834">
        <w:rPr>
          <w:i/>
          <w:lang w:eastAsia="pl-PL"/>
        </w:rPr>
        <w:t>Strategię na rzecz Odpowiedzialnego Rozwoju</w:t>
      </w:r>
      <w:r w:rsidRPr="4A476B56">
        <w:rPr>
          <w:lang w:eastAsia="pl-PL"/>
        </w:rPr>
        <w:t xml:space="preserve">, która pełni funkcję średniookresowej strategii rozwoju </w:t>
      </w:r>
      <w:r w:rsidRPr="2CD63631">
        <w:rPr>
          <w:rFonts w:eastAsia="Calibri"/>
        </w:rPr>
        <w:t>kraju – dokumentu uwzględnianego przez województwa w swoich strategiach;</w:t>
      </w:r>
    </w:p>
    <w:p w14:paraId="0AAFC3F8" w14:textId="1AD77680" w:rsidR="00503E58" w:rsidRDefault="00503E58" w:rsidP="00512544">
      <w:pPr>
        <w:pStyle w:val="Akapitzlist"/>
        <w:numPr>
          <w:ilvl w:val="0"/>
          <w:numId w:val="29"/>
        </w:numPr>
        <w:rPr>
          <w:lang w:eastAsia="pl-PL"/>
        </w:rPr>
      </w:pPr>
      <w:r>
        <w:rPr>
          <w:lang w:eastAsia="pl-PL"/>
        </w:rPr>
        <w:t>o</w:t>
      </w:r>
      <w:r w:rsidR="00DE0D4F">
        <w:rPr>
          <w:lang w:eastAsia="pl-PL"/>
        </w:rPr>
        <w:t>becnie finalizowane są prace nad Krajową Strategią Rozwoju Regionalnego, po przyjęciu której wszystkie województwa powinny podjąć się przeglądu swoich dokumentów strategicznych</w:t>
      </w:r>
      <w:r w:rsidR="4A476B56" w:rsidRPr="4A476B56">
        <w:rPr>
          <w:lang w:eastAsia="pl-PL"/>
        </w:rPr>
        <w:t>;</w:t>
      </w:r>
      <w:r w:rsidR="00DE0D4F">
        <w:rPr>
          <w:lang w:eastAsia="pl-PL"/>
        </w:rPr>
        <w:t xml:space="preserve"> </w:t>
      </w:r>
    </w:p>
    <w:p w14:paraId="13FDB82B" w14:textId="77777777" w:rsidR="00DE0D4F" w:rsidRDefault="00503E58" w:rsidP="00512544">
      <w:pPr>
        <w:pStyle w:val="Akapitzlist"/>
        <w:numPr>
          <w:ilvl w:val="0"/>
          <w:numId w:val="29"/>
        </w:numPr>
        <w:rPr>
          <w:lang w:eastAsia="pl-PL"/>
        </w:rPr>
      </w:pPr>
      <w:r>
        <w:rPr>
          <w:lang w:eastAsia="pl-PL"/>
        </w:rPr>
        <w:t>p</w:t>
      </w:r>
      <w:r w:rsidR="00DE0D4F">
        <w:rPr>
          <w:lang w:eastAsia="pl-PL"/>
        </w:rPr>
        <w:t xml:space="preserve">onadto trwają prace nad budżetem Unii Europejskiej na lata 2021-2027, którego środki będą w dużej mierze finansowały przedsięwzięcia rozwojowe w całej Polsce. </w:t>
      </w:r>
    </w:p>
    <w:p w14:paraId="078F1082" w14:textId="6E57BA49" w:rsidR="00503E58" w:rsidRDefault="00DE0D4F" w:rsidP="00E5220E">
      <w:pPr>
        <w:rPr>
          <w:lang w:eastAsia="pl-PL"/>
        </w:rPr>
      </w:pPr>
      <w:r>
        <w:rPr>
          <w:lang w:eastAsia="pl-PL"/>
        </w:rPr>
        <w:t xml:space="preserve">W związku z powyższym wszystkie zarządy województw w Polsce podjęły </w:t>
      </w:r>
      <w:r w:rsidR="4A476B56" w:rsidRPr="4A476B56">
        <w:rPr>
          <w:lang w:eastAsia="pl-PL"/>
        </w:rPr>
        <w:t>decyzję</w:t>
      </w:r>
      <w:r>
        <w:rPr>
          <w:lang w:eastAsia="pl-PL"/>
        </w:rPr>
        <w:t xml:space="preserve"> o </w:t>
      </w:r>
      <w:r w:rsidR="4A476B56" w:rsidRPr="4A476B56">
        <w:rPr>
          <w:lang w:eastAsia="pl-PL"/>
        </w:rPr>
        <w:t>zaktualizowaniu</w:t>
      </w:r>
      <w:r>
        <w:rPr>
          <w:lang w:eastAsia="pl-PL"/>
        </w:rPr>
        <w:t xml:space="preserve"> swoich dotychczasowych dokumentów.</w:t>
      </w:r>
    </w:p>
    <w:p w14:paraId="1678F843" w14:textId="735C9927" w:rsidR="00CF23B5" w:rsidRPr="00CF23B5" w:rsidRDefault="00193909" w:rsidP="00CF23B5">
      <w:pPr>
        <w:pStyle w:val="Nagwek2"/>
      </w:pPr>
      <w:bookmarkStart w:id="24" w:name="_Toc5699443"/>
      <w:r>
        <w:t>Ewaluacja jako krok w kierunku a</w:t>
      </w:r>
      <w:r w:rsidR="00CF23B5">
        <w:t>ktualizacj</w:t>
      </w:r>
      <w:r>
        <w:t>i Strategii</w:t>
      </w:r>
      <w:bookmarkEnd w:id="24"/>
    </w:p>
    <w:p w14:paraId="39D8DC2F" w14:textId="77777777" w:rsidR="00193909" w:rsidRPr="004846B7" w:rsidRDefault="00193909" w:rsidP="00BF08D5">
      <w:pPr>
        <w:ind w:left="4536"/>
        <w:jc w:val="left"/>
        <w:rPr>
          <w:b/>
          <w:i/>
          <w:color w:val="001E50"/>
        </w:rPr>
      </w:pPr>
      <w:r>
        <w:rPr>
          <w:b/>
          <w:i/>
          <w:color w:val="001E50"/>
        </w:rPr>
        <w:t>Celem ewaluacji jest dostarczenie argumentów do dalszych prac nad aktualizacją Strategii</w:t>
      </w:r>
    </w:p>
    <w:p w14:paraId="4F83D99B" w14:textId="711E4C31" w:rsidR="00E5220E" w:rsidRDefault="00DE0D4F" w:rsidP="00E5220E">
      <w:pPr>
        <w:rPr>
          <w:lang w:eastAsia="pl-PL"/>
        </w:rPr>
      </w:pPr>
      <w:r>
        <w:rPr>
          <w:lang w:eastAsia="pl-PL"/>
        </w:rPr>
        <w:t xml:space="preserve">Rzetelna aktualizacja </w:t>
      </w:r>
      <w:r w:rsidR="00193909">
        <w:rPr>
          <w:lang w:eastAsia="pl-PL"/>
        </w:rPr>
        <w:t xml:space="preserve">Strategii </w:t>
      </w:r>
      <w:r>
        <w:rPr>
          <w:lang w:eastAsia="pl-PL"/>
        </w:rPr>
        <w:t>powinna być poprzedzona oceną dotychczasowych działań</w:t>
      </w:r>
      <w:r w:rsidR="4A476B56" w:rsidRPr="4A476B56">
        <w:rPr>
          <w:lang w:eastAsia="pl-PL"/>
        </w:rPr>
        <w:t>, czemu</w:t>
      </w:r>
      <w:r>
        <w:rPr>
          <w:lang w:eastAsia="pl-PL"/>
        </w:rPr>
        <w:t xml:space="preserve"> służy niniejsza ewaluacja.</w:t>
      </w:r>
      <w:r w:rsidR="00193909">
        <w:rPr>
          <w:lang w:eastAsia="pl-PL"/>
        </w:rPr>
        <w:t xml:space="preserve"> </w:t>
      </w:r>
      <w:r w:rsidR="00E5220E">
        <w:rPr>
          <w:lang w:eastAsia="pl-PL"/>
        </w:rPr>
        <w:t>Cel</w:t>
      </w:r>
      <w:r w:rsidR="00193909">
        <w:rPr>
          <w:lang w:eastAsia="pl-PL"/>
        </w:rPr>
        <w:t xml:space="preserve"> </w:t>
      </w:r>
      <w:r w:rsidR="00E5220E">
        <w:rPr>
          <w:lang w:eastAsia="pl-PL"/>
        </w:rPr>
        <w:t xml:space="preserve">główny </w:t>
      </w:r>
      <w:r>
        <w:rPr>
          <w:lang w:eastAsia="pl-PL"/>
        </w:rPr>
        <w:t>procesu ewaluacji</w:t>
      </w:r>
      <w:r w:rsidR="00E5220E">
        <w:rPr>
          <w:lang w:eastAsia="pl-PL"/>
        </w:rPr>
        <w:t xml:space="preserve"> </w:t>
      </w:r>
      <w:r w:rsidR="00193909">
        <w:rPr>
          <w:lang w:eastAsia="pl-PL"/>
        </w:rPr>
        <w:t>sformułowano następująco</w:t>
      </w:r>
      <w:r w:rsidR="00E5220E">
        <w:rPr>
          <w:lang w:eastAsia="pl-PL"/>
        </w:rPr>
        <w:t>:</w:t>
      </w:r>
    </w:p>
    <w:p w14:paraId="103FE3AE" w14:textId="77777777" w:rsidR="00E5220E" w:rsidRPr="00CE561D" w:rsidRDefault="00E5220E" w:rsidP="00193909">
      <w:pPr>
        <w:jc w:val="center"/>
        <w:rPr>
          <w:b/>
          <w:i/>
          <w:lang w:eastAsia="pl-PL"/>
        </w:rPr>
      </w:pPr>
      <w:r w:rsidRPr="00CE561D">
        <w:rPr>
          <w:b/>
          <w:i/>
          <w:lang w:eastAsia="pl-PL"/>
        </w:rPr>
        <w:t>ocena Strategii rozwoju województwa wielkopolskiego jako podstawy planowania operacyjnego dla perspektywy finansowej UE po 2020 roku.</w:t>
      </w:r>
    </w:p>
    <w:p w14:paraId="7E0E51EA" w14:textId="77777777" w:rsidR="00E5220E" w:rsidRDefault="00193909" w:rsidP="00E5220E">
      <w:pPr>
        <w:rPr>
          <w:lang w:eastAsia="pl-PL"/>
        </w:rPr>
      </w:pPr>
      <w:bookmarkStart w:id="25" w:name="_Toc536653098"/>
      <w:r>
        <w:t xml:space="preserve">Prezentowana ewaluacja </w:t>
      </w:r>
      <w:bookmarkEnd w:id="25"/>
      <w:r w:rsidR="004D7169">
        <w:rPr>
          <w:lang w:eastAsia="pl-PL"/>
        </w:rPr>
        <w:t>uwzględnia cztery zakresy prowadzenia polityki rozwoju regionu:</w:t>
      </w:r>
    </w:p>
    <w:p w14:paraId="066977B2" w14:textId="34E243D6" w:rsidR="00E5220E" w:rsidRDefault="00E5220E" w:rsidP="004D7169">
      <w:pPr>
        <w:pStyle w:val="Akapitzlist"/>
        <w:numPr>
          <w:ilvl w:val="0"/>
          <w:numId w:val="7"/>
        </w:numPr>
        <w:ind w:left="426"/>
        <w:rPr>
          <w:lang w:eastAsia="pl-PL"/>
        </w:rPr>
      </w:pPr>
      <w:r w:rsidRPr="000D4F0D">
        <w:rPr>
          <w:b/>
          <w:lang w:eastAsia="pl-PL"/>
        </w:rPr>
        <w:t>Zakres podmiotowy</w:t>
      </w:r>
      <w:r>
        <w:rPr>
          <w:lang w:eastAsia="pl-PL"/>
        </w:rPr>
        <w:t xml:space="preserve"> – podmiotem w niniejszym badaniu jest Samorząd Województwa Wielkopolskiego, który jest odpowiedzialny za realizację zapisów Strategii. Oznacza to, że w </w:t>
      </w:r>
      <w:r>
        <w:rPr>
          <w:lang w:eastAsia="pl-PL"/>
        </w:rPr>
        <w:lastRenderedPageBreak/>
        <w:t xml:space="preserve">badanie </w:t>
      </w:r>
      <w:r w:rsidR="00FE3834">
        <w:rPr>
          <w:lang w:eastAsia="pl-PL"/>
        </w:rPr>
        <w:t xml:space="preserve">zostali </w:t>
      </w:r>
      <w:r>
        <w:rPr>
          <w:lang w:eastAsia="pl-PL"/>
        </w:rPr>
        <w:t>zaangażowani przedstawiciele departamentów i biur UMWW oraz jednostek organizacyjnych województwa.</w:t>
      </w:r>
    </w:p>
    <w:p w14:paraId="17219A8B" w14:textId="1D5FC969" w:rsidR="00E5220E" w:rsidRDefault="00E5220E" w:rsidP="004D7169">
      <w:pPr>
        <w:pStyle w:val="Akapitzlist"/>
        <w:numPr>
          <w:ilvl w:val="0"/>
          <w:numId w:val="7"/>
        </w:numPr>
        <w:ind w:left="426"/>
        <w:rPr>
          <w:lang w:eastAsia="pl-PL"/>
        </w:rPr>
      </w:pPr>
      <w:r w:rsidRPr="000D4F0D">
        <w:rPr>
          <w:b/>
          <w:lang w:eastAsia="pl-PL"/>
        </w:rPr>
        <w:t>Zakres przedmiotowy</w:t>
      </w:r>
      <w:r>
        <w:rPr>
          <w:lang w:eastAsia="pl-PL"/>
        </w:rPr>
        <w:t xml:space="preserve"> – przedmiotem badania jest „Strategia rozwoju województwa wielkopolskiego do 2020 roku. Wielkopolska 2020”. W szczególności analizie i ocenie poddane zosta</w:t>
      </w:r>
      <w:r w:rsidR="00FE3834">
        <w:rPr>
          <w:lang w:eastAsia="pl-PL"/>
        </w:rPr>
        <w:t>ł</w:t>
      </w:r>
      <w:r>
        <w:rPr>
          <w:lang w:eastAsia="pl-PL"/>
        </w:rPr>
        <w:t>: paradygmat rozwoju określony w Strategii, system jej realizacji oraz działania podjęte w ramach Strategii. Zatem Strategia interesuje nas zarówno z punktu widzenia dokumentu, jak i procesu jego realizacji.</w:t>
      </w:r>
    </w:p>
    <w:p w14:paraId="7F3286C8" w14:textId="55E36EA3" w:rsidR="00E5220E" w:rsidRDefault="00E5220E" w:rsidP="004D7169">
      <w:pPr>
        <w:pStyle w:val="Akapitzlist"/>
        <w:numPr>
          <w:ilvl w:val="0"/>
          <w:numId w:val="7"/>
        </w:numPr>
        <w:ind w:left="426"/>
        <w:rPr>
          <w:lang w:eastAsia="pl-PL"/>
        </w:rPr>
      </w:pPr>
      <w:r w:rsidRPr="000D4F0D">
        <w:rPr>
          <w:b/>
          <w:lang w:eastAsia="pl-PL"/>
        </w:rPr>
        <w:t>Zakres przestrzenny</w:t>
      </w:r>
      <w:r>
        <w:rPr>
          <w:lang w:eastAsia="pl-PL"/>
        </w:rPr>
        <w:t xml:space="preserve"> – </w:t>
      </w:r>
      <w:r w:rsidRPr="00DE6353">
        <w:rPr>
          <w:lang w:eastAsia="pl-PL"/>
        </w:rPr>
        <w:t>badanie obejmowało obszar województwa wielkopolskiego</w:t>
      </w:r>
      <w:r>
        <w:rPr>
          <w:lang w:eastAsia="pl-PL"/>
        </w:rPr>
        <w:t>, choć w przypadku koniecznych odniesień np. do pozycji konkurencyjnej regionu w ramach analizy SWOT zakres przestrzenny</w:t>
      </w:r>
      <w:r w:rsidR="00FE3834">
        <w:rPr>
          <w:lang w:eastAsia="pl-PL"/>
        </w:rPr>
        <w:t xml:space="preserve"> został</w:t>
      </w:r>
      <w:r>
        <w:rPr>
          <w:lang w:eastAsia="pl-PL"/>
        </w:rPr>
        <w:t xml:space="preserve"> rozszerzony do całej Polski.</w:t>
      </w:r>
      <w:r>
        <w:rPr>
          <w:highlight w:val="yellow"/>
          <w:lang w:eastAsia="pl-PL"/>
        </w:rPr>
        <w:t xml:space="preserve"> </w:t>
      </w:r>
    </w:p>
    <w:p w14:paraId="5069A103" w14:textId="71473153" w:rsidR="00E5220E" w:rsidRDefault="00E5220E" w:rsidP="004D7169">
      <w:pPr>
        <w:pStyle w:val="Akapitzlist"/>
        <w:numPr>
          <w:ilvl w:val="0"/>
          <w:numId w:val="7"/>
        </w:numPr>
        <w:ind w:left="426"/>
        <w:rPr>
          <w:lang w:eastAsia="pl-PL"/>
        </w:rPr>
      </w:pPr>
      <w:r w:rsidRPr="000D4F0D">
        <w:rPr>
          <w:b/>
          <w:lang w:eastAsia="pl-PL"/>
        </w:rPr>
        <w:t>Zakres czasowy</w:t>
      </w:r>
      <w:r>
        <w:rPr>
          <w:lang w:eastAsia="pl-PL"/>
        </w:rPr>
        <w:t xml:space="preserve"> – analizy obejmowały okres </w:t>
      </w:r>
      <w:r w:rsidRPr="00DE6353">
        <w:rPr>
          <w:lang w:eastAsia="pl-PL"/>
        </w:rPr>
        <w:t>17.12.2012</w:t>
      </w:r>
      <w:r>
        <w:rPr>
          <w:lang w:eastAsia="pl-PL"/>
        </w:rPr>
        <w:t xml:space="preserve"> </w:t>
      </w:r>
      <w:r w:rsidRPr="00DE6353">
        <w:rPr>
          <w:lang w:eastAsia="pl-PL"/>
        </w:rPr>
        <w:t>– 31.12.2017</w:t>
      </w:r>
      <w:r>
        <w:rPr>
          <w:lang w:eastAsia="pl-PL"/>
        </w:rPr>
        <w:t xml:space="preserve">, czyli od momentu uchwalenia </w:t>
      </w:r>
      <w:r w:rsidR="00D71B23">
        <w:rPr>
          <w:lang w:eastAsia="pl-PL"/>
        </w:rPr>
        <w:t xml:space="preserve">SRWW 2020 </w:t>
      </w:r>
      <w:r w:rsidRPr="00DE6353">
        <w:rPr>
          <w:lang w:eastAsia="pl-PL"/>
        </w:rPr>
        <w:t>przez Sejmik Województwa Wielkopolskiego</w:t>
      </w:r>
      <w:r>
        <w:rPr>
          <w:lang w:eastAsia="pl-PL"/>
        </w:rPr>
        <w:t xml:space="preserve"> do ostatniego pełnego roku,</w:t>
      </w:r>
      <w:r w:rsidR="00193909">
        <w:rPr>
          <w:lang w:eastAsia="pl-PL"/>
        </w:rPr>
        <w:t xml:space="preserve"> jaki można obecnie podsumować.</w:t>
      </w:r>
    </w:p>
    <w:p w14:paraId="7F52E1C1" w14:textId="77777777" w:rsidR="00193909" w:rsidRPr="004846B7" w:rsidRDefault="00193909" w:rsidP="00BF08D5">
      <w:pPr>
        <w:ind w:left="4536"/>
        <w:jc w:val="left"/>
        <w:rPr>
          <w:b/>
          <w:i/>
          <w:color w:val="001E50"/>
        </w:rPr>
      </w:pPr>
      <w:r>
        <w:rPr>
          <w:b/>
          <w:i/>
          <w:color w:val="001E50"/>
        </w:rPr>
        <w:t>Kryteria ewaluacji determinują rodzaj stawianych pytań i postępowanie badawcze</w:t>
      </w:r>
    </w:p>
    <w:p w14:paraId="29AB9802" w14:textId="7313D514" w:rsidR="00E5220E" w:rsidRDefault="00E5220E" w:rsidP="00C80F7D">
      <w:pPr>
        <w:spacing w:after="160" w:line="259" w:lineRule="auto"/>
        <w:rPr>
          <w:lang w:eastAsia="pl-PL"/>
        </w:rPr>
      </w:pPr>
      <w:r>
        <w:rPr>
          <w:lang w:eastAsia="pl-PL"/>
        </w:rPr>
        <w:t xml:space="preserve">W </w:t>
      </w:r>
      <w:r w:rsidR="00C80F7D">
        <w:rPr>
          <w:lang w:eastAsia="pl-PL"/>
        </w:rPr>
        <w:t xml:space="preserve">każdej ewaluacji określone są kryteria, </w:t>
      </w:r>
      <w:r w:rsidR="4A476B56" w:rsidRPr="4A476B56">
        <w:rPr>
          <w:lang w:eastAsia="pl-PL"/>
        </w:rPr>
        <w:t>którymi</w:t>
      </w:r>
      <w:r w:rsidR="00C80F7D">
        <w:rPr>
          <w:lang w:eastAsia="pl-PL"/>
        </w:rPr>
        <w:t xml:space="preserve"> dana ewaluacja jest podporządkowana. W przypadku ewaluacji Strategii rozwoju województwa wielkopolskiego Wielkopolska 2020 zastosowano dwa kryteria</w:t>
      </w:r>
      <w:r>
        <w:rPr>
          <w:lang w:eastAsia="pl-PL"/>
        </w:rPr>
        <w:t xml:space="preserve">: </w:t>
      </w:r>
    </w:p>
    <w:p w14:paraId="36F357F9" w14:textId="77777777" w:rsidR="00E5220E" w:rsidRDefault="00E5220E" w:rsidP="00C80F7D">
      <w:pPr>
        <w:pStyle w:val="Akapitzlist"/>
        <w:numPr>
          <w:ilvl w:val="0"/>
          <w:numId w:val="8"/>
        </w:numPr>
        <w:spacing w:after="160" w:line="259" w:lineRule="auto"/>
        <w:ind w:left="426"/>
        <w:rPr>
          <w:lang w:eastAsia="pl-PL"/>
        </w:rPr>
      </w:pPr>
      <w:r w:rsidRPr="0002396F">
        <w:rPr>
          <w:b/>
          <w:lang w:eastAsia="pl-PL"/>
        </w:rPr>
        <w:t>Kryterium skuteczności</w:t>
      </w:r>
      <w:r>
        <w:rPr>
          <w:lang w:eastAsia="pl-PL"/>
        </w:rPr>
        <w:t xml:space="preserve"> – w szczególności odnosiło się do oceny stopnia osiągania celów Strategii, skuteczności użytych metod oraz oceny wpływu czynników wewnętrznych i zewnętrznych na ostateczne efekty realizacji Strategii.</w:t>
      </w:r>
    </w:p>
    <w:p w14:paraId="3082BDBB" w14:textId="77777777" w:rsidR="00E5220E" w:rsidRDefault="00E5220E" w:rsidP="004A33D6">
      <w:pPr>
        <w:pStyle w:val="Akapitzlist"/>
        <w:numPr>
          <w:ilvl w:val="0"/>
          <w:numId w:val="8"/>
        </w:numPr>
        <w:spacing w:after="160" w:line="259" w:lineRule="auto"/>
        <w:ind w:left="426"/>
        <w:rPr>
          <w:lang w:eastAsia="pl-PL"/>
        </w:rPr>
      </w:pPr>
      <w:r w:rsidRPr="0002396F">
        <w:rPr>
          <w:b/>
          <w:lang w:eastAsia="pl-PL"/>
        </w:rPr>
        <w:t>Kryterium użyteczności</w:t>
      </w:r>
      <w:r>
        <w:rPr>
          <w:lang w:eastAsia="pl-PL"/>
        </w:rPr>
        <w:t xml:space="preserve"> – to kryterium pozwoli</w:t>
      </w:r>
      <w:r w:rsidR="00C80F7D">
        <w:rPr>
          <w:lang w:eastAsia="pl-PL"/>
        </w:rPr>
        <w:t>ło</w:t>
      </w:r>
      <w:r>
        <w:rPr>
          <w:lang w:eastAsia="pl-PL"/>
        </w:rPr>
        <w:t xml:space="preserve"> ocenić stopień, w jakim podejmowane w ramach realizacji działania przyczyniały się do osiągania celów Strategii. W szczególności analizowane </w:t>
      </w:r>
      <w:r w:rsidR="00C80F7D">
        <w:rPr>
          <w:lang w:eastAsia="pl-PL"/>
        </w:rPr>
        <w:t>były</w:t>
      </w:r>
      <w:r>
        <w:rPr>
          <w:lang w:eastAsia="pl-PL"/>
        </w:rPr>
        <w:t xml:space="preserve"> dokumenty wykonawcze, źródła finansowania, przedsięwzięcia i inicjatywy podejmowane przez Samorz</w:t>
      </w:r>
      <w:r w:rsidR="00193909">
        <w:rPr>
          <w:lang w:eastAsia="pl-PL"/>
        </w:rPr>
        <w:t>ąd Województwa Wielkopolskiego.</w:t>
      </w:r>
    </w:p>
    <w:p w14:paraId="22B57358" w14:textId="77777777" w:rsidR="00C80F7D" w:rsidRPr="00193909" w:rsidRDefault="00E648D9" w:rsidP="00BF08D5">
      <w:pPr>
        <w:ind w:left="4536"/>
        <w:jc w:val="left"/>
        <w:rPr>
          <w:b/>
          <w:i/>
          <w:color w:val="001E50"/>
        </w:rPr>
      </w:pPr>
      <w:r>
        <w:rPr>
          <w:b/>
          <w:i/>
          <w:color w:val="001E50"/>
        </w:rPr>
        <w:t xml:space="preserve">Ewaluacja powinna być procesem </w:t>
      </w:r>
      <w:r w:rsidR="00C80F7D" w:rsidRPr="00193909">
        <w:rPr>
          <w:b/>
          <w:i/>
          <w:color w:val="001E50"/>
        </w:rPr>
        <w:t>przemyślan</w:t>
      </w:r>
      <w:r>
        <w:rPr>
          <w:b/>
          <w:i/>
          <w:color w:val="001E50"/>
        </w:rPr>
        <w:t xml:space="preserve">ym, tworzącym </w:t>
      </w:r>
      <w:r w:rsidR="00C80F7D" w:rsidRPr="00193909">
        <w:rPr>
          <w:b/>
          <w:i/>
          <w:color w:val="001E50"/>
        </w:rPr>
        <w:t>ustrukturalizowaną koncepcję badawczą…</w:t>
      </w:r>
    </w:p>
    <w:p w14:paraId="2616CA97" w14:textId="6FC6F6E9" w:rsidR="00E648D9" w:rsidRDefault="00193909" w:rsidP="00E5220E">
      <w:pPr>
        <w:rPr>
          <w:lang w:eastAsia="pl-PL"/>
        </w:rPr>
      </w:pPr>
      <w:r>
        <w:rPr>
          <w:lang w:eastAsia="pl-PL"/>
        </w:rPr>
        <w:t>Autorzy</w:t>
      </w:r>
      <w:r w:rsidR="00FE3834">
        <w:rPr>
          <w:lang w:eastAsia="pl-PL"/>
        </w:rPr>
        <w:t xml:space="preserve"> ewaluacji </w:t>
      </w:r>
      <w:r>
        <w:rPr>
          <w:lang w:eastAsia="pl-PL"/>
        </w:rPr>
        <w:t xml:space="preserve">jednomyślnie przyznają, że przygotowana przez pracowników Urzędu Marszałkowskiego </w:t>
      </w:r>
      <w:r w:rsidR="00E648D9">
        <w:rPr>
          <w:lang w:eastAsia="pl-PL"/>
        </w:rPr>
        <w:t>koncepcja badawcza była wyjątkowo dobrze i dogłębnie przemyślana, a co najważniejsze, położyła duży nacisk na kreatywną funkcję ewaluacji – wnioski</w:t>
      </w:r>
      <w:r w:rsidR="003515F7">
        <w:rPr>
          <w:lang w:eastAsia="pl-PL"/>
        </w:rPr>
        <w:t xml:space="preserve">, zalecenia strategiczne </w:t>
      </w:r>
      <w:r w:rsidR="00E648D9">
        <w:rPr>
          <w:lang w:eastAsia="pl-PL"/>
        </w:rPr>
        <w:t>i rekomendacje powinny odnosić się nie tylko do aktualnej sytuacji np. prawnej, ale również oferować sugestie „jak powinno być”</w:t>
      </w:r>
      <w:r w:rsidR="00FE3834">
        <w:rPr>
          <w:lang w:eastAsia="pl-PL"/>
        </w:rPr>
        <w:t xml:space="preserve">, a także zaproponować sposoby wdrożenia. </w:t>
      </w:r>
    </w:p>
    <w:p w14:paraId="5366D19B" w14:textId="77777777" w:rsidR="004A33D6" w:rsidRDefault="00E648D9" w:rsidP="00E5220E">
      <w:pPr>
        <w:rPr>
          <w:lang w:eastAsia="pl-PL"/>
        </w:rPr>
      </w:pPr>
      <w:r>
        <w:rPr>
          <w:lang w:eastAsia="pl-PL"/>
        </w:rPr>
        <w:t xml:space="preserve">Prezentowana ewaluacja </w:t>
      </w:r>
      <w:r w:rsidR="004A33D6">
        <w:rPr>
          <w:lang w:eastAsia="pl-PL"/>
        </w:rPr>
        <w:t>odnosi się do pięciu obszarów tematycznych:</w:t>
      </w:r>
    </w:p>
    <w:p w14:paraId="2A83FD7A" w14:textId="77777777" w:rsidR="004A33D6" w:rsidRDefault="004A33D6" w:rsidP="004A33D6">
      <w:pPr>
        <w:pStyle w:val="Akapitzlist"/>
        <w:numPr>
          <w:ilvl w:val="0"/>
          <w:numId w:val="6"/>
        </w:numPr>
        <w:ind w:left="426"/>
        <w:rPr>
          <w:lang w:eastAsia="pl-PL"/>
        </w:rPr>
      </w:pPr>
      <w:r>
        <w:rPr>
          <w:lang w:eastAsia="pl-PL"/>
        </w:rPr>
        <w:t>Ocena aktualności paradygmatu rozwoju Strategii.</w:t>
      </w:r>
    </w:p>
    <w:p w14:paraId="24A006D1" w14:textId="77777777" w:rsidR="004A33D6" w:rsidRDefault="004A33D6" w:rsidP="004A33D6">
      <w:pPr>
        <w:pStyle w:val="Akapitzlist"/>
        <w:numPr>
          <w:ilvl w:val="0"/>
          <w:numId w:val="6"/>
        </w:numPr>
        <w:ind w:left="426"/>
        <w:rPr>
          <w:lang w:eastAsia="pl-PL"/>
        </w:rPr>
      </w:pPr>
      <w:r>
        <w:rPr>
          <w:lang w:eastAsia="pl-PL"/>
        </w:rPr>
        <w:t>Ocena zaprojektowanego w Strategii pola interwencji.</w:t>
      </w:r>
    </w:p>
    <w:p w14:paraId="2A323D12" w14:textId="77777777" w:rsidR="004A33D6" w:rsidRDefault="004A33D6" w:rsidP="004A33D6">
      <w:pPr>
        <w:pStyle w:val="Akapitzlist"/>
        <w:numPr>
          <w:ilvl w:val="0"/>
          <w:numId w:val="6"/>
        </w:numPr>
        <w:ind w:left="426"/>
        <w:rPr>
          <w:lang w:eastAsia="pl-PL"/>
        </w:rPr>
      </w:pPr>
      <w:r>
        <w:rPr>
          <w:lang w:eastAsia="pl-PL"/>
        </w:rPr>
        <w:t>Ocena zakresu realizacji Strategii.</w:t>
      </w:r>
    </w:p>
    <w:p w14:paraId="645D9768" w14:textId="77777777" w:rsidR="004A33D6" w:rsidRDefault="004A33D6" w:rsidP="004A33D6">
      <w:pPr>
        <w:pStyle w:val="Akapitzlist"/>
        <w:numPr>
          <w:ilvl w:val="0"/>
          <w:numId w:val="6"/>
        </w:numPr>
        <w:ind w:left="426"/>
        <w:rPr>
          <w:lang w:eastAsia="pl-PL"/>
        </w:rPr>
      </w:pPr>
      <w:r>
        <w:rPr>
          <w:lang w:eastAsia="pl-PL"/>
        </w:rPr>
        <w:t>Ocena skutków realizacji Strategii.</w:t>
      </w:r>
    </w:p>
    <w:p w14:paraId="75864FA3" w14:textId="77777777" w:rsidR="004A33D6" w:rsidRDefault="004A33D6" w:rsidP="004A33D6">
      <w:pPr>
        <w:pStyle w:val="Akapitzlist"/>
        <w:numPr>
          <w:ilvl w:val="0"/>
          <w:numId w:val="6"/>
        </w:numPr>
        <w:ind w:left="426"/>
        <w:rPr>
          <w:lang w:eastAsia="pl-PL"/>
        </w:rPr>
      </w:pPr>
      <w:r>
        <w:rPr>
          <w:lang w:eastAsia="pl-PL"/>
        </w:rPr>
        <w:t>Ocena systemu zarządzania realizacją Strategii.</w:t>
      </w:r>
    </w:p>
    <w:p w14:paraId="3CAA1EC5" w14:textId="77777777" w:rsidR="00C80F7D" w:rsidRPr="00E648D9" w:rsidRDefault="00C80F7D" w:rsidP="00BF08D5">
      <w:pPr>
        <w:ind w:left="4536"/>
        <w:jc w:val="left"/>
        <w:rPr>
          <w:b/>
          <w:i/>
          <w:color w:val="001E50"/>
        </w:rPr>
      </w:pPr>
      <w:r w:rsidRPr="00E648D9">
        <w:rPr>
          <w:b/>
          <w:i/>
          <w:color w:val="001E50"/>
        </w:rPr>
        <w:t>…</w:t>
      </w:r>
      <w:r w:rsidR="00E648D9" w:rsidRPr="00E648D9">
        <w:rPr>
          <w:b/>
          <w:i/>
          <w:color w:val="001E50"/>
        </w:rPr>
        <w:t>opartą o różne źródła informacji</w:t>
      </w:r>
      <w:r w:rsidR="00E648D9">
        <w:rPr>
          <w:b/>
          <w:i/>
          <w:color w:val="001E50"/>
        </w:rPr>
        <w:t>..</w:t>
      </w:r>
      <w:r w:rsidRPr="00E648D9">
        <w:rPr>
          <w:b/>
          <w:i/>
          <w:color w:val="001E50"/>
        </w:rPr>
        <w:t>.</w:t>
      </w:r>
    </w:p>
    <w:p w14:paraId="656B3D76" w14:textId="3EBCD5DB" w:rsidR="004A33D6" w:rsidRDefault="4A476B56" w:rsidP="004A33D6">
      <w:pPr>
        <w:rPr>
          <w:lang w:eastAsia="pl-PL"/>
        </w:rPr>
      </w:pPr>
      <w:r w:rsidRPr="4A476B56">
        <w:rPr>
          <w:lang w:eastAsia="pl-PL"/>
        </w:rPr>
        <w:t>W</w:t>
      </w:r>
      <w:r w:rsidR="004A33D6">
        <w:rPr>
          <w:lang w:eastAsia="pl-PL"/>
        </w:rPr>
        <w:t xml:space="preserve"> ewaluacji wykorzystano różne narzędzia pozwalające zgromadzić </w:t>
      </w:r>
      <w:r w:rsidR="007A1D49">
        <w:rPr>
          <w:lang w:eastAsia="pl-PL"/>
        </w:rPr>
        <w:t xml:space="preserve">potrzebną </w:t>
      </w:r>
      <w:r w:rsidR="004A33D6">
        <w:rPr>
          <w:lang w:eastAsia="pl-PL"/>
        </w:rPr>
        <w:t xml:space="preserve">wiedzę, jak: ankiety do marszałków szesnastu województw, ankiety do dyrektorów, kierowników i naczelników Urzędu </w:t>
      </w:r>
      <w:r w:rsidR="004A33D6">
        <w:rPr>
          <w:lang w:eastAsia="pl-PL"/>
        </w:rPr>
        <w:lastRenderedPageBreak/>
        <w:t xml:space="preserve">Marszałkowskiego Województwa Wielkopolskiego, </w:t>
      </w:r>
      <w:r w:rsidRPr="4A476B56">
        <w:rPr>
          <w:lang w:eastAsia="pl-PL"/>
        </w:rPr>
        <w:t>analizę</w:t>
      </w:r>
      <w:r w:rsidR="004A33D6">
        <w:rPr>
          <w:lang w:eastAsia="pl-PL"/>
        </w:rPr>
        <w:t xml:space="preserve"> danych zastanych, jednak głównym źródłem informacji było łącznie</w:t>
      </w:r>
      <w:r w:rsidR="00147BAB">
        <w:rPr>
          <w:lang w:eastAsia="pl-PL"/>
        </w:rPr>
        <w:t xml:space="preserve"> 4</w:t>
      </w:r>
      <w:r w:rsidR="00FE3834">
        <w:rPr>
          <w:lang w:eastAsia="pl-PL"/>
        </w:rPr>
        <w:t>0</w:t>
      </w:r>
      <w:r w:rsidR="004A33D6">
        <w:rPr>
          <w:lang w:eastAsia="pl-PL"/>
        </w:rPr>
        <w:t xml:space="preserve"> wywiadów, zarówno z przedstawicielami szczebla kierowniczego jednostek Urzędu Marszałkowskiego, jak i pracownik</w:t>
      </w:r>
      <w:r w:rsidR="007F571F">
        <w:rPr>
          <w:lang w:eastAsia="pl-PL"/>
        </w:rPr>
        <w:t>ami</w:t>
      </w:r>
      <w:r w:rsidR="004A33D6">
        <w:rPr>
          <w:lang w:eastAsia="pl-PL"/>
        </w:rPr>
        <w:t xml:space="preserve"> jednostek organizacyjnych zaangażowanych w realizację Strategii.</w:t>
      </w:r>
    </w:p>
    <w:p w14:paraId="5E21C629" w14:textId="0756C82A" w:rsidR="00C80F7D" w:rsidRDefault="004A33D6" w:rsidP="00E5220E">
      <w:pPr>
        <w:rPr>
          <w:lang w:eastAsia="pl-PL"/>
        </w:rPr>
      </w:pPr>
      <w:r>
        <w:rPr>
          <w:lang w:eastAsia="pl-PL"/>
        </w:rPr>
        <w:t>Ponadto przeprowadz</w:t>
      </w:r>
      <w:r w:rsidR="00E648D9">
        <w:rPr>
          <w:lang w:eastAsia="pl-PL"/>
        </w:rPr>
        <w:t xml:space="preserve">ono </w:t>
      </w:r>
      <w:r>
        <w:rPr>
          <w:lang w:eastAsia="pl-PL"/>
        </w:rPr>
        <w:t>wywiady z przedstawicielami</w:t>
      </w:r>
      <w:r w:rsidR="002C7385">
        <w:rPr>
          <w:lang w:eastAsia="pl-PL"/>
        </w:rPr>
        <w:t xml:space="preserve"> ośrodków regionalnych (Stowarzyszenie Metropolia Poznań oraz Stowarzyszenie</w:t>
      </w:r>
      <w:r>
        <w:rPr>
          <w:lang w:eastAsia="pl-PL"/>
        </w:rPr>
        <w:t xml:space="preserve"> </w:t>
      </w:r>
      <w:r w:rsidR="002C7385">
        <w:rPr>
          <w:lang w:eastAsia="pl-PL"/>
        </w:rPr>
        <w:t xml:space="preserve">Aglomeracja Kalisko-Ostrowska) i </w:t>
      </w:r>
      <w:r>
        <w:rPr>
          <w:lang w:eastAsia="pl-PL"/>
        </w:rPr>
        <w:t>ośrodków subregionalnych</w:t>
      </w:r>
      <w:r w:rsidR="002C7385">
        <w:rPr>
          <w:lang w:eastAsia="pl-PL"/>
        </w:rPr>
        <w:t xml:space="preserve"> (</w:t>
      </w:r>
      <w:r>
        <w:rPr>
          <w:lang w:eastAsia="pl-PL"/>
        </w:rPr>
        <w:t>Piła, Gniezno, Konin</w:t>
      </w:r>
      <w:r w:rsidR="002C7385">
        <w:rPr>
          <w:lang w:eastAsia="pl-PL"/>
        </w:rPr>
        <w:t xml:space="preserve"> i</w:t>
      </w:r>
      <w:r>
        <w:rPr>
          <w:lang w:eastAsia="pl-PL"/>
        </w:rPr>
        <w:t xml:space="preserve"> Leszno</w:t>
      </w:r>
      <w:r w:rsidR="002C7385">
        <w:rPr>
          <w:lang w:eastAsia="pl-PL"/>
        </w:rPr>
        <w:t xml:space="preserve">), a także z </w:t>
      </w:r>
      <w:r>
        <w:rPr>
          <w:lang w:eastAsia="pl-PL"/>
        </w:rPr>
        <w:t>ekspertami tematycznymi, reprezentującymi różne dziedziny: transport</w:t>
      </w:r>
      <w:r w:rsidR="4A476B56" w:rsidRPr="4A476B56">
        <w:rPr>
          <w:lang w:eastAsia="pl-PL"/>
        </w:rPr>
        <w:t>,</w:t>
      </w:r>
      <w:r>
        <w:rPr>
          <w:lang w:eastAsia="pl-PL"/>
        </w:rPr>
        <w:t xml:space="preserve"> środowisko</w:t>
      </w:r>
      <w:r w:rsidR="4A476B56" w:rsidRPr="4A476B56">
        <w:rPr>
          <w:lang w:eastAsia="pl-PL"/>
        </w:rPr>
        <w:t>,</w:t>
      </w:r>
      <w:r>
        <w:rPr>
          <w:lang w:eastAsia="pl-PL"/>
        </w:rPr>
        <w:t xml:space="preserve"> społeczeństwo informacyjne</w:t>
      </w:r>
      <w:r w:rsidR="4A476B56" w:rsidRPr="4A476B56">
        <w:rPr>
          <w:lang w:eastAsia="pl-PL"/>
        </w:rPr>
        <w:t>,</w:t>
      </w:r>
      <w:r>
        <w:rPr>
          <w:lang w:eastAsia="pl-PL"/>
        </w:rPr>
        <w:t xml:space="preserve"> energia</w:t>
      </w:r>
      <w:r w:rsidR="4A476B56" w:rsidRPr="4A476B56">
        <w:rPr>
          <w:lang w:eastAsia="pl-PL"/>
        </w:rPr>
        <w:t>,</w:t>
      </w:r>
      <w:r>
        <w:rPr>
          <w:lang w:eastAsia="pl-PL"/>
        </w:rPr>
        <w:t xml:space="preserve"> rolnictwo</w:t>
      </w:r>
      <w:r w:rsidR="4A476B56" w:rsidRPr="4A476B56">
        <w:rPr>
          <w:lang w:eastAsia="pl-PL"/>
        </w:rPr>
        <w:t>,</w:t>
      </w:r>
      <w:r>
        <w:rPr>
          <w:lang w:eastAsia="pl-PL"/>
        </w:rPr>
        <w:t xml:space="preserve"> polityka społeczna</w:t>
      </w:r>
      <w:r w:rsidR="4A476B56" w:rsidRPr="4A476B56">
        <w:rPr>
          <w:lang w:eastAsia="pl-PL"/>
        </w:rPr>
        <w:t>,</w:t>
      </w:r>
      <w:r>
        <w:rPr>
          <w:lang w:eastAsia="pl-PL"/>
        </w:rPr>
        <w:t xml:space="preserve"> rynek pracy</w:t>
      </w:r>
      <w:r w:rsidR="4A476B56" w:rsidRPr="4A476B56">
        <w:rPr>
          <w:lang w:eastAsia="pl-PL"/>
        </w:rPr>
        <w:t>,</w:t>
      </w:r>
      <w:r>
        <w:rPr>
          <w:lang w:eastAsia="pl-PL"/>
        </w:rPr>
        <w:t xml:space="preserve"> edukacja</w:t>
      </w:r>
      <w:r w:rsidR="4A476B56" w:rsidRPr="4A476B56">
        <w:rPr>
          <w:lang w:eastAsia="pl-PL"/>
        </w:rPr>
        <w:t>,</w:t>
      </w:r>
      <w:r>
        <w:rPr>
          <w:lang w:eastAsia="pl-PL"/>
        </w:rPr>
        <w:t xml:space="preserve"> przedsiębiorczoś</w:t>
      </w:r>
      <w:r w:rsidR="009D720A">
        <w:rPr>
          <w:lang w:eastAsia="pl-PL"/>
        </w:rPr>
        <w:t>ć</w:t>
      </w:r>
      <w:r>
        <w:rPr>
          <w:lang w:eastAsia="pl-PL"/>
        </w:rPr>
        <w:t xml:space="preserve"> i innowacyjność</w:t>
      </w:r>
      <w:r w:rsidR="4A476B56" w:rsidRPr="4A476B56">
        <w:rPr>
          <w:lang w:eastAsia="pl-PL"/>
        </w:rPr>
        <w:t>,</w:t>
      </w:r>
      <w:r>
        <w:rPr>
          <w:lang w:eastAsia="pl-PL"/>
        </w:rPr>
        <w:t xml:space="preserve"> zdrowie</w:t>
      </w:r>
      <w:r w:rsidR="4A476B56" w:rsidRPr="4A476B56">
        <w:rPr>
          <w:lang w:eastAsia="pl-PL"/>
        </w:rPr>
        <w:t>,</w:t>
      </w:r>
      <w:r>
        <w:rPr>
          <w:lang w:eastAsia="pl-PL"/>
        </w:rPr>
        <w:t xml:space="preserve"> kultura</w:t>
      </w:r>
      <w:r w:rsidR="4A476B56" w:rsidRPr="4A476B56">
        <w:rPr>
          <w:lang w:eastAsia="pl-PL"/>
        </w:rPr>
        <w:t>,</w:t>
      </w:r>
      <w:r>
        <w:rPr>
          <w:lang w:eastAsia="pl-PL"/>
        </w:rPr>
        <w:t xml:space="preserve"> sport i turystyka</w:t>
      </w:r>
      <w:r w:rsidR="4A476B56" w:rsidRPr="4A476B56">
        <w:rPr>
          <w:lang w:eastAsia="pl-PL"/>
        </w:rPr>
        <w:t>,</w:t>
      </w:r>
      <w:r>
        <w:rPr>
          <w:lang w:eastAsia="pl-PL"/>
        </w:rPr>
        <w:t xml:space="preserve"> instrumenty terytor</w:t>
      </w:r>
      <w:r w:rsidR="00E648D9">
        <w:rPr>
          <w:lang w:eastAsia="pl-PL"/>
        </w:rPr>
        <w:t>ialne w perspektywie 2014-2020.</w:t>
      </w:r>
    </w:p>
    <w:p w14:paraId="275361BC" w14:textId="456564B1" w:rsidR="00097C5A" w:rsidRDefault="00097C5A" w:rsidP="00E5220E">
      <w:pPr>
        <w:rPr>
          <w:lang w:eastAsia="pl-PL"/>
        </w:rPr>
      </w:pPr>
      <w:r>
        <w:rPr>
          <w:lang w:eastAsia="pl-PL"/>
        </w:rPr>
        <w:t>Ewaluacja opiera się zatem w głównej mierze na informacjach pozyskanych w drodze bezpośrednich rozmów z osobami zaangażowanymi w realizację Strategii i/lub ekspertami. Oznacza to, że większość pozyskanych informacji ma charakter jakościowy, stanowi zbiór subiektywnych opinii, których nie należy analizować w sposób ilościowy.</w:t>
      </w:r>
    </w:p>
    <w:p w14:paraId="50BBFB1E" w14:textId="77777777" w:rsidR="00E648D9" w:rsidRDefault="00E648D9" w:rsidP="00BF08D5">
      <w:pPr>
        <w:ind w:left="4536"/>
        <w:jc w:val="left"/>
        <w:rPr>
          <w:b/>
          <w:i/>
          <w:color w:val="001E50"/>
        </w:rPr>
      </w:pPr>
      <w:r w:rsidRPr="00E648D9">
        <w:rPr>
          <w:b/>
          <w:i/>
          <w:color w:val="001E50"/>
        </w:rPr>
        <w:t>…o</w:t>
      </w:r>
      <w:r>
        <w:rPr>
          <w:b/>
          <w:i/>
          <w:color w:val="001E50"/>
        </w:rPr>
        <w:t xml:space="preserve">raz </w:t>
      </w:r>
      <w:r w:rsidRPr="002477F4">
        <w:rPr>
          <w:b/>
          <w:i/>
          <w:color w:val="001E50"/>
        </w:rPr>
        <w:t>zakładającą</w:t>
      </w:r>
      <w:r>
        <w:rPr>
          <w:b/>
          <w:i/>
          <w:color w:val="001E50"/>
        </w:rPr>
        <w:t xml:space="preserve"> dyskusję w celu uzyskania najtrafniejszych wniosków</w:t>
      </w:r>
    </w:p>
    <w:p w14:paraId="12128B6F" w14:textId="7F1679BB" w:rsidR="00097C5A" w:rsidRPr="00E648D9" w:rsidRDefault="00097C5A" w:rsidP="00097C5A">
      <w:pPr>
        <w:rPr>
          <w:lang w:eastAsia="pl-PL"/>
        </w:rPr>
      </w:pPr>
      <w:r>
        <w:rPr>
          <w:lang w:eastAsia="pl-PL"/>
        </w:rPr>
        <w:t>Proces ewaluacji Strategii odwołuje się do kolejnych, powszechnie przyjętych, faz tworzenia dokumentu i późniejszej jego realizacji (</w:t>
      </w:r>
      <w:r>
        <w:rPr>
          <w:lang w:eastAsia="pl-PL"/>
        </w:rPr>
        <w:fldChar w:fldCharType="begin"/>
      </w:r>
      <w:r>
        <w:rPr>
          <w:lang w:eastAsia="pl-PL"/>
        </w:rPr>
        <w:instrText xml:space="preserve"> REF _Ref526230320 \h </w:instrText>
      </w:r>
      <w:r>
        <w:rPr>
          <w:lang w:eastAsia="pl-PL"/>
        </w:rPr>
      </w:r>
      <w:r>
        <w:rPr>
          <w:lang w:eastAsia="pl-PL"/>
        </w:rPr>
        <w:fldChar w:fldCharType="separate"/>
      </w:r>
      <w:r w:rsidR="007F4FA2">
        <w:t xml:space="preserve">Rysunek </w:t>
      </w:r>
      <w:r w:rsidR="007F4FA2">
        <w:rPr>
          <w:noProof/>
        </w:rPr>
        <w:t>2</w:t>
      </w:r>
      <w:r>
        <w:rPr>
          <w:lang w:eastAsia="pl-PL"/>
        </w:rPr>
        <w:fldChar w:fldCharType="end"/>
      </w:r>
      <w:r>
        <w:rPr>
          <w:lang w:eastAsia="pl-PL"/>
        </w:rPr>
        <w:t xml:space="preserve">). W zasadzie zarządzanie strategiczne jest procesem cyklicznym, w który wkomponowana jest ewaluacja. Zatem wnioski z ewaluacji powinny możliwie precyzyjnie odwoływać się do doświadczeń w przygotowaniu i wdrażaniu Strategii, ale również stawiać hipotezy „w przód”. </w:t>
      </w:r>
    </w:p>
    <w:tbl>
      <w:tblPr>
        <w:tblStyle w:val="Tabela-Siatka"/>
        <w:tblpPr w:leftFromText="141" w:rightFromText="141" w:vertAnchor="text" w:horzAnchor="margin" w:tblpXSpec="right" w:tblpY="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232D5C" w14:paraId="783BA37D" w14:textId="77777777" w:rsidTr="00097C5A">
        <w:tc>
          <w:tcPr>
            <w:tcW w:w="8789" w:type="dxa"/>
          </w:tcPr>
          <w:p w14:paraId="569DA123" w14:textId="3459A118" w:rsidR="00232D5C" w:rsidRPr="00232D5C" w:rsidRDefault="00232D5C" w:rsidP="00232D5C">
            <w:pPr>
              <w:pStyle w:val="Legenda"/>
              <w:keepNext/>
            </w:pPr>
            <w:bookmarkStart w:id="26" w:name="_Ref526230320"/>
            <w:bookmarkStart w:id="27" w:name="_Toc530735756"/>
            <w:bookmarkStart w:id="28" w:name="_Toc122810"/>
            <w:bookmarkStart w:id="29" w:name="_Toc5699561"/>
            <w:r>
              <w:t xml:space="preserve">Rysunek </w:t>
            </w:r>
            <w:r w:rsidRPr="69901DB0">
              <w:fldChar w:fldCharType="begin"/>
            </w:r>
            <w:r>
              <w:rPr>
                <w:noProof/>
              </w:rPr>
              <w:instrText xml:space="preserve"> SEQ Rysunek \* ARABIC </w:instrText>
            </w:r>
            <w:r w:rsidRPr="69901DB0">
              <w:rPr>
                <w:noProof/>
              </w:rPr>
              <w:fldChar w:fldCharType="separate"/>
            </w:r>
            <w:r w:rsidR="007F4FA2">
              <w:rPr>
                <w:noProof/>
              </w:rPr>
              <w:t>2</w:t>
            </w:r>
            <w:r w:rsidRPr="69901DB0">
              <w:fldChar w:fldCharType="end"/>
            </w:r>
            <w:bookmarkEnd w:id="26"/>
            <w:r>
              <w:t>. Cykl strategiczny i główne zagadnienia poddane ewaluacji</w:t>
            </w:r>
            <w:bookmarkEnd w:id="27"/>
            <w:bookmarkEnd w:id="28"/>
            <w:bookmarkEnd w:id="29"/>
          </w:p>
        </w:tc>
      </w:tr>
      <w:tr w:rsidR="00232D5C" w14:paraId="3421BF08" w14:textId="77777777" w:rsidTr="00097C5A">
        <w:tc>
          <w:tcPr>
            <w:tcW w:w="8789" w:type="dxa"/>
          </w:tcPr>
          <w:p w14:paraId="22FBE235" w14:textId="77777777" w:rsidR="00232D5C" w:rsidRDefault="00232D5C" w:rsidP="51284D5B">
            <w:pPr>
              <w:spacing w:after="160" w:line="259" w:lineRule="auto"/>
              <w:jc w:val="left"/>
              <w:rPr>
                <w:sz w:val="16"/>
                <w:szCs w:val="16"/>
                <w:lang w:eastAsia="pl-PL"/>
              </w:rPr>
            </w:pPr>
            <w:r>
              <w:rPr>
                <w:noProof/>
                <w:lang w:eastAsia="pl-PL"/>
              </w:rPr>
              <w:drawing>
                <wp:inline distT="0" distB="0" distL="0" distR="0" wp14:anchorId="26DF78F3" wp14:editId="3FDFF55B">
                  <wp:extent cx="4549140" cy="3104968"/>
                  <wp:effectExtent l="0" t="0" r="3810" b="635"/>
                  <wp:docPr id="186093640" name="Obraz 186093640" descr="Rysunek prezentuje kolejne cykle tworzenia i realizacji strategii (wizja, diagnoza, analiza SWOT, cele, realizacja, monitoring, efekty, ewaluacja). Dołączone do nich są wymagania stawiane przed ewaluatorami dotyczące sformułowania wniosków do nowej wizji systemu monitoringu, systemu zarządzania realizacją strategii oraz systemu zarządzania rozwojem. " title="Rysunek 2. Cykl strategiczny i główne zagadnienia poddane ewalu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7541" cy="3124353"/>
                          </a:xfrm>
                          <a:prstGeom prst="rect">
                            <a:avLst/>
                          </a:prstGeom>
                        </pic:spPr>
                      </pic:pic>
                    </a:graphicData>
                  </a:graphic>
                </wp:inline>
              </w:drawing>
            </w:r>
          </w:p>
        </w:tc>
      </w:tr>
      <w:tr w:rsidR="00232D5C" w14:paraId="5BC20442" w14:textId="77777777" w:rsidTr="00097C5A">
        <w:tc>
          <w:tcPr>
            <w:tcW w:w="8789" w:type="dxa"/>
          </w:tcPr>
          <w:p w14:paraId="0DAA5D17" w14:textId="77777777" w:rsidR="00232D5C" w:rsidRDefault="00232D5C" w:rsidP="00232D5C">
            <w:pPr>
              <w:spacing w:after="160" w:line="259" w:lineRule="auto"/>
              <w:jc w:val="left"/>
              <w:rPr>
                <w:sz w:val="16"/>
                <w:szCs w:val="16"/>
                <w:lang w:eastAsia="pl-PL"/>
              </w:rPr>
            </w:pPr>
            <w:r w:rsidRPr="0012751F">
              <w:rPr>
                <w:sz w:val="16"/>
                <w:szCs w:val="16"/>
                <w:lang w:eastAsia="pl-PL"/>
              </w:rPr>
              <w:t>Źródło: opracowanie własne.</w:t>
            </w:r>
          </w:p>
        </w:tc>
      </w:tr>
    </w:tbl>
    <w:p w14:paraId="3D2A4E10" w14:textId="2CF002DE" w:rsidR="00C80F7D" w:rsidRDefault="00C80F7D" w:rsidP="00E5220E">
      <w:pPr>
        <w:rPr>
          <w:lang w:eastAsia="pl-PL"/>
        </w:rPr>
      </w:pPr>
    </w:p>
    <w:tbl>
      <w:tblPr>
        <w:tblStyle w:val="Tabela-Siatka"/>
        <w:tblpPr w:leftFromText="141" w:rightFromText="141" w:vertAnchor="text" w:horzAnchor="margin" w:tblpY="1531"/>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3"/>
      </w:tblGrid>
      <w:tr w:rsidR="00097C5A" w14:paraId="4F81BDD0" w14:textId="77777777" w:rsidTr="00097C5A">
        <w:tc>
          <w:tcPr>
            <w:tcW w:w="9073" w:type="dxa"/>
          </w:tcPr>
          <w:p w14:paraId="4A7D99CA" w14:textId="77777777" w:rsidR="00097C5A" w:rsidRPr="00232D5C" w:rsidRDefault="00097C5A" w:rsidP="00097C5A">
            <w:pPr>
              <w:pStyle w:val="Legenda"/>
              <w:keepNext/>
            </w:pPr>
            <w:bookmarkStart w:id="30" w:name="_Ref526230484"/>
            <w:bookmarkStart w:id="31" w:name="_Toc530735757"/>
            <w:bookmarkStart w:id="32" w:name="_Toc122811"/>
            <w:bookmarkStart w:id="33" w:name="_Toc5699562"/>
            <w:r>
              <w:lastRenderedPageBreak/>
              <w:t xml:space="preserve">Rysunek </w:t>
            </w:r>
            <w:r w:rsidRPr="69901DB0">
              <w:fldChar w:fldCharType="begin"/>
            </w:r>
            <w:r>
              <w:rPr>
                <w:noProof/>
              </w:rPr>
              <w:instrText xml:space="preserve"> SEQ Rysunek \* ARABIC </w:instrText>
            </w:r>
            <w:r w:rsidRPr="69901DB0">
              <w:rPr>
                <w:noProof/>
              </w:rPr>
              <w:fldChar w:fldCharType="separate"/>
            </w:r>
            <w:r w:rsidR="007F4FA2">
              <w:rPr>
                <w:noProof/>
              </w:rPr>
              <w:t>3</w:t>
            </w:r>
            <w:r w:rsidRPr="69901DB0">
              <w:fldChar w:fldCharType="end"/>
            </w:r>
            <w:bookmarkEnd w:id="30"/>
            <w:r>
              <w:t>. Cykl procesu rozwiązywania problemu badawczego</w:t>
            </w:r>
            <w:bookmarkEnd w:id="31"/>
            <w:bookmarkEnd w:id="32"/>
            <w:bookmarkEnd w:id="33"/>
          </w:p>
        </w:tc>
      </w:tr>
      <w:tr w:rsidR="00097C5A" w14:paraId="3B7514A2" w14:textId="77777777" w:rsidTr="00097C5A">
        <w:tc>
          <w:tcPr>
            <w:tcW w:w="9073" w:type="dxa"/>
          </w:tcPr>
          <w:p w14:paraId="3F5BAFD3" w14:textId="77777777" w:rsidR="00097C5A" w:rsidRDefault="00097C5A" w:rsidP="00097C5A">
            <w:pPr>
              <w:spacing w:after="160" w:line="259" w:lineRule="auto"/>
              <w:jc w:val="left"/>
              <w:rPr>
                <w:sz w:val="16"/>
                <w:szCs w:val="16"/>
                <w:lang w:eastAsia="pl-PL"/>
              </w:rPr>
            </w:pPr>
            <w:r>
              <w:rPr>
                <w:noProof/>
                <w:lang w:eastAsia="pl-PL"/>
              </w:rPr>
              <w:drawing>
                <wp:inline distT="0" distB="0" distL="0" distR="0" wp14:anchorId="63A91DCC" wp14:editId="69E90595">
                  <wp:extent cx="5585460" cy="3743342"/>
                  <wp:effectExtent l="0" t="0" r="0" b="9525"/>
                  <wp:docPr id="801209094" name="Obraz 801209094" descr="Rysunek przedstawia kolejne elementy cyklu, od problemu badawczego przez pytania badawcze, wstępne wnioski dyskusje, wnioski i rekomendacje dla zamawiającego, po wnioski i rekomendacje końcowe." title="Rysunek 3. Cykl procesu rozwiązywania problemu badawcz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607595" cy="3758177"/>
                          </a:xfrm>
                          <a:prstGeom prst="rect">
                            <a:avLst/>
                          </a:prstGeom>
                        </pic:spPr>
                      </pic:pic>
                    </a:graphicData>
                  </a:graphic>
                </wp:inline>
              </w:drawing>
            </w:r>
          </w:p>
        </w:tc>
      </w:tr>
      <w:tr w:rsidR="00097C5A" w14:paraId="04C70F78" w14:textId="77777777" w:rsidTr="00097C5A">
        <w:tc>
          <w:tcPr>
            <w:tcW w:w="9073" w:type="dxa"/>
          </w:tcPr>
          <w:p w14:paraId="15A562AC" w14:textId="77777777" w:rsidR="00097C5A" w:rsidRDefault="00097C5A" w:rsidP="00097C5A">
            <w:pPr>
              <w:spacing w:after="160" w:line="259" w:lineRule="auto"/>
              <w:jc w:val="left"/>
              <w:rPr>
                <w:sz w:val="16"/>
                <w:szCs w:val="16"/>
                <w:lang w:eastAsia="pl-PL"/>
              </w:rPr>
            </w:pPr>
            <w:r w:rsidRPr="0012751F">
              <w:rPr>
                <w:sz w:val="16"/>
                <w:szCs w:val="16"/>
                <w:lang w:eastAsia="pl-PL"/>
              </w:rPr>
              <w:t>Źródło: opracowanie własne.</w:t>
            </w:r>
          </w:p>
        </w:tc>
      </w:tr>
    </w:tbl>
    <w:p w14:paraId="4F5B6A8F" w14:textId="22BFA35C" w:rsidR="001C124F" w:rsidRDefault="009A14DA" w:rsidP="00232D5C">
      <w:pPr>
        <w:spacing w:after="160" w:line="259" w:lineRule="auto"/>
        <w:rPr>
          <w:lang w:eastAsia="pl-PL"/>
        </w:rPr>
      </w:pPr>
      <w:r>
        <w:rPr>
          <w:lang w:eastAsia="pl-PL"/>
        </w:rPr>
        <w:t>W prowadzonej ewaluacji ważnym elementem procesu były dyskusje oraz konsul</w:t>
      </w:r>
      <w:r w:rsidR="000817E6">
        <w:rPr>
          <w:lang w:eastAsia="pl-PL"/>
        </w:rPr>
        <w:t>tacje zarówno wewnątrz zespołu E</w:t>
      </w:r>
      <w:r>
        <w:rPr>
          <w:lang w:eastAsia="pl-PL"/>
        </w:rPr>
        <w:t xml:space="preserve">waluatorów, jak i </w:t>
      </w:r>
      <w:r w:rsidR="000817E6">
        <w:rPr>
          <w:lang w:eastAsia="pl-PL"/>
        </w:rPr>
        <w:t>w relacji Zamawiający – zespół E</w:t>
      </w:r>
      <w:r>
        <w:rPr>
          <w:lang w:eastAsia="pl-PL"/>
        </w:rPr>
        <w:t>waluatorów (</w:t>
      </w:r>
      <w:r w:rsidRPr="4A476B56">
        <w:fldChar w:fldCharType="begin"/>
      </w:r>
      <w:r>
        <w:rPr>
          <w:lang w:eastAsia="pl-PL"/>
        </w:rPr>
        <w:instrText xml:space="preserve"> REF _Ref526230484 \h </w:instrText>
      </w:r>
      <w:r w:rsidR="00232D5C">
        <w:rPr>
          <w:lang w:eastAsia="pl-PL"/>
        </w:rPr>
        <w:instrText xml:space="preserve"> \* MERGEFORMAT </w:instrText>
      </w:r>
      <w:r w:rsidRPr="4A476B56">
        <w:rPr>
          <w:lang w:eastAsia="pl-PL"/>
        </w:rPr>
        <w:fldChar w:fldCharType="separate"/>
      </w:r>
      <w:r w:rsidR="007F4FA2">
        <w:t xml:space="preserve">Rysunek </w:t>
      </w:r>
      <w:r w:rsidR="007F4FA2">
        <w:rPr>
          <w:noProof/>
        </w:rPr>
        <w:t>3</w:t>
      </w:r>
      <w:r w:rsidRPr="4A476B56">
        <w:fldChar w:fldCharType="end"/>
      </w:r>
      <w:r>
        <w:rPr>
          <w:lang w:eastAsia="pl-PL"/>
        </w:rPr>
        <w:t>). Szczególną rolę w tym „cyklu uczenia się” przypisano dwóm spotkaniom warsztatowym, w trakcie których poddano pogłębionej dyskusji najistotniejsze wniosk</w:t>
      </w:r>
      <w:r w:rsidR="00124395">
        <w:rPr>
          <w:lang w:eastAsia="pl-PL"/>
        </w:rPr>
        <w:t>i ze wstępnych wyników badania.</w:t>
      </w:r>
      <w:r w:rsidR="001C124F">
        <w:rPr>
          <w:lang w:eastAsia="pl-PL"/>
        </w:rPr>
        <w:br w:type="page"/>
      </w:r>
    </w:p>
    <w:p w14:paraId="0113DAA7" w14:textId="77777777" w:rsidR="00E5220E" w:rsidRDefault="00815929" w:rsidP="000370BA">
      <w:pPr>
        <w:pStyle w:val="Nagwek1"/>
      </w:pPr>
      <w:bookmarkStart w:id="34" w:name="_Toc536653101"/>
      <w:bookmarkStart w:id="35" w:name="_Toc5699444"/>
      <w:r>
        <w:lastRenderedPageBreak/>
        <w:t>Strategia Wielkopolska 2020</w:t>
      </w:r>
      <w:bookmarkEnd w:id="34"/>
      <w:r>
        <w:t xml:space="preserve"> – ocena</w:t>
      </w:r>
      <w:r w:rsidR="00382166">
        <w:t xml:space="preserve"> kluczowych elementów dokumentu</w:t>
      </w:r>
      <w:bookmarkEnd w:id="35"/>
    </w:p>
    <w:p w14:paraId="71B7DEF4" w14:textId="77777777" w:rsidR="002204AB" w:rsidRPr="00D67978" w:rsidRDefault="00815929" w:rsidP="002204AB">
      <w:pPr>
        <w:rPr>
          <w:lang w:eastAsia="pl-PL"/>
        </w:rPr>
      </w:pPr>
      <w:r>
        <w:rPr>
          <w:lang w:eastAsia="pl-PL"/>
        </w:rPr>
        <w:t>Każda strategia powinna być elementem zarządzania strategicznego. Gdy przyjmuje się spisanie dokumentu strategicznego</w:t>
      </w:r>
      <w:r>
        <w:rPr>
          <w:rStyle w:val="Odwoanieprzypisudolnego"/>
          <w:lang w:eastAsia="pl-PL"/>
        </w:rPr>
        <w:footnoteReference w:id="7"/>
      </w:r>
      <w:r>
        <w:rPr>
          <w:lang w:eastAsia="pl-PL"/>
        </w:rPr>
        <w:t xml:space="preserve">, wówczas możemy rozpatrywać zarządzanie strategiczne przez pryzmat tego dokumentu, jak i przez pryzmat procesu tworzenia i realizacji strategii. W takim ujęciu prezentowane są kolejne elementy </w:t>
      </w:r>
      <w:r w:rsidR="00F35BAA">
        <w:rPr>
          <w:lang w:eastAsia="pl-PL"/>
        </w:rPr>
        <w:t>oceny Strat</w:t>
      </w:r>
      <w:r w:rsidR="008B2034">
        <w:rPr>
          <w:lang w:eastAsia="pl-PL"/>
        </w:rPr>
        <w:t>egii rozwoju województwa wielkopolskiego.</w:t>
      </w:r>
    </w:p>
    <w:p w14:paraId="35F12FE0" w14:textId="77777777" w:rsidR="00C5617B" w:rsidRDefault="008B2034" w:rsidP="008B2034">
      <w:pPr>
        <w:pStyle w:val="Nagwek2"/>
      </w:pPr>
      <w:bookmarkStart w:id="36" w:name="_Toc5699445"/>
      <w:r>
        <w:t>Paradygmat rozwoju Wielkopolski</w:t>
      </w:r>
      <w:bookmarkEnd w:id="36"/>
    </w:p>
    <w:p w14:paraId="421567B7" w14:textId="1AF1924D" w:rsidR="00974A09" w:rsidRPr="008B2034" w:rsidRDefault="008B2034" w:rsidP="00974A09">
      <w:pPr>
        <w:rPr>
          <w:lang w:eastAsia="pl-PL"/>
        </w:rPr>
      </w:pPr>
      <w:r>
        <w:rPr>
          <w:lang w:eastAsia="pl-PL"/>
        </w:rPr>
        <w:t>W ocenie tego elementu aktualnej SRWW 2020 uwzględniono następujące zagadnienia: model rozwoju;</w:t>
      </w:r>
      <w:r w:rsidR="00D50036">
        <w:rPr>
          <w:lang w:eastAsia="pl-PL"/>
        </w:rPr>
        <w:t xml:space="preserve"> </w:t>
      </w:r>
      <w:r w:rsidR="00974A09">
        <w:rPr>
          <w:lang w:eastAsia="pl-PL"/>
        </w:rPr>
        <w:t>misja;</w:t>
      </w:r>
      <w:r w:rsidR="00D50036">
        <w:rPr>
          <w:lang w:eastAsia="pl-PL"/>
        </w:rPr>
        <w:t xml:space="preserve"> </w:t>
      </w:r>
      <w:r w:rsidR="00974A09">
        <w:rPr>
          <w:lang w:eastAsia="pl-PL"/>
        </w:rPr>
        <w:t>wizja.</w:t>
      </w:r>
      <w:r w:rsidR="00D50036">
        <w:rPr>
          <w:lang w:eastAsia="pl-PL"/>
        </w:rPr>
        <w:t xml:space="preserve"> </w:t>
      </w:r>
      <w:r w:rsidR="00974A09">
        <w:rPr>
          <w:lang w:eastAsia="pl-PL"/>
        </w:rPr>
        <w:t>Cel generalny Strategii omówiony jest z pozostałymi celami dokumentu</w:t>
      </w:r>
      <w:r w:rsidR="4A476B56" w:rsidRPr="4A476B56">
        <w:rPr>
          <w:lang w:eastAsia="pl-PL"/>
        </w:rPr>
        <w:t xml:space="preserve"> </w:t>
      </w:r>
      <w:r w:rsidR="4A476B56" w:rsidRPr="4A476B56">
        <w:rPr>
          <w:rFonts w:eastAsia="Calibri"/>
          <w:szCs w:val="22"/>
        </w:rPr>
        <w:t>(w rozdziale 2.3.1)</w:t>
      </w:r>
      <w:r w:rsidR="4A476B56" w:rsidRPr="4A476B56">
        <w:rPr>
          <w:lang w:eastAsia="pl-PL"/>
        </w:rPr>
        <w:t>.</w:t>
      </w:r>
    </w:p>
    <w:p w14:paraId="4A389DD6" w14:textId="27AD7F3A" w:rsidR="008B2034" w:rsidRDefault="00974A09" w:rsidP="008B2034">
      <w:pPr>
        <w:pStyle w:val="Nagwek3"/>
      </w:pPr>
      <w:bookmarkStart w:id="37" w:name="_Toc536653108"/>
      <w:bookmarkStart w:id="38" w:name="_Toc1904780"/>
      <w:bookmarkStart w:id="39" w:name="_Toc5699446"/>
      <w:r>
        <w:t xml:space="preserve">Jeśli nie model </w:t>
      </w:r>
      <w:r w:rsidR="4A476B56">
        <w:t>dyfuzyjno</w:t>
      </w:r>
      <w:r>
        <w:t>-absorpcyjny, to jaki?</w:t>
      </w:r>
      <w:bookmarkEnd w:id="37"/>
      <w:bookmarkEnd w:id="38"/>
      <w:bookmarkEnd w:id="39"/>
    </w:p>
    <w:p w14:paraId="790C0A15" w14:textId="0C1DF468" w:rsidR="008B2034" w:rsidRDefault="4A476B56" w:rsidP="008B2034">
      <w:r w:rsidRPr="416AC848">
        <w:rPr>
          <w:rFonts w:eastAsia="Calibri"/>
        </w:rPr>
        <w:t>W</w:t>
      </w:r>
      <w:r w:rsidR="00974A09" w:rsidRPr="416AC848">
        <w:rPr>
          <w:rFonts w:eastAsia="Calibri"/>
        </w:rPr>
        <w:t xml:space="preserve"> Strategii </w:t>
      </w:r>
      <w:r w:rsidRPr="416AC848">
        <w:rPr>
          <w:rFonts w:eastAsia="Calibri"/>
        </w:rPr>
        <w:t xml:space="preserve">jest zalecane określenie </w:t>
      </w:r>
      <w:r w:rsidR="00974A09" w:rsidRPr="416AC848">
        <w:rPr>
          <w:rFonts w:eastAsia="Calibri"/>
        </w:rPr>
        <w:t xml:space="preserve">modelu rozwoju </w:t>
      </w:r>
      <w:r w:rsidRPr="416AC848">
        <w:rPr>
          <w:rFonts w:eastAsia="Calibri"/>
        </w:rPr>
        <w:t>województwa.</w:t>
      </w:r>
      <w:r w:rsidR="00974A09" w:rsidRPr="416AC848">
        <w:rPr>
          <w:rFonts w:eastAsia="Calibri"/>
        </w:rPr>
        <w:t xml:space="preserve"> </w:t>
      </w:r>
      <w:r w:rsidR="00974A09">
        <w:t>Należy podkreślić, że proces tworzenia SRWW 2020 przebiegał w okresie, gdy w KSRR określony był model polaryzacyjno-dyfuzyjny, budzący wiele obaw, szczególnie ze strony regionów i obszarów słabiej rozwiniętych</w:t>
      </w:r>
      <w:r w:rsidR="00974A09">
        <w:rPr>
          <w:rStyle w:val="Odwoanieprzypisudolnego"/>
        </w:rPr>
        <w:footnoteReference w:id="8"/>
      </w:r>
      <w:r w:rsidR="00974A09">
        <w:t>. Jednak nie sam fakt odniesienia się do dokumentów wyższego rzędu jest tu kluczowy, a raczej przemyślana deklaracja polityki rozwoju regionu.</w:t>
      </w:r>
    </w:p>
    <w:p w14:paraId="5DEBC4AF" w14:textId="77777777" w:rsidR="008B2034" w:rsidRPr="002477F4" w:rsidRDefault="008B2034" w:rsidP="00BF08D5">
      <w:pPr>
        <w:ind w:left="4536"/>
        <w:jc w:val="left"/>
        <w:rPr>
          <w:b/>
          <w:i/>
          <w:color w:val="001E50"/>
        </w:rPr>
      </w:pPr>
      <w:r w:rsidRPr="002477F4">
        <w:rPr>
          <w:b/>
          <w:i/>
          <w:color w:val="001E50"/>
        </w:rPr>
        <w:t>Model dyfuzyjno-absorpcyjny ma sens, ale może nie wytrzymać zmian w krajowym otoczeniu…</w:t>
      </w:r>
    </w:p>
    <w:p w14:paraId="38E54D8F" w14:textId="78878CFE" w:rsidR="008B2034" w:rsidRDefault="008B2034" w:rsidP="008B2034">
      <w:r>
        <w:t xml:space="preserve">Określony w Strategii model rozwoju województwa posiada kilka </w:t>
      </w:r>
      <w:r w:rsidR="4A476B56">
        <w:t xml:space="preserve">następujących </w:t>
      </w:r>
      <w:r>
        <w:t xml:space="preserve">cech (s. 65-66): </w:t>
      </w:r>
    </w:p>
    <w:p w14:paraId="4FDD3493" w14:textId="76C9BA88" w:rsidR="008B2034" w:rsidRPr="00683BC3" w:rsidRDefault="008B2034" w:rsidP="00B7587D">
      <w:pPr>
        <w:shd w:val="clear" w:color="auto" w:fill="FFE599"/>
        <w:rPr>
          <w:lang w:eastAsia="pl-PL"/>
        </w:rPr>
      </w:pPr>
      <w:r>
        <w:t>(A) Jest napisany naukowym językiem; (B) Przyjmuje zróżnicowanie przestrzeni jako fakt naturalny i obiektywny; (C) Wskazuje 9 słusznych założeń; (</w:t>
      </w:r>
      <w:r w:rsidR="4A476B56">
        <w:t xml:space="preserve">D) </w:t>
      </w:r>
      <w:r>
        <w:t>Mówi o zasadach wymaganych przy formułowaniu i realizacji Strategii; (</w:t>
      </w:r>
      <w:r w:rsidR="4A476B56">
        <w:t>E</w:t>
      </w:r>
      <w:r>
        <w:t>) Mówi o zasadach, które powinny być filarami zrównoważonego rozwoju Wielkopolski.</w:t>
      </w:r>
    </w:p>
    <w:p w14:paraId="28271092" w14:textId="196C4C5E" w:rsidR="4A476B56" w:rsidRDefault="4A476B56" w:rsidP="4A476B56">
      <w:r>
        <w:t>Model dyfuzyjno-absorpcyjny zaprezentowany w Strategii rozwoju województwa wielkopolskiego jest nowatorską koncepcją, szczególnie wobec modelu zaprezentowanego w projekcie KSRR, który z jednej strony wskazuje na obszary problemowe, z drugiej zaś mówi o specyficznych cechach regionów, na których powinno budować się przewagi konkurencyjne. Model dyfuzyjno-absorpcyjny nie pomija znaczenia metropolii</w:t>
      </w:r>
      <w:r w:rsidRPr="4A476B56">
        <w:rPr>
          <w:rFonts w:eastAsia="Calibri"/>
          <w:szCs w:val="22"/>
        </w:rPr>
        <w:t>, gdyż kluczowe czynniki rozwojowe są skoncentrowane w aglomeracjach miejskich i to w nich rozpoczyna się proces dyfuzji.</w:t>
      </w:r>
    </w:p>
    <w:p w14:paraId="6015A4A2" w14:textId="0B25C4F7" w:rsidR="4A476B56" w:rsidRDefault="4A476B56" w:rsidP="4A476B56">
      <w:r w:rsidRPr="4A476B56">
        <w:t>Biorąc pod uwagę złożony i wielowymiarowy opis modelu rozwoju, warto rozważyć następujące kwestie:</w:t>
      </w:r>
    </w:p>
    <w:p w14:paraId="6DDE7E28" w14:textId="6889ED1E" w:rsidR="008B2034" w:rsidRDefault="008B2034" w:rsidP="00512544">
      <w:pPr>
        <w:pStyle w:val="Akapitzlist"/>
        <w:numPr>
          <w:ilvl w:val="0"/>
          <w:numId w:val="22"/>
        </w:numPr>
      </w:pPr>
      <w:r>
        <w:t>zdefiniowanie roli, jaką określenie modelu rozwoju powinno mieć w procesie tworzenia i realizacji Strategii;</w:t>
      </w:r>
    </w:p>
    <w:p w14:paraId="73A525D3" w14:textId="78EA14B1" w:rsidR="4A476B56" w:rsidRDefault="4A476B56" w:rsidP="4A476B56">
      <w:pPr>
        <w:pStyle w:val="Akapitzlist"/>
        <w:numPr>
          <w:ilvl w:val="0"/>
          <w:numId w:val="22"/>
        </w:numPr>
      </w:pPr>
      <w:r w:rsidRPr="4A476B56">
        <w:lastRenderedPageBreak/>
        <w:t>odpowiedzi na pytania: z jakich elementów powinien składać się model oraz czym są założenia modelu i zasady, jakimi się posługujemy?</w:t>
      </w:r>
    </w:p>
    <w:p w14:paraId="3036304F" w14:textId="46E6E849" w:rsidR="4A476B56" w:rsidRDefault="4A476B56" w:rsidP="4A476B56">
      <w:r>
        <w:t xml:space="preserve">Jednocześnie na poziomie polityki krajowej dominuje narracja o rozwoju „odpowiedzialnym”, „społecznie wrażliwym” czy „terytorialnie zrównoważonym”. Nacisk na regiony peryferyjne i problemowe </w:t>
      </w:r>
      <w:r w:rsidRPr="4A476B56">
        <w:rPr>
          <w:rFonts w:eastAsia="Calibri"/>
          <w:szCs w:val="22"/>
        </w:rPr>
        <w:t>wydaje się trudny do pogodzenia z faktem</w:t>
      </w:r>
      <w:r>
        <w:t xml:space="preserve">, </w:t>
      </w:r>
      <w:r w:rsidRPr="4A476B56">
        <w:rPr>
          <w:rFonts w:eastAsia="Calibri"/>
          <w:szCs w:val="22"/>
        </w:rPr>
        <w:t>że chcąc realizować cele rozwoju w oparciu o środki europejskie należy przeznaczyć 65% z nich na przedsiębiorczość i innowacyjność oraz tzw. „zielony rozwój”, który również jest silnie skorelowany z innowacjami i nowymi technologiami. Zatem dyskurs polityczny może prowadzić do rozdźwięku na niekorzyść samorządów województw, które dużo uwagi poświęcają swoim biegunom wzrostu – stolicom regionów. Chcąc utrzymać w oficjalnej narracji model dyfuzyjno-absorpcyjny, konieczny będzie duży wysiłek włożony w wytłumaczenie jego zasadności, co nie musi spotkać się ze zrozumieniem oponentów. Dotyczy to w szczególności dyskusji wewnątrz regionu, bowiem literalnie odbierany „rozwój odpowiedzialny” z SOR wraz z jego terytorializacją ukierunkowaną na obszary problemowe, może rodzić oczekiwania, że podejście Samorządu Województwa będzie takie samo. Warto zatem konsekwentnie prezentować następujące fakty:</w:t>
      </w:r>
    </w:p>
    <w:p w14:paraId="74AD2D17" w14:textId="7E3FBCF8" w:rsidR="008B2034" w:rsidRDefault="008B2034" w:rsidP="00512544">
      <w:pPr>
        <w:pStyle w:val="Akapitzlist"/>
        <w:numPr>
          <w:ilvl w:val="0"/>
          <w:numId w:val="27"/>
        </w:numPr>
      </w:pPr>
      <w:r>
        <w:t>Komisja Europejska dąży do silnego powiązania rozwoju z konkurencyjnością i innowacyjnością</w:t>
      </w:r>
      <w:r w:rsidR="4A476B56">
        <w:t>. Takiemu</w:t>
      </w:r>
      <w:r>
        <w:t xml:space="preserve"> podejściu podporządkowane są pierwsze propozycje budżetu, z którego finansowana </w:t>
      </w:r>
      <w:r w:rsidR="4A476B56">
        <w:t xml:space="preserve">będzie </w:t>
      </w:r>
      <w:r>
        <w:t>większość inwestycji publicznych w Polsce;</w:t>
      </w:r>
    </w:p>
    <w:p w14:paraId="32A0AE9E" w14:textId="48ADA635" w:rsidR="4A476B56" w:rsidRDefault="4A476B56" w:rsidP="4A476B56">
      <w:pPr>
        <w:pStyle w:val="Akapitzlist"/>
        <w:numPr>
          <w:ilvl w:val="0"/>
          <w:numId w:val="27"/>
        </w:numPr>
      </w:pPr>
      <w:r w:rsidRPr="4A476B56">
        <w:t xml:space="preserve">KSRR w celu drugim </w:t>
      </w:r>
      <w:r w:rsidRPr="4A476B56">
        <w:rPr>
          <w:i/>
          <w:iCs/>
        </w:rPr>
        <w:t>de facto</w:t>
      </w:r>
      <w:r w:rsidRPr="4A476B56">
        <w:t xml:space="preserve"> dotyka kwestii biegunów wzrostu, ponieważ to w nich skoncentrowane są zasoby, które umożliwiły stworzenie specjalizacji województw. Nałożone na RPO </w:t>
      </w:r>
      <w:r w:rsidRPr="4A476B56">
        <w:rPr>
          <w:i/>
          <w:iCs/>
        </w:rPr>
        <w:t>ring fencingi</w:t>
      </w:r>
      <w:r w:rsidRPr="4A476B56">
        <w:t>, czyli ograniczenia w jego konstrukcji, mają zagwarantować koncentrację środków w sferze innowacyjności. Oznacza to, że obszary problemowe w umiarkowanym stopniu otrzymają wsparcie z RPO w tradycyjnych sferach, takich jak infrastruktura techniczna czy drogowa. Z kolei bieguny wzrostu będą mogły liczyć na wsparcie z RPO, szczególnie w zakresie innowacji, choć powinny również zabiegać o środki na wzrost konkurencyjności na poziomie krajowym i europejskim.</w:t>
      </w:r>
    </w:p>
    <w:p w14:paraId="675BFF99" w14:textId="77777777" w:rsidR="008B2034" w:rsidRPr="002477F4" w:rsidRDefault="008B2034" w:rsidP="00BF08D5">
      <w:pPr>
        <w:ind w:left="4536"/>
        <w:jc w:val="left"/>
        <w:rPr>
          <w:b/>
          <w:i/>
          <w:color w:val="001E50"/>
        </w:rPr>
      </w:pPr>
      <w:r w:rsidRPr="002477F4">
        <w:rPr>
          <w:b/>
          <w:i/>
          <w:color w:val="001E50"/>
        </w:rPr>
        <w:t>Misja, czyli problem: „w jakim celu”</w:t>
      </w:r>
    </w:p>
    <w:p w14:paraId="4F697908" w14:textId="77777777" w:rsidR="008B2034" w:rsidRDefault="008B2034" w:rsidP="008B2034">
      <w:r>
        <w:t xml:space="preserve">W Strategii misja </w:t>
      </w:r>
      <w:r w:rsidR="00302E55">
        <w:t>S</w:t>
      </w:r>
      <w:r>
        <w:t xml:space="preserve">amorządu </w:t>
      </w:r>
      <w:r w:rsidR="00302E55">
        <w:t xml:space="preserve">Województwa </w:t>
      </w:r>
      <w:r>
        <w:t>określona jest następująco (s. 69):</w:t>
      </w:r>
    </w:p>
    <w:p w14:paraId="1C5509B1" w14:textId="77777777" w:rsidR="008B2034" w:rsidRPr="00792A2F" w:rsidRDefault="00302E55" w:rsidP="00302E55">
      <w:pPr>
        <w:shd w:val="clear" w:color="auto" w:fill="FFE599"/>
        <w:rPr>
          <w:i/>
          <w:szCs w:val="22"/>
          <w:lang w:eastAsia="pl-PL"/>
        </w:rPr>
      </w:pPr>
      <w:r>
        <w:t>(…)</w:t>
      </w:r>
      <w:r w:rsidRPr="00302E55">
        <w:t xml:space="preserve"> </w:t>
      </w:r>
      <w:r w:rsidR="008B2034" w:rsidRPr="00792A2F">
        <w:rPr>
          <w:i/>
        </w:rPr>
        <w:t>skupienie wszystkich podmiotów działających na rzecz wzrostu konkurencyjności regionu, poprawy warunków życia mieszkańców oraz odsunięcia perspektywy zapaści demograficznej; uzyskanie efektu synergii przez stworzenie spójnej koncepcji wykorzystania środków publicznych; wykorzystanie własnych instrumentów dla uzyskania efektu dźwigni.</w:t>
      </w:r>
    </w:p>
    <w:p w14:paraId="0561805B" w14:textId="1817C70A" w:rsidR="008B2034" w:rsidRDefault="008B2034" w:rsidP="008B2034">
      <w:r>
        <w:t>Po przestudiowaniu rozdziału „Misja województwa” nasuwa się kilka uwag:</w:t>
      </w:r>
    </w:p>
    <w:p w14:paraId="0885C741" w14:textId="77777777" w:rsidR="008B2034" w:rsidRDefault="008B2034" w:rsidP="00512544">
      <w:pPr>
        <w:pStyle w:val="Akapitzlist"/>
        <w:numPr>
          <w:ilvl w:val="0"/>
          <w:numId w:val="20"/>
        </w:numPr>
      </w:pPr>
      <w:r>
        <w:t>tytuł „Misja województwa” zawiera w sobie „misję samorządu województwa”, która w istocie jest ukierunkowaną na bieżące wyzwania interpretacją ustawy o samorządzie województwa;</w:t>
      </w:r>
    </w:p>
    <w:p w14:paraId="0F39B1D4" w14:textId="0EF20F9E" w:rsidR="008B2034" w:rsidRDefault="008B2034" w:rsidP="00512544">
      <w:pPr>
        <w:pStyle w:val="Akapitzlist"/>
        <w:numPr>
          <w:ilvl w:val="0"/>
          <w:numId w:val="20"/>
        </w:numPr>
      </w:pPr>
      <w:r>
        <w:t xml:space="preserve">definicja misji jest bardzo złożona i zaprezentowana w sposób mało przystępny – </w:t>
      </w:r>
      <w:r w:rsidR="416AC848">
        <w:t>najpierw</w:t>
      </w:r>
      <w:r>
        <w:t xml:space="preserve"> dowiadujemy się, że: „…misja jest pochodną kilku ustaleń. Z jednej strony wynika z diagnozy i identyfikacji problemów oraz potencjałów, z drugiej, z ustalenia podmiotowego i przedmiotowego zakresu strategii. Misja, to, ujmując rzecz w uproszczeniu, opis dążeń podmiotu strategii, czyli Samorządu Województwa, do realizacji celów strategii.”. </w:t>
      </w:r>
      <w:r w:rsidR="416AC848" w:rsidRPr="2CD63631">
        <w:rPr>
          <w:rFonts w:eastAsia="Calibri"/>
        </w:rPr>
        <w:t xml:space="preserve">Następnie opisano, jak należy rozumieć </w:t>
      </w:r>
      <w:r w:rsidRPr="2CD63631">
        <w:rPr>
          <w:rFonts w:eastAsia="Calibri"/>
        </w:rPr>
        <w:t>misję województwa</w:t>
      </w:r>
      <w:r w:rsidR="416AC848" w:rsidRPr="2CD63631">
        <w:rPr>
          <w:rFonts w:eastAsia="Calibri"/>
        </w:rPr>
        <w:t>: „</w:t>
      </w:r>
      <w:r w:rsidRPr="2CD63631">
        <w:rPr>
          <w:rFonts w:eastAsia="Calibri"/>
        </w:rPr>
        <w:t>skupienie wszystkich</w:t>
      </w:r>
      <w:r>
        <w:t xml:space="preserve"> podmiotów publicznych działających na rzecz wzrostu konkurencyjności regionu i poprawy warunków i jakości życia mieszkańców; uzyskanie efektu synergii przez stworzenie i wdrożenie spójnej </w:t>
      </w:r>
      <w:r>
        <w:lastRenderedPageBreak/>
        <w:t>koncepcji wykorzystania środków publicznych”. W trzeciej kolejności autorzy doprecyzowują ostatni zapis o następujący punkt: „</w:t>
      </w:r>
      <w:r w:rsidRPr="00FB1572">
        <w:t>Wykorzystanie własnych instrumentów dla uzyskania efektu dźwigni</w:t>
      </w:r>
      <w:r>
        <w:t>”. Następnie podana jest</w:t>
      </w:r>
      <w:r w:rsidR="416AC848">
        <w:t>,</w:t>
      </w:r>
      <w:r>
        <w:t xml:space="preserve"> połączona z tych trzech fragmentów</w:t>
      </w:r>
      <w:r w:rsidR="416AC848">
        <w:t>,</w:t>
      </w:r>
      <w:r>
        <w:t xml:space="preserve"> misja przytoczona na początku tego akapitu. </w:t>
      </w:r>
      <w:r w:rsidR="416AC848">
        <w:t>Wskazano</w:t>
      </w:r>
      <w:r>
        <w:t xml:space="preserve"> podmiotowość Samorządu Województwa w kontekście misji, restrykcyjnie oddzielając podmioty </w:t>
      </w:r>
      <w:r w:rsidR="416AC848">
        <w:t>Strategii (realizujących Strategię</w:t>
      </w:r>
      <w:r>
        <w:t>) od podmiotu misji (Samorządu Województwa);</w:t>
      </w:r>
    </w:p>
    <w:p w14:paraId="3367C1BF" w14:textId="3BC26A18" w:rsidR="008B2034" w:rsidRDefault="008B2034" w:rsidP="00512544">
      <w:pPr>
        <w:pStyle w:val="Akapitzlist"/>
        <w:numPr>
          <w:ilvl w:val="0"/>
          <w:numId w:val="20"/>
        </w:numPr>
      </w:pPr>
      <w:r>
        <w:t xml:space="preserve">można wyciągnąć wniosek, że misja służy podkreśleniu lub uświadomieniu wszystkim interesariuszom roli </w:t>
      </w:r>
      <w:r w:rsidR="416AC848">
        <w:t>Samorządu Województwa</w:t>
      </w:r>
      <w:r>
        <w:t xml:space="preserve"> w procesach rozwoju.</w:t>
      </w:r>
    </w:p>
    <w:p w14:paraId="2E808AEA" w14:textId="7DA9C3B1" w:rsidR="008B2034" w:rsidRDefault="008B2034" w:rsidP="008B2034">
      <w:r>
        <w:t>W związku z powyższym można sformułować następującą rekomendację cząstkową</w:t>
      </w:r>
      <w:r w:rsidR="416AC848">
        <w:t xml:space="preserve"> obejmującą</w:t>
      </w:r>
      <w:r>
        <w:t>:</w:t>
      </w:r>
    </w:p>
    <w:p w14:paraId="145DF446" w14:textId="1466468B" w:rsidR="008B2034" w:rsidRDefault="008B2034" w:rsidP="00512544">
      <w:pPr>
        <w:pStyle w:val="Akapitzlist"/>
        <w:numPr>
          <w:ilvl w:val="0"/>
          <w:numId w:val="21"/>
        </w:numPr>
      </w:pPr>
      <w:r>
        <w:t xml:space="preserve">poddanie dyskusji upodmiotowienia innych interesariuszy Strategii w kontekście misji – trudno jest </w:t>
      </w:r>
      <w:r w:rsidR="416AC848">
        <w:t>zgodzić</w:t>
      </w:r>
      <w:r>
        <w:t xml:space="preserve"> się ze stwierdzeniem, iż mówimy o misji województwa, ale podmiotem misji jest wyłącznie Samorząd Województwa;</w:t>
      </w:r>
    </w:p>
    <w:p w14:paraId="7370DCEC" w14:textId="77777777" w:rsidR="008B2034" w:rsidRDefault="008B2034" w:rsidP="00512544">
      <w:pPr>
        <w:pStyle w:val="Akapitzlist"/>
        <w:numPr>
          <w:ilvl w:val="0"/>
          <w:numId w:val="21"/>
        </w:numPr>
      </w:pPr>
      <w:r>
        <w:t>poddanie dyskusji pomysłu sformułowania misji strategii, jako procesu i przyjęcia prostej definicji mówiącej, iż misja odpowiada na pytanie: po co coś istnieje? – w naszym przypadku będzie to pytanie: w jakim celu przygotowujemy i realizujemy Strategię?</w:t>
      </w:r>
    </w:p>
    <w:p w14:paraId="4BD82C1D" w14:textId="77777777" w:rsidR="008B2034" w:rsidRPr="002477F4" w:rsidRDefault="008B2034" w:rsidP="00BF08D5">
      <w:pPr>
        <w:ind w:left="4536"/>
        <w:jc w:val="left"/>
        <w:rPr>
          <w:b/>
          <w:i/>
          <w:color w:val="001E50"/>
        </w:rPr>
      </w:pPr>
      <w:r w:rsidRPr="002477F4">
        <w:rPr>
          <w:b/>
          <w:i/>
          <w:color w:val="001E50"/>
        </w:rPr>
        <w:t>Wizja powinna odzwierciedlać marzenie lidera…</w:t>
      </w:r>
    </w:p>
    <w:p w14:paraId="3F214168" w14:textId="08558A9B" w:rsidR="008B2034" w:rsidRDefault="008B2034" w:rsidP="008B2034">
      <w:pPr>
        <w:rPr>
          <w:lang w:eastAsia="pl-PL"/>
        </w:rPr>
      </w:pPr>
      <w:r>
        <w:rPr>
          <w:lang w:eastAsia="pl-PL"/>
        </w:rPr>
        <w:t>Wizja w SRWW 2020 poprzedzona jest uzasadnieniem toku myślenia twórców dokumentu. Jako wizję rozumiemy krótkie zdanie, które rozwinięte jest w szereg oczekiwań dotyczących stanu regionu w 2020 roku</w:t>
      </w:r>
      <w:r w:rsidR="00124395">
        <w:rPr>
          <w:lang w:eastAsia="pl-PL"/>
        </w:rPr>
        <w:t xml:space="preserve"> (s. 68)</w:t>
      </w:r>
      <w:r>
        <w:rPr>
          <w:lang w:eastAsia="pl-PL"/>
        </w:rPr>
        <w:t>:</w:t>
      </w:r>
    </w:p>
    <w:p w14:paraId="79D709B2" w14:textId="77777777" w:rsidR="008B2034" w:rsidRPr="00611C6B" w:rsidRDefault="008B2034" w:rsidP="00302E55">
      <w:pPr>
        <w:shd w:val="clear" w:color="auto" w:fill="FFE599"/>
        <w:rPr>
          <w:i/>
        </w:rPr>
      </w:pPr>
      <w:r w:rsidRPr="00611C6B">
        <w:rPr>
          <w:i/>
        </w:rPr>
        <w:t>Wielkopolska 2020 roku – w wyniku stopniowego osiągania celów strategii</w:t>
      </w:r>
      <w:r>
        <w:rPr>
          <w:i/>
        </w:rPr>
        <w:t xml:space="preserve"> </w:t>
      </w:r>
      <w:r w:rsidRPr="00611C6B">
        <w:rPr>
          <w:i/>
        </w:rPr>
        <w:t>ma być regionem inteligentnym, innowacyjnym i spójnym, gdzie:</w:t>
      </w:r>
    </w:p>
    <w:p w14:paraId="499BE67A" w14:textId="77777777" w:rsidR="008B2034" w:rsidRDefault="008B2034" w:rsidP="00302E55">
      <w:pPr>
        <w:shd w:val="clear" w:color="auto" w:fill="FFE599"/>
        <w:spacing w:after="0" w:line="240" w:lineRule="auto"/>
        <w:rPr>
          <w:i/>
        </w:rPr>
      </w:pPr>
      <w:r w:rsidRPr="00611C6B">
        <w:rPr>
          <w:i/>
        </w:rPr>
        <w:t>· efektywnie wykorzystywany jest potencjał wewnętrzny,</w:t>
      </w:r>
    </w:p>
    <w:p w14:paraId="7CE5B70D" w14:textId="77777777" w:rsidR="008B2034" w:rsidRPr="00611C6B" w:rsidRDefault="008B2034" w:rsidP="00302E55">
      <w:pPr>
        <w:shd w:val="clear" w:color="auto" w:fill="FFE599"/>
        <w:spacing w:after="0" w:line="240" w:lineRule="auto"/>
        <w:rPr>
          <w:i/>
        </w:rPr>
      </w:pPr>
      <w:r w:rsidRPr="00611C6B">
        <w:rPr>
          <w:i/>
        </w:rPr>
        <w:t>· podmioty rozwoju ściśle współpracują, co skutkować powinno wartością</w:t>
      </w:r>
      <w:r>
        <w:rPr>
          <w:i/>
        </w:rPr>
        <w:t xml:space="preserve"> </w:t>
      </w:r>
      <w:r w:rsidRPr="00611C6B">
        <w:rPr>
          <w:i/>
        </w:rPr>
        <w:t>dodaną,</w:t>
      </w:r>
    </w:p>
    <w:p w14:paraId="13AC5AAC" w14:textId="77777777" w:rsidR="008B2034" w:rsidRPr="00611C6B" w:rsidRDefault="008B2034" w:rsidP="00302E55">
      <w:pPr>
        <w:shd w:val="clear" w:color="auto" w:fill="FFE599"/>
        <w:spacing w:after="0" w:line="240" w:lineRule="auto"/>
        <w:rPr>
          <w:i/>
        </w:rPr>
      </w:pPr>
      <w:r w:rsidRPr="00611C6B">
        <w:rPr>
          <w:i/>
        </w:rPr>
        <w:t>· istnieje klimat dla innowacji we wszystkich sferach funkcjonowania regionu,</w:t>
      </w:r>
    </w:p>
    <w:p w14:paraId="561F3028" w14:textId="77777777" w:rsidR="008B2034" w:rsidRPr="00611C6B" w:rsidRDefault="008B2034" w:rsidP="00302E55">
      <w:pPr>
        <w:shd w:val="clear" w:color="auto" w:fill="FFE599"/>
        <w:spacing w:after="0" w:line="240" w:lineRule="auto"/>
        <w:rPr>
          <w:i/>
        </w:rPr>
      </w:pPr>
      <w:r w:rsidRPr="00611C6B">
        <w:rPr>
          <w:i/>
        </w:rPr>
        <w:t>· konkurencyjność budowana jest na wzajemnie korzystnych powiązaniach</w:t>
      </w:r>
      <w:r>
        <w:rPr>
          <w:i/>
        </w:rPr>
        <w:t xml:space="preserve"> </w:t>
      </w:r>
      <w:r w:rsidRPr="00611C6B">
        <w:rPr>
          <w:i/>
        </w:rPr>
        <w:t>funkcjonalnych między ośrodkami wzrostu a ich otoczeniem, co generuje</w:t>
      </w:r>
      <w:r>
        <w:rPr>
          <w:i/>
        </w:rPr>
        <w:t xml:space="preserve"> </w:t>
      </w:r>
      <w:r w:rsidRPr="00611C6B">
        <w:rPr>
          <w:i/>
        </w:rPr>
        <w:t>korzystne procesy dyfuzyjne i absorpcyjne,</w:t>
      </w:r>
    </w:p>
    <w:p w14:paraId="058746CD" w14:textId="77777777" w:rsidR="008B2034" w:rsidRDefault="008B2034" w:rsidP="00302E55">
      <w:pPr>
        <w:shd w:val="clear" w:color="auto" w:fill="FFE599"/>
        <w:spacing w:after="0" w:line="240" w:lineRule="auto"/>
        <w:rPr>
          <w:i/>
        </w:rPr>
      </w:pPr>
      <w:r w:rsidRPr="00611C6B">
        <w:rPr>
          <w:i/>
        </w:rPr>
        <w:t>· priorytetem i fundamentem rozwoju jest edukacja oraz budowa na jej podstawie</w:t>
      </w:r>
      <w:r>
        <w:rPr>
          <w:i/>
        </w:rPr>
        <w:t xml:space="preserve"> </w:t>
      </w:r>
      <w:r w:rsidRPr="00611C6B">
        <w:rPr>
          <w:i/>
        </w:rPr>
        <w:t>kreatywnych kapitałów, intelektualnego i innowacyjnego,</w:t>
      </w:r>
    </w:p>
    <w:p w14:paraId="31B3D8E7" w14:textId="77777777" w:rsidR="008B2034" w:rsidRPr="00611C6B" w:rsidRDefault="008B2034" w:rsidP="00302E55">
      <w:pPr>
        <w:shd w:val="clear" w:color="auto" w:fill="FFE599"/>
        <w:spacing w:after="0" w:line="240" w:lineRule="auto"/>
        <w:rPr>
          <w:i/>
        </w:rPr>
      </w:pPr>
      <w:r w:rsidRPr="00611C6B">
        <w:rPr>
          <w:i/>
        </w:rPr>
        <w:t>· jednym z głównych priorytetów jest zielony aspekt rozwoju,</w:t>
      </w:r>
    </w:p>
    <w:p w14:paraId="5B94D2C2" w14:textId="77777777" w:rsidR="008B2034" w:rsidRPr="00611C6B" w:rsidRDefault="008B2034" w:rsidP="00302E55">
      <w:pPr>
        <w:shd w:val="clear" w:color="auto" w:fill="FFE599"/>
        <w:spacing w:after="0" w:line="240" w:lineRule="auto"/>
        <w:rPr>
          <w:i/>
        </w:rPr>
      </w:pPr>
      <w:r w:rsidRPr="00611C6B">
        <w:rPr>
          <w:i/>
        </w:rPr>
        <w:t>· mieszkańcy wykazują wysoką aktywność zawodową, gospodarczą i społeczną,</w:t>
      </w:r>
    </w:p>
    <w:p w14:paraId="77664932" w14:textId="77777777" w:rsidR="008B2034" w:rsidRPr="00611C6B" w:rsidRDefault="008B2034" w:rsidP="00302E55">
      <w:pPr>
        <w:shd w:val="clear" w:color="auto" w:fill="FFE599"/>
        <w:spacing w:after="0" w:line="240" w:lineRule="auto"/>
        <w:rPr>
          <w:i/>
        </w:rPr>
      </w:pPr>
      <w:r w:rsidRPr="00611C6B">
        <w:rPr>
          <w:i/>
        </w:rPr>
        <w:t>· gospodarka i</w:t>
      </w:r>
      <w:r>
        <w:rPr>
          <w:i/>
        </w:rPr>
        <w:t xml:space="preserve"> ż</w:t>
      </w:r>
      <w:r w:rsidRPr="00611C6B">
        <w:rPr>
          <w:i/>
        </w:rPr>
        <w:t>ycie społeczne są otwarte na świat, co wzmacnia ich konkurencyjność,</w:t>
      </w:r>
    </w:p>
    <w:p w14:paraId="2A12F282" w14:textId="77777777" w:rsidR="008B2034" w:rsidRPr="00611C6B" w:rsidRDefault="008B2034" w:rsidP="00302E55">
      <w:pPr>
        <w:shd w:val="clear" w:color="auto" w:fill="FFE599"/>
        <w:spacing w:after="0" w:line="240" w:lineRule="auto"/>
        <w:rPr>
          <w:i/>
        </w:rPr>
      </w:pPr>
      <w:r w:rsidRPr="00611C6B">
        <w:rPr>
          <w:i/>
        </w:rPr>
        <w:t>· wszystkie aspekty rozwoju uwzględniają zasadę włączenia społecznego,</w:t>
      </w:r>
    </w:p>
    <w:p w14:paraId="33EE3C12" w14:textId="77777777" w:rsidR="008B2034" w:rsidRPr="00611C6B" w:rsidRDefault="008B2034" w:rsidP="00302E55">
      <w:pPr>
        <w:shd w:val="clear" w:color="auto" w:fill="FFE599"/>
        <w:spacing w:after="0" w:line="240" w:lineRule="auto"/>
        <w:rPr>
          <w:i/>
        </w:rPr>
      </w:pPr>
      <w:r w:rsidRPr="00611C6B">
        <w:rPr>
          <w:i/>
        </w:rPr>
        <w:t>· ka</w:t>
      </w:r>
      <w:r>
        <w:rPr>
          <w:i/>
        </w:rPr>
        <w:t>ż</w:t>
      </w:r>
      <w:r w:rsidRPr="00611C6B">
        <w:rPr>
          <w:i/>
        </w:rPr>
        <w:t>dy mieszkaniec ma dostęp do podstawowych standardów usług społecznych,</w:t>
      </w:r>
    </w:p>
    <w:p w14:paraId="55834605" w14:textId="77777777" w:rsidR="008B2034" w:rsidRPr="00611C6B" w:rsidRDefault="008B2034" w:rsidP="00302E55">
      <w:pPr>
        <w:shd w:val="clear" w:color="auto" w:fill="FFE599"/>
        <w:spacing w:after="0" w:line="240" w:lineRule="auto"/>
        <w:rPr>
          <w:i/>
        </w:rPr>
      </w:pPr>
      <w:r w:rsidRPr="00611C6B">
        <w:rPr>
          <w:i/>
        </w:rPr>
        <w:t>· przestrzeń województwa pozbawiona jest barier dla mobilności mieszkańców,</w:t>
      </w:r>
    </w:p>
    <w:p w14:paraId="28221299" w14:textId="77777777" w:rsidR="008B2034" w:rsidRPr="00611C6B" w:rsidRDefault="008B2034" w:rsidP="00302E55">
      <w:pPr>
        <w:shd w:val="clear" w:color="auto" w:fill="FFE599"/>
        <w:spacing w:after="0" w:line="240" w:lineRule="auto"/>
        <w:rPr>
          <w:i/>
        </w:rPr>
      </w:pPr>
      <w:r w:rsidRPr="00611C6B">
        <w:rPr>
          <w:i/>
        </w:rPr>
        <w:t>· sytuacja demograficzna sprzyja zastępowalności pokoleniowej,</w:t>
      </w:r>
    </w:p>
    <w:p w14:paraId="3E3036D2" w14:textId="77777777" w:rsidR="008B2034" w:rsidRDefault="008B2034" w:rsidP="00302E55">
      <w:pPr>
        <w:shd w:val="clear" w:color="auto" w:fill="FFE599"/>
        <w:spacing w:after="0" w:line="240" w:lineRule="auto"/>
        <w:rPr>
          <w:i/>
        </w:rPr>
      </w:pPr>
      <w:r w:rsidRPr="00611C6B">
        <w:rPr>
          <w:i/>
        </w:rPr>
        <w:t>· polityka kieruje się większą otwartością na nowe i nowych,</w:t>
      </w:r>
    </w:p>
    <w:p w14:paraId="5AB3FBD1" w14:textId="561EFF96" w:rsidR="008B2034" w:rsidRPr="00792A2F" w:rsidRDefault="008B2034" w:rsidP="416AC848">
      <w:pPr>
        <w:shd w:val="clear" w:color="auto" w:fill="FFE599" w:themeFill="accent4" w:themeFillTint="66"/>
        <w:spacing w:line="240" w:lineRule="auto"/>
        <w:rPr>
          <w:i/>
          <w:lang w:eastAsia="pl-PL"/>
        </w:rPr>
      </w:pPr>
      <w:r w:rsidRPr="00611C6B">
        <w:rPr>
          <w:i/>
        </w:rPr>
        <w:t>· istotny wpływ na rozwój regionu wywiera sprawowane w stylu koncyliacyjnym</w:t>
      </w:r>
      <w:r w:rsidR="416AC848" w:rsidRPr="416AC848">
        <w:rPr>
          <w:i/>
          <w:iCs/>
        </w:rPr>
        <w:t>,</w:t>
      </w:r>
      <w:r>
        <w:rPr>
          <w:i/>
        </w:rPr>
        <w:t xml:space="preserve"> </w:t>
      </w:r>
      <w:r w:rsidRPr="00611C6B">
        <w:rPr>
          <w:i/>
        </w:rPr>
        <w:t>zdecydowane przywództwo regionalne.</w:t>
      </w:r>
    </w:p>
    <w:p w14:paraId="45D05F7C" w14:textId="77777777" w:rsidR="008B2034" w:rsidRDefault="008B2034" w:rsidP="008B2034">
      <w:pPr>
        <w:rPr>
          <w:lang w:eastAsia="pl-PL"/>
        </w:rPr>
      </w:pPr>
      <w:r>
        <w:rPr>
          <w:lang w:eastAsia="pl-PL"/>
        </w:rPr>
        <w:t>Trudno jest poddawać dyskusji dokonany wybór, przy założeniu, że wizja ma jedną, kluczową cechę: jest to wizja lidera (przywódcy regionalnego z ostatni</w:t>
      </w:r>
      <w:r w:rsidR="00302E55">
        <w:rPr>
          <w:lang w:eastAsia="pl-PL"/>
        </w:rPr>
        <w:t>ego</w:t>
      </w:r>
      <w:r>
        <w:rPr>
          <w:lang w:eastAsia="pl-PL"/>
        </w:rPr>
        <w:t xml:space="preserve"> fragmentu przytoczonej wizji). Nie rozstrzygając, czy jest to wizja określona przez jedną osobę, czy sformułowana w sposób partycypacyjny, lider musi się z nią bezwzględnie utożsamiać.</w:t>
      </w:r>
    </w:p>
    <w:p w14:paraId="65EBFABA" w14:textId="6F8FA099" w:rsidR="008B2034" w:rsidRDefault="008B2034" w:rsidP="008B2034">
      <w:pPr>
        <w:rPr>
          <w:lang w:eastAsia="pl-PL"/>
        </w:rPr>
      </w:pPr>
      <w:r>
        <w:rPr>
          <w:lang w:eastAsia="pl-PL"/>
        </w:rPr>
        <w:lastRenderedPageBreak/>
        <w:t xml:space="preserve">Można natomiast dokonać krótkiej oceny stosując krytyczną analizę tekstu. Jeden z ogólnych wniosków </w:t>
      </w:r>
      <w:r w:rsidR="00302E55">
        <w:rPr>
          <w:lang w:eastAsia="pl-PL"/>
        </w:rPr>
        <w:t xml:space="preserve">powinien dotyczyć </w:t>
      </w:r>
      <w:r>
        <w:rPr>
          <w:lang w:eastAsia="pl-PL"/>
        </w:rPr>
        <w:t>punktów uszczegóławiających wizj</w:t>
      </w:r>
      <w:r w:rsidR="00302E55">
        <w:rPr>
          <w:lang w:eastAsia="pl-PL"/>
        </w:rPr>
        <w:t xml:space="preserve">ę, których </w:t>
      </w:r>
      <w:r>
        <w:rPr>
          <w:lang w:eastAsia="pl-PL"/>
        </w:rPr>
        <w:t xml:space="preserve">jest dużo (propozycje redukcji zawiera </w:t>
      </w:r>
      <w:r>
        <w:rPr>
          <w:lang w:eastAsia="pl-PL"/>
        </w:rPr>
        <w:fldChar w:fldCharType="begin"/>
      </w:r>
      <w:r>
        <w:rPr>
          <w:lang w:eastAsia="pl-PL"/>
        </w:rPr>
        <w:instrText xml:space="preserve"> REF _Ref1417449 \h </w:instrText>
      </w:r>
      <w:r>
        <w:rPr>
          <w:lang w:eastAsia="pl-PL"/>
        </w:rPr>
      </w:r>
      <w:r>
        <w:rPr>
          <w:lang w:eastAsia="pl-PL"/>
        </w:rPr>
        <w:fldChar w:fldCharType="separate"/>
      </w:r>
      <w:r w:rsidR="007F4FA2">
        <w:t xml:space="preserve">Tabela </w:t>
      </w:r>
      <w:r w:rsidR="007F4FA2">
        <w:rPr>
          <w:noProof/>
        </w:rPr>
        <w:t>2</w:t>
      </w:r>
      <w:r>
        <w:rPr>
          <w:lang w:eastAsia="pl-PL"/>
        </w:rPr>
        <w:fldChar w:fldCharType="end"/>
      </w:r>
      <w:r>
        <w:rPr>
          <w:lang w:eastAsia="pl-PL"/>
        </w:rPr>
        <w:t>).</w:t>
      </w:r>
    </w:p>
    <w:p w14:paraId="28FE93E1" w14:textId="197C24CF" w:rsidR="008B2034" w:rsidRDefault="008B2034" w:rsidP="008B2034">
      <w:pPr>
        <w:pStyle w:val="Legenda"/>
        <w:keepNext/>
      </w:pPr>
      <w:bookmarkStart w:id="40" w:name="_Ref1417449"/>
      <w:bookmarkStart w:id="41" w:name="_Toc5699535"/>
      <w:r>
        <w:t xml:space="preserve">Tabela </w:t>
      </w:r>
      <w:r w:rsidRPr="69901DB0">
        <w:fldChar w:fldCharType="begin"/>
      </w:r>
      <w:r>
        <w:rPr>
          <w:noProof/>
        </w:rPr>
        <w:instrText xml:space="preserve"> SEQ Tabela \* ARABIC </w:instrText>
      </w:r>
      <w:r w:rsidRPr="69901DB0">
        <w:rPr>
          <w:noProof/>
        </w:rPr>
        <w:fldChar w:fldCharType="separate"/>
      </w:r>
      <w:r w:rsidR="007F4FA2">
        <w:rPr>
          <w:noProof/>
        </w:rPr>
        <w:t>2</w:t>
      </w:r>
      <w:r w:rsidRPr="69901DB0">
        <w:fldChar w:fldCharType="end"/>
      </w:r>
      <w:bookmarkEnd w:id="40"/>
      <w:r>
        <w:t>. Elementy wizji – uwagi dyskusyjne</w:t>
      </w:r>
      <w:bookmarkEnd w:id="41"/>
    </w:p>
    <w:tbl>
      <w:tblPr>
        <w:tblStyle w:val="Tabela-Siatka"/>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ela 1. Elementy wizji – uwagi dyskusyjne"/>
        <w:tblDescription w:val="Tabela przedstawia elementy wizji wraz z uwagami do każdego z nich."/>
      </w:tblPr>
      <w:tblGrid>
        <w:gridCol w:w="3544"/>
        <w:gridCol w:w="5529"/>
      </w:tblGrid>
      <w:tr w:rsidR="00302E55" w14:paraId="484A6390" w14:textId="77777777" w:rsidTr="00631503">
        <w:tc>
          <w:tcPr>
            <w:tcW w:w="3544" w:type="dxa"/>
            <w:tcBorders>
              <w:bottom w:val="single" w:sz="2" w:space="0" w:color="F6BB00"/>
            </w:tcBorders>
            <w:shd w:val="clear" w:color="auto" w:fill="F6BB00"/>
            <w:tcMar>
              <w:left w:w="28" w:type="dxa"/>
              <w:right w:w="28" w:type="dxa"/>
            </w:tcMar>
            <w:vAlign w:val="center"/>
          </w:tcPr>
          <w:p w14:paraId="497BDE34" w14:textId="77777777" w:rsidR="00302E55" w:rsidRDefault="00302E55" w:rsidP="002477F4">
            <w:pPr>
              <w:spacing w:after="0" w:line="240" w:lineRule="auto"/>
              <w:jc w:val="center"/>
              <w:rPr>
                <w:b/>
                <w:sz w:val="18"/>
                <w:szCs w:val="18"/>
                <w:lang w:eastAsia="pl-PL"/>
              </w:rPr>
            </w:pPr>
            <w:r>
              <w:rPr>
                <w:b/>
                <w:sz w:val="18"/>
                <w:szCs w:val="18"/>
                <w:lang w:eastAsia="pl-PL"/>
              </w:rPr>
              <w:t>Cechy podnoszone przez wizję</w:t>
            </w:r>
          </w:p>
        </w:tc>
        <w:tc>
          <w:tcPr>
            <w:tcW w:w="5529" w:type="dxa"/>
            <w:tcBorders>
              <w:bottom w:val="single" w:sz="2" w:space="0" w:color="F6BB00"/>
            </w:tcBorders>
            <w:shd w:val="clear" w:color="auto" w:fill="F6BB00"/>
            <w:tcMar>
              <w:left w:w="28" w:type="dxa"/>
              <w:right w:w="28" w:type="dxa"/>
            </w:tcMar>
            <w:vAlign w:val="center"/>
          </w:tcPr>
          <w:p w14:paraId="300844F6" w14:textId="77777777" w:rsidR="00302E55" w:rsidRDefault="00302E55" w:rsidP="002477F4">
            <w:pPr>
              <w:spacing w:after="0" w:line="240" w:lineRule="auto"/>
              <w:jc w:val="center"/>
              <w:rPr>
                <w:b/>
                <w:sz w:val="18"/>
                <w:szCs w:val="18"/>
                <w:lang w:eastAsia="pl-PL"/>
              </w:rPr>
            </w:pPr>
            <w:r>
              <w:rPr>
                <w:b/>
                <w:sz w:val="18"/>
                <w:szCs w:val="18"/>
                <w:lang w:eastAsia="pl-PL"/>
              </w:rPr>
              <w:t>Uwagi</w:t>
            </w:r>
          </w:p>
        </w:tc>
      </w:tr>
      <w:tr w:rsidR="00302E55" w:rsidRPr="00942877" w14:paraId="6BA9C6F3" w14:textId="77777777" w:rsidTr="00631503">
        <w:tc>
          <w:tcPr>
            <w:tcW w:w="3544" w:type="dxa"/>
            <w:tcBorders>
              <w:top w:val="single" w:sz="2" w:space="0" w:color="F6BB00"/>
              <w:bottom w:val="single" w:sz="2" w:space="0" w:color="F6BB00"/>
            </w:tcBorders>
            <w:tcMar>
              <w:left w:w="28" w:type="dxa"/>
              <w:right w:w="28" w:type="dxa"/>
            </w:tcMar>
            <w:vAlign w:val="center"/>
          </w:tcPr>
          <w:p w14:paraId="68DA6F1D" w14:textId="77777777" w:rsidR="00302E55" w:rsidRPr="00707949" w:rsidRDefault="00302E55" w:rsidP="00631503">
            <w:pPr>
              <w:spacing w:after="0" w:line="240" w:lineRule="auto"/>
              <w:jc w:val="left"/>
              <w:rPr>
                <w:sz w:val="18"/>
                <w:szCs w:val="18"/>
                <w:lang w:eastAsia="pl-PL"/>
              </w:rPr>
            </w:pPr>
            <w:r w:rsidRPr="00707949">
              <w:rPr>
                <w:sz w:val="18"/>
                <w:szCs w:val="18"/>
                <w:lang w:eastAsia="pl-PL"/>
              </w:rPr>
              <w:t>region inteligentny, innowacyjny, spójny</w:t>
            </w:r>
          </w:p>
        </w:tc>
        <w:tc>
          <w:tcPr>
            <w:tcW w:w="5529" w:type="dxa"/>
            <w:tcBorders>
              <w:top w:val="single" w:sz="2" w:space="0" w:color="F6BB00"/>
              <w:bottom w:val="single" w:sz="2" w:space="0" w:color="F6BB00"/>
            </w:tcBorders>
            <w:tcMar>
              <w:left w:w="28" w:type="dxa"/>
              <w:right w:w="28" w:type="dxa"/>
            </w:tcMar>
            <w:vAlign w:val="center"/>
          </w:tcPr>
          <w:p w14:paraId="1EE5A9A4" w14:textId="77777777" w:rsidR="00302E55" w:rsidRPr="00631503" w:rsidRDefault="00302E55" w:rsidP="00631503">
            <w:pPr>
              <w:spacing w:after="0" w:line="240" w:lineRule="auto"/>
              <w:jc w:val="left"/>
              <w:rPr>
                <w:sz w:val="18"/>
                <w:szCs w:val="18"/>
                <w:lang w:eastAsia="pl-PL"/>
              </w:rPr>
            </w:pPr>
            <w:r w:rsidRPr="00631503">
              <w:rPr>
                <w:sz w:val="18"/>
                <w:szCs w:val="18"/>
                <w:lang w:eastAsia="pl-PL"/>
              </w:rPr>
              <w:t>można mieć wątpliwość, czy inteligentny i innowacyjny nie są w tym przypadku synonimami? Wymienione hasła są często obecne w dyskusji o czynnikach i celach rozwoju</w:t>
            </w:r>
          </w:p>
        </w:tc>
      </w:tr>
      <w:tr w:rsidR="00302E55" w:rsidRPr="00942877" w14:paraId="1679E09D" w14:textId="77777777" w:rsidTr="00631503">
        <w:tc>
          <w:tcPr>
            <w:tcW w:w="3544" w:type="dxa"/>
            <w:tcBorders>
              <w:top w:val="single" w:sz="2" w:space="0" w:color="F6BB00"/>
              <w:bottom w:val="single" w:sz="2" w:space="0" w:color="F6BB00"/>
            </w:tcBorders>
            <w:tcMar>
              <w:left w:w="28" w:type="dxa"/>
              <w:right w:w="28" w:type="dxa"/>
            </w:tcMar>
            <w:vAlign w:val="center"/>
          </w:tcPr>
          <w:p w14:paraId="6B425854" w14:textId="77777777" w:rsidR="00302E55" w:rsidRPr="00707949" w:rsidRDefault="00302E55" w:rsidP="00631503">
            <w:pPr>
              <w:spacing w:after="0" w:line="240" w:lineRule="auto"/>
              <w:jc w:val="left"/>
              <w:rPr>
                <w:sz w:val="18"/>
                <w:szCs w:val="18"/>
                <w:lang w:eastAsia="pl-PL"/>
              </w:rPr>
            </w:pPr>
            <w:r w:rsidRPr="00707949">
              <w:rPr>
                <w:sz w:val="18"/>
                <w:szCs w:val="18"/>
                <w:lang w:eastAsia="pl-PL"/>
              </w:rPr>
              <w:t>efektywnie wykorzyst</w:t>
            </w:r>
            <w:r>
              <w:rPr>
                <w:sz w:val="18"/>
                <w:szCs w:val="18"/>
                <w:lang w:eastAsia="pl-PL"/>
              </w:rPr>
              <w:t>ywany jest potencjał wewnętrzny</w:t>
            </w:r>
          </w:p>
        </w:tc>
        <w:tc>
          <w:tcPr>
            <w:tcW w:w="5529" w:type="dxa"/>
            <w:tcBorders>
              <w:top w:val="single" w:sz="2" w:space="0" w:color="F6BB00"/>
              <w:bottom w:val="single" w:sz="2" w:space="0" w:color="F6BB00"/>
            </w:tcBorders>
            <w:tcMar>
              <w:left w:w="28" w:type="dxa"/>
              <w:right w:w="28" w:type="dxa"/>
            </w:tcMar>
            <w:vAlign w:val="center"/>
          </w:tcPr>
          <w:p w14:paraId="6B4378B0" w14:textId="5A67AF1A" w:rsidR="00302E55" w:rsidRPr="00631503" w:rsidRDefault="00302E55" w:rsidP="00631503">
            <w:pPr>
              <w:spacing w:after="0" w:line="240" w:lineRule="auto"/>
              <w:jc w:val="left"/>
              <w:rPr>
                <w:sz w:val="18"/>
                <w:szCs w:val="18"/>
                <w:lang w:eastAsia="pl-PL"/>
              </w:rPr>
            </w:pPr>
            <w:r w:rsidRPr="00631503">
              <w:rPr>
                <w:sz w:val="18"/>
                <w:szCs w:val="18"/>
                <w:lang w:eastAsia="pl-PL"/>
              </w:rPr>
              <w:t>często pojawiające się stwierdzenie, nawiązujące do zarządczego podejścia do rozwoju. Jednak mówiąc o potencjale wewnętrznym warto odpowiedzieć</w:t>
            </w:r>
            <w:r w:rsidR="416AC848" w:rsidRPr="00631503">
              <w:rPr>
                <w:sz w:val="18"/>
                <w:szCs w:val="18"/>
                <w:lang w:eastAsia="pl-PL"/>
              </w:rPr>
              <w:t>,</w:t>
            </w:r>
            <w:r w:rsidRPr="00631503">
              <w:rPr>
                <w:sz w:val="18"/>
                <w:szCs w:val="18"/>
                <w:lang w:eastAsia="pl-PL"/>
              </w:rPr>
              <w:t xml:space="preserve"> w jaki sposób traktujemy uwarunkowania zewnętrzne</w:t>
            </w:r>
          </w:p>
        </w:tc>
      </w:tr>
      <w:tr w:rsidR="00302E55" w:rsidRPr="00942877" w14:paraId="28C33E87" w14:textId="77777777" w:rsidTr="00631503">
        <w:tc>
          <w:tcPr>
            <w:tcW w:w="3544" w:type="dxa"/>
            <w:tcBorders>
              <w:top w:val="single" w:sz="2" w:space="0" w:color="F6BB00"/>
              <w:bottom w:val="single" w:sz="2" w:space="0" w:color="F6BB00"/>
            </w:tcBorders>
            <w:tcMar>
              <w:left w:w="28" w:type="dxa"/>
              <w:right w:w="28" w:type="dxa"/>
            </w:tcMar>
            <w:vAlign w:val="center"/>
          </w:tcPr>
          <w:p w14:paraId="5CAAB76F" w14:textId="77777777" w:rsidR="00302E55" w:rsidRPr="00707949" w:rsidRDefault="00302E55" w:rsidP="00631503">
            <w:pPr>
              <w:spacing w:after="0" w:line="240" w:lineRule="auto"/>
              <w:jc w:val="left"/>
              <w:rPr>
                <w:sz w:val="18"/>
                <w:szCs w:val="18"/>
                <w:lang w:eastAsia="pl-PL"/>
              </w:rPr>
            </w:pPr>
            <w:r w:rsidRPr="00707949">
              <w:rPr>
                <w:sz w:val="18"/>
                <w:szCs w:val="18"/>
                <w:lang w:eastAsia="pl-PL"/>
              </w:rPr>
              <w:t>podmioty rozwoju ściśle współpracują, co sku</w:t>
            </w:r>
            <w:r>
              <w:rPr>
                <w:sz w:val="18"/>
                <w:szCs w:val="18"/>
                <w:lang w:eastAsia="pl-PL"/>
              </w:rPr>
              <w:t>tkować powinno wartością dodaną</w:t>
            </w:r>
          </w:p>
        </w:tc>
        <w:tc>
          <w:tcPr>
            <w:tcW w:w="5529" w:type="dxa"/>
            <w:tcBorders>
              <w:top w:val="single" w:sz="2" w:space="0" w:color="F6BB00"/>
              <w:bottom w:val="single" w:sz="2" w:space="0" w:color="F6BB00"/>
            </w:tcBorders>
            <w:tcMar>
              <w:left w:w="28" w:type="dxa"/>
              <w:right w:w="28" w:type="dxa"/>
            </w:tcMar>
            <w:vAlign w:val="center"/>
          </w:tcPr>
          <w:p w14:paraId="1C4BF358" w14:textId="77777777" w:rsidR="00302E55" w:rsidRPr="00631503" w:rsidRDefault="00302E55" w:rsidP="00631503">
            <w:pPr>
              <w:spacing w:after="0" w:line="240" w:lineRule="auto"/>
              <w:jc w:val="left"/>
              <w:rPr>
                <w:sz w:val="18"/>
                <w:szCs w:val="18"/>
                <w:lang w:eastAsia="pl-PL"/>
              </w:rPr>
            </w:pPr>
            <w:r w:rsidRPr="00631503">
              <w:rPr>
                <w:sz w:val="18"/>
                <w:szCs w:val="18"/>
                <w:lang w:eastAsia="pl-PL"/>
              </w:rPr>
              <w:t>hasła współpraca i wartość dodana często pojawiają się w dokumentach strategicznych, jednak „podmioty rozwoju” są dość enigmatyczne. Jeśli jednak przyjmiemy, że są to również „ośrodki wzrostu” (poniżej), wówczas warto zastanowić się nad połączeniem tych cech z konkurencyjnością</w:t>
            </w:r>
          </w:p>
        </w:tc>
      </w:tr>
      <w:tr w:rsidR="00302E55" w:rsidRPr="00942877" w14:paraId="6300162B" w14:textId="77777777" w:rsidTr="00631503">
        <w:tc>
          <w:tcPr>
            <w:tcW w:w="3544" w:type="dxa"/>
            <w:tcBorders>
              <w:top w:val="single" w:sz="2" w:space="0" w:color="F6BB00"/>
              <w:bottom w:val="single" w:sz="2" w:space="0" w:color="F6BB00"/>
            </w:tcBorders>
            <w:tcMar>
              <w:left w:w="28" w:type="dxa"/>
              <w:right w:w="28" w:type="dxa"/>
            </w:tcMar>
            <w:vAlign w:val="center"/>
          </w:tcPr>
          <w:p w14:paraId="6542866D" w14:textId="77777777" w:rsidR="00302E55" w:rsidRPr="00707949" w:rsidRDefault="00302E55" w:rsidP="00631503">
            <w:pPr>
              <w:spacing w:after="0" w:line="240" w:lineRule="auto"/>
              <w:jc w:val="left"/>
              <w:rPr>
                <w:sz w:val="18"/>
                <w:szCs w:val="18"/>
                <w:lang w:eastAsia="pl-PL"/>
              </w:rPr>
            </w:pPr>
            <w:r w:rsidRPr="00707949">
              <w:rPr>
                <w:sz w:val="18"/>
                <w:szCs w:val="18"/>
                <w:lang w:eastAsia="pl-PL"/>
              </w:rPr>
              <w:t>istnieje klimat dla innowacji we wszystkich</w:t>
            </w:r>
            <w:r>
              <w:rPr>
                <w:sz w:val="18"/>
                <w:szCs w:val="18"/>
                <w:lang w:eastAsia="pl-PL"/>
              </w:rPr>
              <w:t xml:space="preserve"> sferach funkcjonowania regionu</w:t>
            </w:r>
          </w:p>
        </w:tc>
        <w:tc>
          <w:tcPr>
            <w:tcW w:w="5529" w:type="dxa"/>
            <w:tcBorders>
              <w:top w:val="single" w:sz="2" w:space="0" w:color="F6BB00"/>
              <w:bottom w:val="single" w:sz="2" w:space="0" w:color="F6BB00"/>
            </w:tcBorders>
            <w:tcMar>
              <w:left w:w="28" w:type="dxa"/>
              <w:right w:w="28" w:type="dxa"/>
            </w:tcMar>
            <w:vAlign w:val="center"/>
          </w:tcPr>
          <w:p w14:paraId="442BE514" w14:textId="77777777" w:rsidR="00302E55" w:rsidRPr="00631503" w:rsidRDefault="00302E55" w:rsidP="00631503">
            <w:pPr>
              <w:spacing w:after="0" w:line="240" w:lineRule="auto"/>
              <w:jc w:val="left"/>
              <w:rPr>
                <w:sz w:val="18"/>
                <w:szCs w:val="18"/>
                <w:lang w:eastAsia="pl-PL"/>
              </w:rPr>
            </w:pPr>
            <w:r w:rsidRPr="00631503">
              <w:rPr>
                <w:sz w:val="18"/>
                <w:szCs w:val="18"/>
                <w:lang w:eastAsia="pl-PL"/>
              </w:rPr>
              <w:t>to rozwinięcie nawiązuje bezpośrednio do jednej z trzech głównych cech regionu i wydaje się zbędne</w:t>
            </w:r>
          </w:p>
        </w:tc>
      </w:tr>
      <w:tr w:rsidR="00302E55" w:rsidRPr="00942877" w14:paraId="7851F6C5" w14:textId="77777777" w:rsidTr="00631503">
        <w:tc>
          <w:tcPr>
            <w:tcW w:w="3544" w:type="dxa"/>
            <w:tcBorders>
              <w:top w:val="single" w:sz="2" w:space="0" w:color="F6BB00"/>
              <w:bottom w:val="single" w:sz="2" w:space="0" w:color="F6BB00"/>
            </w:tcBorders>
            <w:tcMar>
              <w:left w:w="28" w:type="dxa"/>
              <w:right w:w="28" w:type="dxa"/>
            </w:tcMar>
            <w:vAlign w:val="center"/>
          </w:tcPr>
          <w:p w14:paraId="155F4AA9" w14:textId="77777777" w:rsidR="00302E55" w:rsidRPr="00707949" w:rsidRDefault="00302E55" w:rsidP="00631503">
            <w:pPr>
              <w:spacing w:after="0" w:line="240" w:lineRule="auto"/>
              <w:jc w:val="left"/>
              <w:rPr>
                <w:sz w:val="18"/>
                <w:szCs w:val="18"/>
                <w:lang w:eastAsia="pl-PL"/>
              </w:rPr>
            </w:pPr>
            <w:r w:rsidRPr="00707949">
              <w:rPr>
                <w:sz w:val="18"/>
                <w:szCs w:val="18"/>
                <w:lang w:eastAsia="pl-PL"/>
              </w:rPr>
              <w:t xml:space="preserve">konkurencyjność budowana jest na wzajemnie korzystnych powiązaniach funkcjonalnych między ośrodkami wzrostu a ich otoczeniem, co generuje korzystne </w:t>
            </w:r>
            <w:r>
              <w:rPr>
                <w:sz w:val="18"/>
                <w:szCs w:val="18"/>
                <w:lang w:eastAsia="pl-PL"/>
              </w:rPr>
              <w:t>procesy dyfuzyjne i absorpcyjne</w:t>
            </w:r>
          </w:p>
        </w:tc>
        <w:tc>
          <w:tcPr>
            <w:tcW w:w="5529" w:type="dxa"/>
            <w:tcBorders>
              <w:top w:val="single" w:sz="2" w:space="0" w:color="F6BB00"/>
              <w:bottom w:val="single" w:sz="2" w:space="0" w:color="F6BB00"/>
            </w:tcBorders>
            <w:tcMar>
              <w:left w:w="28" w:type="dxa"/>
              <w:right w:w="28" w:type="dxa"/>
            </w:tcMar>
            <w:vAlign w:val="center"/>
          </w:tcPr>
          <w:p w14:paraId="03C00379" w14:textId="30DA9FB7" w:rsidR="00302E55" w:rsidRPr="00631503" w:rsidRDefault="00302E55" w:rsidP="00631503">
            <w:pPr>
              <w:spacing w:after="0" w:line="240" w:lineRule="auto"/>
              <w:jc w:val="left"/>
              <w:rPr>
                <w:sz w:val="18"/>
                <w:szCs w:val="18"/>
                <w:lang w:eastAsia="pl-PL"/>
              </w:rPr>
            </w:pPr>
            <w:r w:rsidRPr="00631503">
              <w:rPr>
                <w:sz w:val="18"/>
                <w:szCs w:val="18"/>
                <w:lang w:eastAsia="pl-PL"/>
              </w:rPr>
              <w:t xml:space="preserve">propozycja twórczego połączenia z cechą </w:t>
            </w:r>
            <w:r w:rsidR="416AC848" w:rsidRPr="00631503">
              <w:rPr>
                <w:sz w:val="18"/>
                <w:szCs w:val="18"/>
                <w:lang w:eastAsia="pl-PL"/>
              </w:rPr>
              <w:t>omówioną</w:t>
            </w:r>
            <w:r w:rsidRPr="00631503">
              <w:rPr>
                <w:sz w:val="18"/>
                <w:szCs w:val="18"/>
                <w:lang w:eastAsia="pl-PL"/>
              </w:rPr>
              <w:t xml:space="preserve"> dwie pozycje wyżej</w:t>
            </w:r>
          </w:p>
        </w:tc>
      </w:tr>
      <w:tr w:rsidR="00302E55" w:rsidRPr="00942877" w14:paraId="0B1DCDD4" w14:textId="77777777" w:rsidTr="00631503">
        <w:tc>
          <w:tcPr>
            <w:tcW w:w="3544" w:type="dxa"/>
            <w:tcBorders>
              <w:top w:val="single" w:sz="2" w:space="0" w:color="F6BB00"/>
              <w:bottom w:val="single" w:sz="2" w:space="0" w:color="F6BB00"/>
            </w:tcBorders>
            <w:tcMar>
              <w:left w:w="28" w:type="dxa"/>
              <w:right w:w="28" w:type="dxa"/>
            </w:tcMar>
            <w:vAlign w:val="center"/>
          </w:tcPr>
          <w:p w14:paraId="7B74DE25" w14:textId="77777777" w:rsidR="00302E55" w:rsidRPr="00707949" w:rsidRDefault="00302E55" w:rsidP="00631503">
            <w:pPr>
              <w:spacing w:after="0" w:line="240" w:lineRule="auto"/>
              <w:jc w:val="left"/>
              <w:rPr>
                <w:sz w:val="18"/>
                <w:szCs w:val="18"/>
                <w:lang w:eastAsia="pl-PL"/>
              </w:rPr>
            </w:pPr>
            <w:r w:rsidRPr="00707949">
              <w:rPr>
                <w:sz w:val="18"/>
                <w:szCs w:val="18"/>
                <w:lang w:eastAsia="pl-PL"/>
              </w:rPr>
              <w:t xml:space="preserve">priorytetem i fundamentem rozwoju jest edukacja oraz budowa na jej podstawie kreatywnych kapitałów, </w:t>
            </w:r>
            <w:r>
              <w:rPr>
                <w:sz w:val="18"/>
                <w:szCs w:val="18"/>
                <w:lang w:eastAsia="pl-PL"/>
              </w:rPr>
              <w:t>intelektualnego i innowacyjnego</w:t>
            </w:r>
          </w:p>
        </w:tc>
        <w:tc>
          <w:tcPr>
            <w:tcW w:w="5529" w:type="dxa"/>
            <w:tcBorders>
              <w:top w:val="single" w:sz="2" w:space="0" w:color="F6BB00"/>
              <w:bottom w:val="single" w:sz="2" w:space="0" w:color="F6BB00"/>
            </w:tcBorders>
            <w:tcMar>
              <w:left w:w="28" w:type="dxa"/>
              <w:right w:w="28" w:type="dxa"/>
            </w:tcMar>
            <w:vAlign w:val="center"/>
          </w:tcPr>
          <w:p w14:paraId="4D7B37F0" w14:textId="70FAACD4" w:rsidR="00302E55" w:rsidRPr="00631503" w:rsidRDefault="00FE3834" w:rsidP="00631503">
            <w:pPr>
              <w:spacing w:after="0" w:line="240" w:lineRule="auto"/>
              <w:jc w:val="left"/>
              <w:rPr>
                <w:sz w:val="18"/>
                <w:szCs w:val="18"/>
                <w:lang w:eastAsia="pl-PL"/>
              </w:rPr>
            </w:pPr>
            <w:r w:rsidRPr="00631503">
              <w:rPr>
                <w:sz w:val="18"/>
                <w:szCs w:val="18"/>
                <w:lang w:eastAsia="pl-PL"/>
              </w:rPr>
              <w:t xml:space="preserve">w kontekście powyższych cech, można zadać pytanie, </w:t>
            </w:r>
            <w:r w:rsidR="00302E55" w:rsidRPr="00631503">
              <w:rPr>
                <w:sz w:val="18"/>
                <w:szCs w:val="18"/>
                <w:lang w:eastAsia="pl-PL"/>
              </w:rPr>
              <w:t>dlaczego priorytet wymieniony jest na piątym miejscu</w:t>
            </w:r>
            <w:r w:rsidRPr="00631503">
              <w:rPr>
                <w:sz w:val="18"/>
                <w:szCs w:val="18"/>
                <w:lang w:eastAsia="pl-PL"/>
              </w:rPr>
              <w:t xml:space="preserve">, choć oczywiście lista uszczegółowiająca wizję może mieć charakter „losowy”. </w:t>
            </w:r>
            <w:r w:rsidR="00302E55" w:rsidRPr="00631503">
              <w:rPr>
                <w:sz w:val="18"/>
                <w:szCs w:val="18"/>
                <w:lang w:eastAsia="pl-PL"/>
              </w:rPr>
              <w:t>Podwojenie znaczenia „priorytet” i „fundament” wydaje się zbędne. Wprowadzono jednocześnie pojęcie „kreatywnych kapitałów” nie odwołując się do innych rodzajów kapitałów (np. społecznego, środowiskowego, intelektualnego). Warto zatem przemyśleć albo odniesienie wizji do różnych typów kapitałów, albo usunięcie tego jednorazowego przypadku</w:t>
            </w:r>
          </w:p>
        </w:tc>
      </w:tr>
      <w:tr w:rsidR="00302E55" w:rsidRPr="00942877" w14:paraId="7C32E244" w14:textId="77777777" w:rsidTr="00631503">
        <w:tc>
          <w:tcPr>
            <w:tcW w:w="3544" w:type="dxa"/>
            <w:tcBorders>
              <w:top w:val="single" w:sz="2" w:space="0" w:color="F6BB00"/>
              <w:bottom w:val="single" w:sz="2" w:space="0" w:color="F6BB00"/>
            </w:tcBorders>
            <w:tcMar>
              <w:left w:w="28" w:type="dxa"/>
              <w:right w:w="28" w:type="dxa"/>
            </w:tcMar>
            <w:vAlign w:val="center"/>
          </w:tcPr>
          <w:p w14:paraId="116DF71D" w14:textId="77777777" w:rsidR="00302E55" w:rsidRPr="00707949" w:rsidRDefault="00302E55" w:rsidP="00631503">
            <w:pPr>
              <w:spacing w:after="0" w:line="240" w:lineRule="auto"/>
              <w:jc w:val="left"/>
              <w:rPr>
                <w:sz w:val="18"/>
                <w:szCs w:val="18"/>
                <w:lang w:eastAsia="pl-PL"/>
              </w:rPr>
            </w:pPr>
            <w:r w:rsidRPr="00707949">
              <w:rPr>
                <w:sz w:val="18"/>
                <w:szCs w:val="18"/>
                <w:lang w:eastAsia="pl-PL"/>
              </w:rPr>
              <w:t>jednym z głównych prioryte</w:t>
            </w:r>
            <w:r>
              <w:rPr>
                <w:sz w:val="18"/>
                <w:szCs w:val="18"/>
                <w:lang w:eastAsia="pl-PL"/>
              </w:rPr>
              <w:t>tów jest zielony aspekt rozwoju</w:t>
            </w:r>
          </w:p>
          <w:p w14:paraId="42ADD6BF" w14:textId="77777777" w:rsidR="00302E55" w:rsidRPr="00707949" w:rsidRDefault="00302E55" w:rsidP="00631503">
            <w:pPr>
              <w:spacing w:after="0" w:line="240" w:lineRule="auto"/>
              <w:jc w:val="left"/>
              <w:rPr>
                <w:sz w:val="18"/>
                <w:szCs w:val="18"/>
                <w:lang w:eastAsia="pl-PL"/>
              </w:rPr>
            </w:pPr>
          </w:p>
        </w:tc>
        <w:tc>
          <w:tcPr>
            <w:tcW w:w="5529" w:type="dxa"/>
            <w:tcBorders>
              <w:top w:val="single" w:sz="2" w:space="0" w:color="F6BB00"/>
              <w:bottom w:val="single" w:sz="2" w:space="0" w:color="F6BB00"/>
            </w:tcBorders>
            <w:tcMar>
              <w:left w:w="28" w:type="dxa"/>
              <w:right w:w="28" w:type="dxa"/>
            </w:tcMar>
            <w:vAlign w:val="center"/>
          </w:tcPr>
          <w:p w14:paraId="2214349B" w14:textId="21D5E402" w:rsidR="00302E55" w:rsidRPr="00631503" w:rsidRDefault="00302E55" w:rsidP="00631503">
            <w:pPr>
              <w:spacing w:after="0" w:line="240" w:lineRule="auto"/>
              <w:jc w:val="left"/>
              <w:rPr>
                <w:sz w:val="18"/>
                <w:szCs w:val="18"/>
                <w:lang w:eastAsia="pl-PL"/>
              </w:rPr>
            </w:pPr>
            <w:r w:rsidRPr="00631503">
              <w:rPr>
                <w:sz w:val="18"/>
                <w:szCs w:val="18"/>
                <w:lang w:eastAsia="pl-PL"/>
              </w:rPr>
              <w:t>nie wymienia się już innych priorytetów, natomiast sama „zieloność” odpowiada obecnym trendom</w:t>
            </w:r>
          </w:p>
        </w:tc>
      </w:tr>
      <w:tr w:rsidR="00302E55" w:rsidRPr="00942877" w14:paraId="215608E1" w14:textId="77777777" w:rsidTr="00631503">
        <w:tc>
          <w:tcPr>
            <w:tcW w:w="3544" w:type="dxa"/>
            <w:tcBorders>
              <w:top w:val="single" w:sz="2" w:space="0" w:color="F6BB00"/>
              <w:bottom w:val="single" w:sz="2" w:space="0" w:color="F6BB00"/>
            </w:tcBorders>
            <w:tcMar>
              <w:left w:w="28" w:type="dxa"/>
              <w:right w:w="28" w:type="dxa"/>
            </w:tcMar>
            <w:vAlign w:val="center"/>
          </w:tcPr>
          <w:p w14:paraId="471F413D" w14:textId="77777777" w:rsidR="00302E55" w:rsidRPr="00707949" w:rsidRDefault="00302E55" w:rsidP="00631503">
            <w:pPr>
              <w:spacing w:after="0" w:line="240" w:lineRule="auto"/>
              <w:jc w:val="left"/>
              <w:rPr>
                <w:sz w:val="18"/>
                <w:szCs w:val="18"/>
                <w:lang w:eastAsia="pl-PL"/>
              </w:rPr>
            </w:pPr>
            <w:r w:rsidRPr="00707949">
              <w:rPr>
                <w:sz w:val="18"/>
                <w:szCs w:val="18"/>
                <w:lang w:eastAsia="pl-PL"/>
              </w:rPr>
              <w:t>mieszkańcy wykazują wysoką aktywność za</w:t>
            </w:r>
            <w:r>
              <w:rPr>
                <w:sz w:val="18"/>
                <w:szCs w:val="18"/>
                <w:lang w:eastAsia="pl-PL"/>
              </w:rPr>
              <w:t>wodową, gospodarczą i społeczną</w:t>
            </w:r>
          </w:p>
        </w:tc>
        <w:tc>
          <w:tcPr>
            <w:tcW w:w="5529" w:type="dxa"/>
            <w:tcBorders>
              <w:top w:val="single" w:sz="2" w:space="0" w:color="F6BB00"/>
              <w:bottom w:val="single" w:sz="2" w:space="0" w:color="F6BB00"/>
            </w:tcBorders>
            <w:tcMar>
              <w:left w:w="28" w:type="dxa"/>
              <w:right w:w="28" w:type="dxa"/>
            </w:tcMar>
            <w:vAlign w:val="center"/>
          </w:tcPr>
          <w:p w14:paraId="1516A8CA" w14:textId="77777777" w:rsidR="00302E55" w:rsidRPr="00631503" w:rsidRDefault="00302E55" w:rsidP="00631503">
            <w:pPr>
              <w:spacing w:after="0" w:line="240" w:lineRule="auto"/>
              <w:jc w:val="left"/>
              <w:rPr>
                <w:sz w:val="18"/>
                <w:szCs w:val="18"/>
                <w:lang w:eastAsia="pl-PL"/>
              </w:rPr>
            </w:pPr>
            <w:r w:rsidRPr="00631503">
              <w:rPr>
                <w:sz w:val="18"/>
                <w:szCs w:val="18"/>
                <w:lang w:eastAsia="pl-PL"/>
              </w:rPr>
              <w:t>można dyskutować, czy nie wystarczyłoby stwierdzenie „aktywność społeczna”</w:t>
            </w:r>
          </w:p>
        </w:tc>
      </w:tr>
      <w:tr w:rsidR="00302E55" w:rsidRPr="00942877" w14:paraId="13C0A599" w14:textId="77777777" w:rsidTr="00631503">
        <w:tc>
          <w:tcPr>
            <w:tcW w:w="3544" w:type="dxa"/>
            <w:tcBorders>
              <w:top w:val="single" w:sz="2" w:space="0" w:color="F6BB00"/>
              <w:bottom w:val="single" w:sz="2" w:space="0" w:color="F6BB00"/>
            </w:tcBorders>
            <w:tcMar>
              <w:left w:w="28" w:type="dxa"/>
              <w:right w:w="28" w:type="dxa"/>
            </w:tcMar>
            <w:vAlign w:val="center"/>
          </w:tcPr>
          <w:p w14:paraId="7C9F5BC1" w14:textId="77777777" w:rsidR="00302E55" w:rsidRPr="00707949" w:rsidRDefault="00302E55" w:rsidP="00631503">
            <w:pPr>
              <w:spacing w:after="0" w:line="240" w:lineRule="auto"/>
              <w:jc w:val="left"/>
              <w:rPr>
                <w:sz w:val="18"/>
                <w:szCs w:val="18"/>
                <w:lang w:eastAsia="pl-PL"/>
              </w:rPr>
            </w:pPr>
            <w:r w:rsidRPr="00707949">
              <w:rPr>
                <w:sz w:val="18"/>
                <w:szCs w:val="18"/>
                <w:lang w:eastAsia="pl-PL"/>
              </w:rPr>
              <w:t>gospodarka i życie społeczne są otwarte na świat, co wzma</w:t>
            </w:r>
            <w:r>
              <w:rPr>
                <w:sz w:val="18"/>
                <w:szCs w:val="18"/>
                <w:lang w:eastAsia="pl-PL"/>
              </w:rPr>
              <w:t>cnia ich konkurencyjność</w:t>
            </w:r>
          </w:p>
        </w:tc>
        <w:tc>
          <w:tcPr>
            <w:tcW w:w="5529" w:type="dxa"/>
            <w:tcBorders>
              <w:top w:val="single" w:sz="2" w:space="0" w:color="F6BB00"/>
              <w:bottom w:val="single" w:sz="2" w:space="0" w:color="F6BB00"/>
            </w:tcBorders>
            <w:tcMar>
              <w:left w:w="28" w:type="dxa"/>
              <w:right w:w="28" w:type="dxa"/>
            </w:tcMar>
            <w:vAlign w:val="center"/>
          </w:tcPr>
          <w:p w14:paraId="088FE7EA" w14:textId="77777777" w:rsidR="00302E55" w:rsidRPr="00631503" w:rsidRDefault="00302E55" w:rsidP="00631503">
            <w:pPr>
              <w:spacing w:after="0" w:line="240" w:lineRule="auto"/>
              <w:jc w:val="left"/>
              <w:rPr>
                <w:sz w:val="18"/>
                <w:szCs w:val="18"/>
                <w:lang w:eastAsia="pl-PL"/>
              </w:rPr>
            </w:pPr>
            <w:r w:rsidRPr="00631503">
              <w:rPr>
                <w:sz w:val="18"/>
                <w:szCs w:val="18"/>
                <w:lang w:eastAsia="pl-PL"/>
              </w:rPr>
              <w:t>można wyobrazić sobie konkurencyjność życia społecznego, jednak warto zastanowić się nad ew. rozwinięciem lub przemodelowaniem użytych sformułowań</w:t>
            </w:r>
          </w:p>
        </w:tc>
      </w:tr>
      <w:tr w:rsidR="00302E55" w:rsidRPr="00942877" w14:paraId="01E42E43" w14:textId="77777777" w:rsidTr="00631503">
        <w:tc>
          <w:tcPr>
            <w:tcW w:w="3544" w:type="dxa"/>
            <w:tcBorders>
              <w:top w:val="single" w:sz="2" w:space="0" w:color="F6BB00"/>
              <w:bottom w:val="single" w:sz="2" w:space="0" w:color="F6BB00"/>
            </w:tcBorders>
            <w:tcMar>
              <w:left w:w="28" w:type="dxa"/>
              <w:right w:w="28" w:type="dxa"/>
            </w:tcMar>
            <w:vAlign w:val="center"/>
          </w:tcPr>
          <w:p w14:paraId="609D8ACA" w14:textId="77777777" w:rsidR="00302E55" w:rsidRPr="00707949" w:rsidRDefault="00302E55" w:rsidP="00631503">
            <w:pPr>
              <w:spacing w:after="0" w:line="240" w:lineRule="auto"/>
              <w:jc w:val="left"/>
              <w:rPr>
                <w:sz w:val="18"/>
                <w:szCs w:val="18"/>
                <w:lang w:eastAsia="pl-PL"/>
              </w:rPr>
            </w:pPr>
            <w:r w:rsidRPr="00707949">
              <w:rPr>
                <w:sz w:val="18"/>
                <w:szCs w:val="18"/>
                <w:lang w:eastAsia="pl-PL"/>
              </w:rPr>
              <w:t>wszystkie aspekty rozwoju uwzględniają zasadę włączenia społecznego</w:t>
            </w:r>
          </w:p>
        </w:tc>
        <w:tc>
          <w:tcPr>
            <w:tcW w:w="5529" w:type="dxa"/>
            <w:tcBorders>
              <w:top w:val="single" w:sz="2" w:space="0" w:color="F6BB00"/>
              <w:bottom w:val="single" w:sz="2" w:space="0" w:color="F6BB00"/>
            </w:tcBorders>
            <w:tcMar>
              <w:left w:w="28" w:type="dxa"/>
              <w:right w:w="28" w:type="dxa"/>
            </w:tcMar>
            <w:vAlign w:val="center"/>
          </w:tcPr>
          <w:p w14:paraId="16E247AB" w14:textId="2B4AEB0B" w:rsidR="00302E55" w:rsidRPr="00631503" w:rsidRDefault="00302E55" w:rsidP="00631503">
            <w:pPr>
              <w:spacing w:after="0" w:line="240" w:lineRule="auto"/>
              <w:jc w:val="left"/>
              <w:rPr>
                <w:sz w:val="18"/>
                <w:szCs w:val="18"/>
                <w:lang w:eastAsia="pl-PL"/>
              </w:rPr>
            </w:pPr>
            <w:r w:rsidRPr="00631503">
              <w:rPr>
                <w:sz w:val="18"/>
                <w:szCs w:val="18"/>
                <w:lang w:eastAsia="pl-PL"/>
              </w:rPr>
              <w:t>pytanie o jakie aspekty chodzi, czy o: inteligencję, innowacyjność i spójność, czy jakieś inne aspekty? Włączenie społeczne mieści się jak najbardziej w nurcie dyskusji o rozwoju społeczno-gospodarczym</w:t>
            </w:r>
          </w:p>
        </w:tc>
      </w:tr>
      <w:tr w:rsidR="00302E55" w:rsidRPr="00942877" w14:paraId="2CF1EDF9" w14:textId="77777777" w:rsidTr="00631503">
        <w:tc>
          <w:tcPr>
            <w:tcW w:w="3544" w:type="dxa"/>
            <w:tcBorders>
              <w:top w:val="single" w:sz="2" w:space="0" w:color="F6BB00"/>
              <w:bottom w:val="single" w:sz="2" w:space="0" w:color="F6BB00"/>
            </w:tcBorders>
            <w:tcMar>
              <w:left w:w="28" w:type="dxa"/>
              <w:right w:w="28" w:type="dxa"/>
            </w:tcMar>
            <w:vAlign w:val="center"/>
          </w:tcPr>
          <w:p w14:paraId="29CF6A3A" w14:textId="77777777" w:rsidR="00302E55" w:rsidRPr="00707949" w:rsidRDefault="00302E55" w:rsidP="00631503">
            <w:pPr>
              <w:spacing w:after="0" w:line="240" w:lineRule="auto"/>
              <w:jc w:val="left"/>
              <w:rPr>
                <w:sz w:val="18"/>
                <w:szCs w:val="18"/>
                <w:lang w:eastAsia="pl-PL"/>
              </w:rPr>
            </w:pPr>
            <w:r w:rsidRPr="00707949">
              <w:rPr>
                <w:sz w:val="18"/>
                <w:szCs w:val="18"/>
                <w:lang w:eastAsia="pl-PL"/>
              </w:rPr>
              <w:t>każdy mieszkaniec ma dostęp do podstawowych standardów usług społecznych</w:t>
            </w:r>
          </w:p>
        </w:tc>
        <w:tc>
          <w:tcPr>
            <w:tcW w:w="5529" w:type="dxa"/>
            <w:tcBorders>
              <w:top w:val="single" w:sz="2" w:space="0" w:color="F6BB00"/>
              <w:bottom w:val="single" w:sz="2" w:space="0" w:color="F6BB00"/>
            </w:tcBorders>
            <w:tcMar>
              <w:left w:w="28" w:type="dxa"/>
              <w:right w:w="28" w:type="dxa"/>
            </w:tcMar>
            <w:vAlign w:val="center"/>
          </w:tcPr>
          <w:p w14:paraId="152AFB28" w14:textId="77777777" w:rsidR="00302E55" w:rsidRPr="00631503" w:rsidRDefault="00302E55" w:rsidP="00631503">
            <w:pPr>
              <w:spacing w:after="0" w:line="240" w:lineRule="auto"/>
              <w:jc w:val="left"/>
              <w:rPr>
                <w:sz w:val="18"/>
                <w:szCs w:val="18"/>
                <w:lang w:eastAsia="pl-PL"/>
              </w:rPr>
            </w:pPr>
            <w:r w:rsidRPr="00631503">
              <w:rPr>
                <w:sz w:val="18"/>
                <w:szCs w:val="18"/>
                <w:lang w:eastAsia="pl-PL"/>
              </w:rPr>
              <w:t>często pojawiający się postulat w różnych strategiach, w tym rządowych</w:t>
            </w:r>
          </w:p>
        </w:tc>
      </w:tr>
      <w:tr w:rsidR="00302E55" w:rsidRPr="00942877" w14:paraId="75E863B7" w14:textId="77777777" w:rsidTr="00631503">
        <w:tc>
          <w:tcPr>
            <w:tcW w:w="3544" w:type="dxa"/>
            <w:tcBorders>
              <w:top w:val="single" w:sz="2" w:space="0" w:color="F6BB00"/>
              <w:bottom w:val="single" w:sz="2" w:space="0" w:color="F6BB00"/>
            </w:tcBorders>
            <w:tcMar>
              <w:left w:w="28" w:type="dxa"/>
              <w:right w:w="28" w:type="dxa"/>
            </w:tcMar>
            <w:vAlign w:val="center"/>
          </w:tcPr>
          <w:p w14:paraId="58432506" w14:textId="77777777" w:rsidR="00302E55" w:rsidRPr="00707949" w:rsidRDefault="00302E55" w:rsidP="00631503">
            <w:pPr>
              <w:spacing w:after="0" w:line="240" w:lineRule="auto"/>
              <w:jc w:val="left"/>
              <w:rPr>
                <w:sz w:val="18"/>
                <w:szCs w:val="18"/>
                <w:lang w:eastAsia="pl-PL"/>
              </w:rPr>
            </w:pPr>
            <w:r w:rsidRPr="00707949">
              <w:rPr>
                <w:sz w:val="18"/>
                <w:szCs w:val="18"/>
                <w:lang w:eastAsia="pl-PL"/>
              </w:rPr>
              <w:t>przestrzeń województwa pozbawiona jest barier dla mobilności mieszkańców</w:t>
            </w:r>
          </w:p>
        </w:tc>
        <w:tc>
          <w:tcPr>
            <w:tcW w:w="5529" w:type="dxa"/>
            <w:tcBorders>
              <w:top w:val="single" w:sz="2" w:space="0" w:color="F6BB00"/>
              <w:bottom w:val="single" w:sz="2" w:space="0" w:color="F6BB00"/>
            </w:tcBorders>
            <w:tcMar>
              <w:left w:w="28" w:type="dxa"/>
              <w:right w:w="28" w:type="dxa"/>
            </w:tcMar>
            <w:vAlign w:val="center"/>
          </w:tcPr>
          <w:p w14:paraId="22F04088" w14:textId="77777777" w:rsidR="00302E55" w:rsidRPr="00631503" w:rsidRDefault="00302E55" w:rsidP="00631503">
            <w:pPr>
              <w:spacing w:after="0" w:line="240" w:lineRule="auto"/>
              <w:jc w:val="left"/>
              <w:rPr>
                <w:sz w:val="18"/>
                <w:szCs w:val="18"/>
                <w:lang w:eastAsia="pl-PL"/>
              </w:rPr>
            </w:pPr>
            <w:r w:rsidRPr="00631503">
              <w:rPr>
                <w:sz w:val="18"/>
                <w:szCs w:val="18"/>
                <w:lang w:eastAsia="pl-PL"/>
              </w:rPr>
              <w:t>hasło - postulat, który jest jednoznaczny i zrozumiały</w:t>
            </w:r>
          </w:p>
        </w:tc>
      </w:tr>
      <w:tr w:rsidR="00302E55" w:rsidRPr="00942877" w14:paraId="41537C3D" w14:textId="77777777" w:rsidTr="00631503">
        <w:tc>
          <w:tcPr>
            <w:tcW w:w="3544" w:type="dxa"/>
            <w:tcBorders>
              <w:top w:val="single" w:sz="2" w:space="0" w:color="F6BB00"/>
              <w:bottom w:val="single" w:sz="2" w:space="0" w:color="F6BB00"/>
            </w:tcBorders>
            <w:tcMar>
              <w:left w:w="28" w:type="dxa"/>
              <w:right w:w="28" w:type="dxa"/>
            </w:tcMar>
            <w:vAlign w:val="center"/>
          </w:tcPr>
          <w:p w14:paraId="6F465A2A" w14:textId="77777777" w:rsidR="00302E55" w:rsidRPr="00707949" w:rsidRDefault="00302E55" w:rsidP="00631503">
            <w:pPr>
              <w:spacing w:after="0" w:line="240" w:lineRule="auto"/>
              <w:jc w:val="left"/>
              <w:rPr>
                <w:sz w:val="18"/>
                <w:szCs w:val="18"/>
                <w:lang w:eastAsia="pl-PL"/>
              </w:rPr>
            </w:pPr>
            <w:r w:rsidRPr="00707949">
              <w:rPr>
                <w:sz w:val="18"/>
                <w:szCs w:val="18"/>
                <w:lang w:eastAsia="pl-PL"/>
              </w:rPr>
              <w:t>sytuacja demograficzna sprzyja zastępowalności pokoleniowej</w:t>
            </w:r>
          </w:p>
        </w:tc>
        <w:tc>
          <w:tcPr>
            <w:tcW w:w="5529" w:type="dxa"/>
            <w:tcBorders>
              <w:top w:val="single" w:sz="2" w:space="0" w:color="F6BB00"/>
              <w:bottom w:val="single" w:sz="2" w:space="0" w:color="F6BB00"/>
            </w:tcBorders>
            <w:tcMar>
              <w:left w:w="28" w:type="dxa"/>
              <w:right w:w="28" w:type="dxa"/>
            </w:tcMar>
            <w:vAlign w:val="center"/>
          </w:tcPr>
          <w:p w14:paraId="78FDF2AB" w14:textId="77777777" w:rsidR="00302E55" w:rsidRPr="00631503" w:rsidRDefault="00302E55" w:rsidP="00631503">
            <w:pPr>
              <w:spacing w:after="0" w:line="240" w:lineRule="auto"/>
              <w:jc w:val="left"/>
              <w:rPr>
                <w:sz w:val="18"/>
                <w:szCs w:val="18"/>
                <w:lang w:eastAsia="pl-PL"/>
              </w:rPr>
            </w:pPr>
            <w:r w:rsidRPr="00631503">
              <w:rPr>
                <w:sz w:val="18"/>
                <w:szCs w:val="18"/>
                <w:lang w:eastAsia="pl-PL"/>
              </w:rPr>
              <w:t xml:space="preserve">ze zrozumieniem tego zapisu mogą mieć problemy osoby niezajmujące się procesami rozwojowymi </w:t>
            </w:r>
          </w:p>
        </w:tc>
      </w:tr>
      <w:tr w:rsidR="00302E55" w:rsidRPr="00942877" w14:paraId="49844AFE" w14:textId="77777777" w:rsidTr="00631503">
        <w:tc>
          <w:tcPr>
            <w:tcW w:w="3544" w:type="dxa"/>
            <w:tcBorders>
              <w:top w:val="single" w:sz="2" w:space="0" w:color="F6BB00"/>
              <w:bottom w:val="single" w:sz="2" w:space="0" w:color="F6BB00"/>
            </w:tcBorders>
            <w:tcMar>
              <w:left w:w="28" w:type="dxa"/>
              <w:right w:w="28" w:type="dxa"/>
            </w:tcMar>
            <w:vAlign w:val="center"/>
          </w:tcPr>
          <w:p w14:paraId="3AD1FC37" w14:textId="77777777" w:rsidR="00302E55" w:rsidRPr="00707949" w:rsidRDefault="00302E55" w:rsidP="00631503">
            <w:pPr>
              <w:spacing w:after="0" w:line="240" w:lineRule="auto"/>
              <w:jc w:val="left"/>
              <w:rPr>
                <w:sz w:val="18"/>
                <w:szCs w:val="18"/>
                <w:lang w:eastAsia="pl-PL"/>
              </w:rPr>
            </w:pPr>
            <w:r w:rsidRPr="00707949">
              <w:rPr>
                <w:sz w:val="18"/>
                <w:szCs w:val="18"/>
                <w:lang w:eastAsia="pl-PL"/>
              </w:rPr>
              <w:t>polityka kieruje się większą otwartością na nowe i nowych</w:t>
            </w:r>
          </w:p>
        </w:tc>
        <w:tc>
          <w:tcPr>
            <w:tcW w:w="5529" w:type="dxa"/>
            <w:tcBorders>
              <w:top w:val="single" w:sz="2" w:space="0" w:color="F6BB00"/>
              <w:bottom w:val="single" w:sz="2" w:space="0" w:color="F6BB00"/>
            </w:tcBorders>
            <w:tcMar>
              <w:left w:w="28" w:type="dxa"/>
              <w:right w:w="28" w:type="dxa"/>
            </w:tcMar>
            <w:vAlign w:val="center"/>
          </w:tcPr>
          <w:p w14:paraId="24C58B78" w14:textId="0238F425" w:rsidR="00302E55" w:rsidRPr="00631503" w:rsidRDefault="00302E55" w:rsidP="00631503">
            <w:pPr>
              <w:spacing w:after="0" w:line="240" w:lineRule="auto"/>
              <w:jc w:val="left"/>
              <w:rPr>
                <w:sz w:val="18"/>
                <w:szCs w:val="18"/>
                <w:lang w:eastAsia="pl-PL"/>
              </w:rPr>
            </w:pPr>
            <w:r w:rsidRPr="00631503">
              <w:rPr>
                <w:sz w:val="18"/>
                <w:szCs w:val="18"/>
                <w:lang w:eastAsia="pl-PL"/>
              </w:rPr>
              <w:t xml:space="preserve">tu wyróżniamy „politykę”, gdy podobny sens był zawarty we fragmencie dotyczącym „gospodarki i życia społecznego”. </w:t>
            </w:r>
            <w:r w:rsidR="416AC848" w:rsidRPr="00631503">
              <w:rPr>
                <w:sz w:val="18"/>
                <w:szCs w:val="18"/>
                <w:lang w:eastAsia="pl-PL"/>
              </w:rPr>
              <w:t>Warto</w:t>
            </w:r>
            <w:r w:rsidRPr="00631503">
              <w:rPr>
                <w:sz w:val="18"/>
                <w:szCs w:val="18"/>
                <w:lang w:eastAsia="pl-PL"/>
              </w:rPr>
              <w:t xml:space="preserve"> przemyśleć połączenie tych punktów</w:t>
            </w:r>
            <w:r w:rsidR="416AC848" w:rsidRPr="00631503">
              <w:rPr>
                <w:sz w:val="18"/>
                <w:szCs w:val="18"/>
                <w:lang w:eastAsia="pl-PL"/>
              </w:rPr>
              <w:t xml:space="preserve"> lub</w:t>
            </w:r>
            <w:r w:rsidRPr="00631503">
              <w:rPr>
                <w:sz w:val="18"/>
                <w:szCs w:val="18"/>
                <w:lang w:eastAsia="pl-PL"/>
              </w:rPr>
              <w:t xml:space="preserve"> rezygnację z </w:t>
            </w:r>
            <w:r w:rsidR="416AC848" w:rsidRPr="00631503">
              <w:rPr>
                <w:sz w:val="18"/>
                <w:szCs w:val="18"/>
                <w:lang w:eastAsia="pl-PL"/>
              </w:rPr>
              <w:t>omawiania go</w:t>
            </w:r>
            <w:r w:rsidR="0059063F" w:rsidRPr="00631503">
              <w:rPr>
                <w:sz w:val="18"/>
                <w:szCs w:val="18"/>
                <w:lang w:eastAsia="pl-PL"/>
              </w:rPr>
              <w:t xml:space="preserve"> </w:t>
            </w:r>
            <w:r w:rsidRPr="00631503">
              <w:rPr>
                <w:sz w:val="18"/>
                <w:szCs w:val="18"/>
                <w:lang w:eastAsia="pl-PL"/>
              </w:rPr>
              <w:t>w tym miejscu</w:t>
            </w:r>
          </w:p>
        </w:tc>
      </w:tr>
      <w:tr w:rsidR="00302E55" w:rsidRPr="00942877" w14:paraId="53A7204B" w14:textId="77777777" w:rsidTr="00631503">
        <w:tc>
          <w:tcPr>
            <w:tcW w:w="3544" w:type="dxa"/>
            <w:tcBorders>
              <w:top w:val="single" w:sz="2" w:space="0" w:color="F6BB00"/>
              <w:bottom w:val="single" w:sz="2" w:space="0" w:color="F6BB00"/>
            </w:tcBorders>
            <w:tcMar>
              <w:left w:w="28" w:type="dxa"/>
              <w:right w:w="28" w:type="dxa"/>
            </w:tcMar>
            <w:vAlign w:val="center"/>
          </w:tcPr>
          <w:p w14:paraId="733DC84A" w14:textId="77777777" w:rsidR="00302E55" w:rsidRPr="00707949" w:rsidRDefault="00302E55" w:rsidP="00631503">
            <w:pPr>
              <w:spacing w:after="0" w:line="240" w:lineRule="auto"/>
              <w:jc w:val="left"/>
              <w:rPr>
                <w:sz w:val="18"/>
                <w:szCs w:val="18"/>
                <w:lang w:eastAsia="pl-PL"/>
              </w:rPr>
            </w:pPr>
            <w:r w:rsidRPr="00707949">
              <w:rPr>
                <w:sz w:val="18"/>
                <w:szCs w:val="18"/>
                <w:lang w:eastAsia="pl-PL"/>
              </w:rPr>
              <w:t>istotny wpływ na rozwój regionu wywiera sprawowane w stylu koncyliacyjnym zdecydowane przywództwo regionalne</w:t>
            </w:r>
          </w:p>
        </w:tc>
        <w:tc>
          <w:tcPr>
            <w:tcW w:w="5529" w:type="dxa"/>
            <w:tcBorders>
              <w:top w:val="single" w:sz="2" w:space="0" w:color="F6BB00"/>
              <w:bottom w:val="single" w:sz="2" w:space="0" w:color="F6BB00"/>
            </w:tcBorders>
            <w:tcMar>
              <w:left w:w="28" w:type="dxa"/>
              <w:right w:w="28" w:type="dxa"/>
            </w:tcMar>
            <w:vAlign w:val="center"/>
          </w:tcPr>
          <w:p w14:paraId="2439ACCE" w14:textId="20C229CA" w:rsidR="00302E55" w:rsidRPr="00631503" w:rsidRDefault="00302E55" w:rsidP="00631503">
            <w:pPr>
              <w:spacing w:after="0" w:line="240" w:lineRule="auto"/>
              <w:jc w:val="left"/>
              <w:rPr>
                <w:sz w:val="18"/>
                <w:szCs w:val="18"/>
                <w:lang w:eastAsia="pl-PL"/>
              </w:rPr>
            </w:pPr>
            <w:r w:rsidRPr="00631503">
              <w:rPr>
                <w:sz w:val="18"/>
                <w:szCs w:val="18"/>
                <w:lang w:eastAsia="pl-PL"/>
              </w:rPr>
              <w:t xml:space="preserve">wątpliwości nasuwa zestawienie stylu koncyliacyjnego ze słowem „zdecydowane”, które bardziej pasuje do stylu „bossowskiego” zarządzania. Pojęcie przywództwo regionalne nie określa o kogo chodzi, sprawia wrażenie, że zabrakło </w:t>
            </w:r>
            <w:r w:rsidR="416AC848" w:rsidRPr="00631503">
              <w:rPr>
                <w:sz w:val="18"/>
                <w:szCs w:val="18"/>
                <w:lang w:eastAsia="pl-PL"/>
              </w:rPr>
              <w:t>w tej kwestii decyzji</w:t>
            </w:r>
          </w:p>
        </w:tc>
      </w:tr>
    </w:tbl>
    <w:p w14:paraId="4D8EC5B2" w14:textId="77777777" w:rsidR="00792669" w:rsidRDefault="008B2034" w:rsidP="00792669">
      <w:pPr>
        <w:pStyle w:val="rdo"/>
      </w:pPr>
      <w:r w:rsidRPr="00F87228">
        <w:t>Źródło: opracowanie własne.</w:t>
      </w:r>
    </w:p>
    <w:p w14:paraId="79431F71" w14:textId="77777777" w:rsidR="00792669" w:rsidRPr="00792669" w:rsidRDefault="00792669" w:rsidP="00BF08D5">
      <w:pPr>
        <w:ind w:left="4536"/>
        <w:jc w:val="left"/>
        <w:rPr>
          <w:b/>
          <w:i/>
          <w:color w:val="001E50"/>
        </w:rPr>
      </w:pPr>
      <w:r w:rsidRPr="00792669">
        <w:rPr>
          <w:b/>
          <w:i/>
          <w:color w:val="001E50"/>
        </w:rPr>
        <w:t>W poszukiwaniu wyjątkowości</w:t>
      </w:r>
    </w:p>
    <w:p w14:paraId="1F1A33D4" w14:textId="6CAD0B66" w:rsidR="00792669" w:rsidRDefault="00792669" w:rsidP="00792669">
      <w:pPr>
        <w:rPr>
          <w:lang w:eastAsia="pl-PL"/>
        </w:rPr>
      </w:pPr>
      <w:r>
        <w:rPr>
          <w:lang w:eastAsia="pl-PL"/>
        </w:rPr>
        <w:t xml:space="preserve">Często podejmowanym zagadnieniem w kontekście wizji (ale także celów generalnych czy głównych) jest kwestia ich podobieństwa w różnych dokumentach administracji publicznej. Odwołując się do powyżej przytoczonej wizji w SRWW 2020, można z dużym prawdopodobieństwem założyć, że pod tak </w:t>
      </w:r>
      <w:r>
        <w:rPr>
          <w:lang w:eastAsia="pl-PL"/>
        </w:rPr>
        <w:lastRenderedPageBreak/>
        <w:t xml:space="preserve">sformułowanymi zapisami podpisałby się niejeden marszałek, prezydent czy burmistrz miasta. Problem poszukiwania oryginalności nie powinien być jednak sprowadzany do układania określonej sekwencji słów, a raczej do próby mówienia o „naszym regionie”. Dopuszczalne jest zatem, duże podobieństwo treści sformułowanych w strategiach różnych województw, ponieważ każda władza publiczna dba w istocie o jakość życia mieszkańców obszarów, za które odpowiada i stara się budować (przy tym samym lub podobnym instrumentarium) przewagi konkurencyjne swoich terytoriów. Dużo ważniejszy jest w tym przypadku proces wyłaniania wizji i określania celu głównego. Nie ma nic złego w tym, że np. dwóch marszałków będzie miało podobnie brzmiącą wizję rozwoju swojego województwa, jednak wizja ta powinna być </w:t>
      </w:r>
      <w:r w:rsidRPr="00792669">
        <w:rPr>
          <w:b/>
          <w:lang w:eastAsia="pl-PL"/>
        </w:rPr>
        <w:t>ich wizją, którą z determinacją będą chcieli realizować</w:t>
      </w:r>
      <w:r>
        <w:rPr>
          <w:lang w:eastAsia="pl-PL"/>
        </w:rPr>
        <w:t>.</w:t>
      </w:r>
    </w:p>
    <w:p w14:paraId="4B431692" w14:textId="63B6395E" w:rsidR="00792669" w:rsidRPr="00792669" w:rsidRDefault="416AC848" w:rsidP="00792669">
      <w:pPr>
        <w:rPr>
          <w:lang w:eastAsia="pl-PL"/>
        </w:rPr>
      </w:pPr>
      <w:r w:rsidRPr="416AC848">
        <w:rPr>
          <w:lang w:eastAsia="pl-PL"/>
        </w:rPr>
        <w:t>Nie</w:t>
      </w:r>
      <w:r w:rsidR="00792669">
        <w:rPr>
          <w:lang w:eastAsia="pl-PL"/>
        </w:rPr>
        <w:t xml:space="preserve"> oznacza</w:t>
      </w:r>
      <w:r w:rsidRPr="416AC848">
        <w:rPr>
          <w:lang w:eastAsia="pl-PL"/>
        </w:rPr>
        <w:t xml:space="preserve"> to</w:t>
      </w:r>
      <w:r w:rsidR="00792669">
        <w:rPr>
          <w:lang w:eastAsia="pl-PL"/>
        </w:rPr>
        <w:t>, że nie warto szukać wyjątkowości czy specyfiki regionów w zapisach wizji, czy celu głównego. Poza prostym wskazaniem nazwy województwa, można przytoczyć szczególne cechy, które jednoznacznie wskazują na konkretny i specyficzny obszar Polski (jako dobry przykład takiego zabiegu można podać wizję stworzoną w trakcie prac samorządowych nad założeniami Strategii Rozwoju Polski Zachodniej, która brzmiała: „</w:t>
      </w:r>
      <w:r w:rsidR="00792669" w:rsidRPr="00E26658">
        <w:rPr>
          <w:lang w:eastAsia="pl-PL"/>
        </w:rPr>
        <w:t>Polska Zachodnia – region dorzecza Odry… otwarty, atrakcyjny, mobilizujący, kreatywny, współpracujący</w:t>
      </w:r>
      <w:r w:rsidR="00792669">
        <w:rPr>
          <w:lang w:eastAsia="pl-PL"/>
        </w:rPr>
        <w:t>” i została utrzymana w końcowym dokumencie rządowym, czyli w Strategii Rozwoju Polski Zachodniej z 2014 roku).</w:t>
      </w:r>
    </w:p>
    <w:p w14:paraId="67C5AE9C" w14:textId="25C85B45" w:rsidR="008B2034" w:rsidRPr="002477F4" w:rsidRDefault="0059063F" w:rsidP="00BF08D5">
      <w:pPr>
        <w:ind w:left="4536"/>
        <w:jc w:val="left"/>
        <w:rPr>
          <w:b/>
          <w:i/>
          <w:color w:val="001E50"/>
        </w:rPr>
      </w:pPr>
      <w:r w:rsidRPr="002477F4">
        <w:rPr>
          <w:b/>
          <w:i/>
          <w:color w:val="001E50"/>
        </w:rPr>
        <w:t>Wizj</w:t>
      </w:r>
      <w:r>
        <w:rPr>
          <w:b/>
          <w:i/>
          <w:color w:val="001E50"/>
        </w:rPr>
        <w:t>a</w:t>
      </w:r>
      <w:r w:rsidRPr="002477F4">
        <w:rPr>
          <w:b/>
          <w:i/>
          <w:color w:val="001E50"/>
        </w:rPr>
        <w:t xml:space="preserve"> </w:t>
      </w:r>
      <w:r w:rsidR="008B2034" w:rsidRPr="002477F4">
        <w:rPr>
          <w:b/>
          <w:i/>
          <w:color w:val="001E50"/>
        </w:rPr>
        <w:t>i misja – synteza i synergia</w:t>
      </w:r>
    </w:p>
    <w:p w14:paraId="25C89321" w14:textId="5F463340" w:rsidR="008B2034" w:rsidRDefault="008B2034" w:rsidP="008B2034">
      <w:pPr>
        <w:rPr>
          <w:lang w:eastAsia="pl-PL"/>
        </w:rPr>
      </w:pPr>
      <w:r>
        <w:rPr>
          <w:lang w:eastAsia="pl-PL"/>
        </w:rPr>
        <w:t>Znając cechy misji i wizji określone w SRWW 2020 można pokusić się o zaprezentowanie skróconej wersji wizji, operującej syntetycznymi sformułowaniami oraz dwóch wariantów misji (</w:t>
      </w:r>
      <w:r>
        <w:rPr>
          <w:lang w:eastAsia="pl-PL"/>
        </w:rPr>
        <w:fldChar w:fldCharType="begin"/>
      </w:r>
      <w:r>
        <w:rPr>
          <w:lang w:eastAsia="pl-PL"/>
        </w:rPr>
        <w:instrText xml:space="preserve"> REF _Ref1417771 \h </w:instrText>
      </w:r>
      <w:r>
        <w:rPr>
          <w:lang w:eastAsia="pl-PL"/>
        </w:rPr>
      </w:r>
      <w:r>
        <w:rPr>
          <w:lang w:eastAsia="pl-PL"/>
        </w:rPr>
        <w:fldChar w:fldCharType="separate"/>
      </w:r>
      <w:r w:rsidR="007F4FA2">
        <w:t xml:space="preserve">Tabela </w:t>
      </w:r>
      <w:r w:rsidR="007F4FA2">
        <w:rPr>
          <w:noProof/>
        </w:rPr>
        <w:t>3</w:t>
      </w:r>
      <w:r>
        <w:rPr>
          <w:lang w:eastAsia="pl-PL"/>
        </w:rPr>
        <w:fldChar w:fldCharType="end"/>
      </w:r>
      <w:r>
        <w:rPr>
          <w:lang w:eastAsia="pl-PL"/>
        </w:rPr>
        <w:t>), w pierwszym przypadku, gdy podmiotem misji jest województwo, w drugim zaś, gdy podmiotem jest strategia.</w:t>
      </w:r>
    </w:p>
    <w:p w14:paraId="1AC12784" w14:textId="7033AEC9" w:rsidR="008B2034" w:rsidRDefault="008B2034" w:rsidP="008B2034">
      <w:pPr>
        <w:pStyle w:val="Legenda"/>
        <w:keepNext/>
      </w:pPr>
      <w:bookmarkStart w:id="42" w:name="_Ref1417771"/>
      <w:bookmarkStart w:id="43" w:name="_Toc5699536"/>
      <w:r>
        <w:t xml:space="preserve">Tabela </w:t>
      </w:r>
      <w:r w:rsidRPr="69901DB0">
        <w:fldChar w:fldCharType="begin"/>
      </w:r>
      <w:r>
        <w:rPr>
          <w:noProof/>
        </w:rPr>
        <w:instrText xml:space="preserve"> SEQ Tabela \* ARABIC </w:instrText>
      </w:r>
      <w:r w:rsidRPr="69901DB0">
        <w:rPr>
          <w:noProof/>
        </w:rPr>
        <w:fldChar w:fldCharType="separate"/>
      </w:r>
      <w:r w:rsidR="007F4FA2">
        <w:rPr>
          <w:noProof/>
        </w:rPr>
        <w:t>3</w:t>
      </w:r>
      <w:r w:rsidRPr="69901DB0">
        <w:fldChar w:fldCharType="end"/>
      </w:r>
      <w:bookmarkEnd w:id="42"/>
      <w:r>
        <w:t>. Wizja i dwie wersje misji – propozycja do dyskusji</w:t>
      </w:r>
      <w:bookmarkEnd w:id="43"/>
    </w:p>
    <w:tbl>
      <w:tblPr>
        <w:tblStyle w:val="Tabela-Siatk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ela 2. Wizja i dwie wersje misji – propozycja do dyskusji"/>
        <w:tblDescription w:val="Tabela przedstawia 3 elementy: propozycję wizji Wielkopolski w roku 2030, obecną misję województwa w wersji skróconej oraz nową propozycję Misji Strategii. "/>
      </w:tblPr>
      <w:tblGrid>
        <w:gridCol w:w="2977"/>
        <w:gridCol w:w="2835"/>
        <w:gridCol w:w="3119"/>
      </w:tblGrid>
      <w:tr w:rsidR="008B2034" w14:paraId="52CD8417" w14:textId="77777777" w:rsidTr="00631503">
        <w:tc>
          <w:tcPr>
            <w:tcW w:w="2977" w:type="dxa"/>
            <w:tcBorders>
              <w:bottom w:val="single" w:sz="2" w:space="0" w:color="F6BB00"/>
            </w:tcBorders>
            <w:shd w:val="clear" w:color="auto" w:fill="F6BB00"/>
            <w:vAlign w:val="center"/>
          </w:tcPr>
          <w:p w14:paraId="7F15B436" w14:textId="77777777" w:rsidR="008B2034" w:rsidRDefault="00737DB9" w:rsidP="002477F4">
            <w:pPr>
              <w:spacing w:after="0" w:line="240" w:lineRule="auto"/>
              <w:jc w:val="center"/>
              <w:rPr>
                <w:b/>
                <w:sz w:val="18"/>
                <w:szCs w:val="18"/>
                <w:lang w:eastAsia="pl-PL"/>
              </w:rPr>
            </w:pPr>
            <w:r>
              <w:rPr>
                <w:b/>
                <w:sz w:val="18"/>
                <w:szCs w:val="18"/>
                <w:lang w:eastAsia="pl-PL"/>
              </w:rPr>
              <w:t xml:space="preserve">Wizja </w:t>
            </w:r>
            <w:r w:rsidR="008B2034">
              <w:rPr>
                <w:b/>
                <w:sz w:val="18"/>
                <w:szCs w:val="18"/>
                <w:lang w:eastAsia="pl-PL"/>
              </w:rPr>
              <w:t>Wielkopolski w 2030</w:t>
            </w:r>
          </w:p>
          <w:p w14:paraId="7EAF83D5" w14:textId="77777777" w:rsidR="00737DB9" w:rsidRDefault="00737DB9" w:rsidP="002477F4">
            <w:pPr>
              <w:spacing w:after="0" w:line="240" w:lineRule="auto"/>
              <w:jc w:val="center"/>
              <w:rPr>
                <w:b/>
                <w:sz w:val="18"/>
                <w:szCs w:val="18"/>
                <w:lang w:eastAsia="pl-PL"/>
              </w:rPr>
            </w:pPr>
            <w:r>
              <w:rPr>
                <w:b/>
                <w:sz w:val="18"/>
                <w:szCs w:val="18"/>
                <w:lang w:eastAsia="pl-PL"/>
              </w:rPr>
              <w:t>(propozycja)</w:t>
            </w:r>
          </w:p>
          <w:p w14:paraId="2E618B46" w14:textId="77777777" w:rsidR="00737DB9" w:rsidRDefault="00737DB9" w:rsidP="002477F4">
            <w:pPr>
              <w:spacing w:after="0" w:line="240" w:lineRule="auto"/>
              <w:jc w:val="center"/>
              <w:rPr>
                <w:b/>
                <w:sz w:val="18"/>
                <w:szCs w:val="18"/>
                <w:lang w:eastAsia="pl-PL"/>
              </w:rPr>
            </w:pPr>
          </w:p>
        </w:tc>
        <w:tc>
          <w:tcPr>
            <w:tcW w:w="2835" w:type="dxa"/>
            <w:tcBorders>
              <w:bottom w:val="single" w:sz="2" w:space="0" w:color="F6BB00"/>
            </w:tcBorders>
            <w:shd w:val="clear" w:color="auto" w:fill="F6BB00"/>
            <w:vAlign w:val="center"/>
          </w:tcPr>
          <w:p w14:paraId="6F28D0DF" w14:textId="77777777" w:rsidR="008B2034" w:rsidRDefault="008B2034" w:rsidP="002477F4">
            <w:pPr>
              <w:spacing w:after="0" w:line="240" w:lineRule="auto"/>
              <w:jc w:val="center"/>
              <w:rPr>
                <w:b/>
                <w:sz w:val="18"/>
                <w:szCs w:val="18"/>
                <w:lang w:eastAsia="pl-PL"/>
              </w:rPr>
            </w:pPr>
            <w:r>
              <w:rPr>
                <w:b/>
                <w:sz w:val="18"/>
                <w:szCs w:val="18"/>
                <w:lang w:eastAsia="pl-PL"/>
              </w:rPr>
              <w:t>Misja województwa</w:t>
            </w:r>
          </w:p>
          <w:p w14:paraId="0BE1F00E" w14:textId="77777777" w:rsidR="00737DB9" w:rsidRDefault="00737DB9" w:rsidP="002477F4">
            <w:pPr>
              <w:spacing w:after="0" w:line="240" w:lineRule="auto"/>
              <w:jc w:val="center"/>
              <w:rPr>
                <w:b/>
                <w:sz w:val="18"/>
                <w:szCs w:val="18"/>
                <w:lang w:eastAsia="pl-PL"/>
              </w:rPr>
            </w:pPr>
            <w:r>
              <w:rPr>
                <w:b/>
                <w:sz w:val="18"/>
                <w:szCs w:val="18"/>
                <w:lang w:eastAsia="pl-PL"/>
              </w:rPr>
              <w:t>(obecna, skrócona)</w:t>
            </w:r>
          </w:p>
        </w:tc>
        <w:tc>
          <w:tcPr>
            <w:tcW w:w="3119" w:type="dxa"/>
            <w:tcBorders>
              <w:bottom w:val="single" w:sz="2" w:space="0" w:color="F6BB00"/>
            </w:tcBorders>
            <w:shd w:val="clear" w:color="auto" w:fill="F6BB00"/>
            <w:vAlign w:val="center"/>
          </w:tcPr>
          <w:p w14:paraId="75C2F212" w14:textId="77777777" w:rsidR="008B2034" w:rsidRDefault="008B2034" w:rsidP="002477F4">
            <w:pPr>
              <w:spacing w:after="0" w:line="240" w:lineRule="auto"/>
              <w:jc w:val="center"/>
              <w:rPr>
                <w:b/>
                <w:sz w:val="18"/>
                <w:szCs w:val="18"/>
                <w:lang w:eastAsia="pl-PL"/>
              </w:rPr>
            </w:pPr>
            <w:r>
              <w:rPr>
                <w:b/>
                <w:sz w:val="18"/>
                <w:szCs w:val="18"/>
                <w:lang w:eastAsia="pl-PL"/>
              </w:rPr>
              <w:t>Misja Strategii</w:t>
            </w:r>
            <w:r w:rsidR="00737DB9">
              <w:rPr>
                <w:b/>
                <w:sz w:val="18"/>
                <w:szCs w:val="18"/>
                <w:lang w:eastAsia="pl-PL"/>
              </w:rPr>
              <w:t xml:space="preserve"> (propozycja)</w:t>
            </w:r>
          </w:p>
        </w:tc>
      </w:tr>
      <w:tr w:rsidR="008B2034" w:rsidRPr="00942877" w14:paraId="3CE58FD2" w14:textId="77777777" w:rsidTr="00631503">
        <w:tc>
          <w:tcPr>
            <w:tcW w:w="2977" w:type="dxa"/>
            <w:tcBorders>
              <w:top w:val="single" w:sz="2" w:space="0" w:color="F6BB00"/>
              <w:bottom w:val="single" w:sz="2" w:space="0" w:color="F6BB00"/>
            </w:tcBorders>
            <w:vAlign w:val="center"/>
          </w:tcPr>
          <w:p w14:paraId="31514165" w14:textId="03249641" w:rsidR="008B2034" w:rsidRPr="00707949" w:rsidRDefault="00495AF7" w:rsidP="00737DB9">
            <w:pPr>
              <w:spacing w:after="0" w:line="240" w:lineRule="auto"/>
              <w:jc w:val="center"/>
              <w:rPr>
                <w:sz w:val="18"/>
                <w:szCs w:val="18"/>
                <w:lang w:eastAsia="pl-PL"/>
              </w:rPr>
            </w:pPr>
            <w:r>
              <w:rPr>
                <w:sz w:val="18"/>
                <w:szCs w:val="18"/>
                <w:lang w:eastAsia="pl-PL"/>
              </w:rPr>
              <w:t xml:space="preserve">Wielkopolska 2030, to </w:t>
            </w:r>
            <w:r w:rsidR="416AC848" w:rsidRPr="416AC848">
              <w:rPr>
                <w:sz w:val="18"/>
                <w:szCs w:val="18"/>
                <w:lang w:eastAsia="pl-PL"/>
              </w:rPr>
              <w:t xml:space="preserve">jeden z </w:t>
            </w:r>
            <w:r>
              <w:rPr>
                <w:sz w:val="18"/>
                <w:szCs w:val="18"/>
                <w:lang w:eastAsia="pl-PL"/>
              </w:rPr>
              <w:t xml:space="preserve">wiodących </w:t>
            </w:r>
            <w:r w:rsidR="416AC848" w:rsidRPr="416AC848">
              <w:rPr>
                <w:sz w:val="18"/>
                <w:szCs w:val="18"/>
                <w:lang w:eastAsia="pl-PL"/>
              </w:rPr>
              <w:t xml:space="preserve">regionów w </w:t>
            </w:r>
            <w:r>
              <w:rPr>
                <w:sz w:val="18"/>
                <w:szCs w:val="18"/>
                <w:lang w:eastAsia="pl-PL"/>
              </w:rPr>
              <w:t>skali międzynarodowej</w:t>
            </w:r>
            <w:r w:rsidR="416AC848" w:rsidRPr="416AC848">
              <w:rPr>
                <w:sz w:val="18"/>
                <w:szCs w:val="18"/>
                <w:lang w:eastAsia="pl-PL"/>
              </w:rPr>
              <w:t>,</w:t>
            </w:r>
            <w:r>
              <w:rPr>
                <w:sz w:val="18"/>
                <w:szCs w:val="18"/>
                <w:lang w:eastAsia="pl-PL"/>
              </w:rPr>
              <w:t xml:space="preserve"> oferujący jednocześnie jedne z najlepszych warunków życia wśród wszystkich regionów w Polsce, poprzez wysoko rozwinięt</w:t>
            </w:r>
            <w:r w:rsidR="00737DB9">
              <w:rPr>
                <w:sz w:val="18"/>
                <w:szCs w:val="18"/>
                <w:lang w:eastAsia="pl-PL"/>
              </w:rPr>
              <w:t>e</w:t>
            </w:r>
            <w:r>
              <w:rPr>
                <w:sz w:val="18"/>
                <w:szCs w:val="18"/>
                <w:lang w:eastAsia="pl-PL"/>
              </w:rPr>
              <w:t>…</w:t>
            </w:r>
          </w:p>
        </w:tc>
        <w:tc>
          <w:tcPr>
            <w:tcW w:w="2835" w:type="dxa"/>
            <w:tcBorders>
              <w:top w:val="single" w:sz="2" w:space="0" w:color="F6BB00"/>
              <w:bottom w:val="single" w:sz="2" w:space="0" w:color="F6BB00"/>
            </w:tcBorders>
            <w:vAlign w:val="center"/>
          </w:tcPr>
          <w:p w14:paraId="15468DC5" w14:textId="77777777" w:rsidR="008B2034" w:rsidRPr="00737DB9" w:rsidRDefault="00737DB9" w:rsidP="00737DB9">
            <w:pPr>
              <w:spacing w:after="0" w:line="240" w:lineRule="auto"/>
              <w:jc w:val="center"/>
              <w:rPr>
                <w:sz w:val="18"/>
                <w:szCs w:val="18"/>
                <w:lang w:eastAsia="pl-PL"/>
              </w:rPr>
            </w:pPr>
            <w:r w:rsidRPr="00737DB9">
              <w:rPr>
                <w:sz w:val="18"/>
                <w:szCs w:val="18"/>
                <w:lang w:eastAsia="pl-PL"/>
              </w:rPr>
              <w:t>Samorząd województwa skupia wszystkie podmioty działające na rzecz konkurencyjności regionu, poprawy warunków życia mieszkańców oraz…</w:t>
            </w:r>
          </w:p>
        </w:tc>
        <w:tc>
          <w:tcPr>
            <w:tcW w:w="3119" w:type="dxa"/>
            <w:tcBorders>
              <w:top w:val="single" w:sz="2" w:space="0" w:color="F6BB00"/>
              <w:bottom w:val="single" w:sz="2" w:space="0" w:color="F6BB00"/>
            </w:tcBorders>
            <w:vAlign w:val="center"/>
          </w:tcPr>
          <w:p w14:paraId="4EB97C62" w14:textId="56AA7A78" w:rsidR="008B2034" w:rsidRPr="00672616" w:rsidRDefault="00737DB9" w:rsidP="00737DB9">
            <w:pPr>
              <w:spacing w:after="0" w:line="240" w:lineRule="auto"/>
              <w:jc w:val="center"/>
              <w:rPr>
                <w:sz w:val="18"/>
                <w:szCs w:val="18"/>
                <w:lang w:eastAsia="pl-PL"/>
              </w:rPr>
            </w:pPr>
            <w:r>
              <w:rPr>
                <w:sz w:val="18"/>
                <w:szCs w:val="18"/>
                <w:lang w:eastAsia="pl-PL"/>
              </w:rPr>
              <w:t xml:space="preserve">Strategia Wielkopolska 2030 instrumentem Samorządu Województwa w tworzeniu regionalnych sieci współpracy na rzecz rozwoju endogennego potencjału regionu, służącego realizacji wizji rozwoju, poprzez przestrzeganie zasad zarządzania województwem </w:t>
            </w:r>
            <w:r w:rsidR="416AC848" w:rsidRPr="416AC848">
              <w:rPr>
                <w:sz w:val="18"/>
                <w:szCs w:val="18"/>
                <w:lang w:eastAsia="pl-PL"/>
              </w:rPr>
              <w:t>i</w:t>
            </w:r>
            <w:r>
              <w:rPr>
                <w:sz w:val="18"/>
                <w:szCs w:val="18"/>
                <w:lang w:eastAsia="pl-PL"/>
              </w:rPr>
              <w:t xml:space="preserve"> proaktywne przywództwo:</w:t>
            </w:r>
          </w:p>
        </w:tc>
      </w:tr>
      <w:tr w:rsidR="008B2034" w:rsidRPr="00942877" w14:paraId="4464AE47" w14:textId="77777777" w:rsidTr="00631503">
        <w:tc>
          <w:tcPr>
            <w:tcW w:w="2977" w:type="dxa"/>
            <w:tcBorders>
              <w:top w:val="single" w:sz="2" w:space="0" w:color="F6BB00"/>
              <w:bottom w:val="single" w:sz="2" w:space="0" w:color="F6BB00"/>
            </w:tcBorders>
            <w:vAlign w:val="center"/>
          </w:tcPr>
          <w:p w14:paraId="4DCB4B6C" w14:textId="77777777" w:rsidR="008B2034" w:rsidRPr="00707949" w:rsidRDefault="00495AF7" w:rsidP="00737DB9">
            <w:pPr>
              <w:pStyle w:val="Akapitzlist"/>
              <w:numPr>
                <w:ilvl w:val="0"/>
                <w:numId w:val="28"/>
              </w:numPr>
              <w:spacing w:after="0" w:line="240" w:lineRule="auto"/>
              <w:ind w:left="176" w:hanging="176"/>
              <w:jc w:val="left"/>
              <w:rPr>
                <w:sz w:val="18"/>
                <w:szCs w:val="18"/>
                <w:lang w:eastAsia="pl-PL"/>
              </w:rPr>
            </w:pPr>
            <w:r>
              <w:rPr>
                <w:sz w:val="18"/>
                <w:szCs w:val="18"/>
                <w:lang w:eastAsia="pl-PL"/>
              </w:rPr>
              <w:t>innowacyjność i przedsiębiorczość</w:t>
            </w:r>
          </w:p>
        </w:tc>
        <w:tc>
          <w:tcPr>
            <w:tcW w:w="2835" w:type="dxa"/>
            <w:tcBorders>
              <w:top w:val="single" w:sz="2" w:space="0" w:color="F6BB00"/>
              <w:bottom w:val="single" w:sz="2" w:space="0" w:color="F6BB00"/>
            </w:tcBorders>
            <w:vAlign w:val="center"/>
          </w:tcPr>
          <w:p w14:paraId="0B1949CD" w14:textId="77777777" w:rsidR="008B2034" w:rsidRDefault="00737DB9" w:rsidP="00737DB9">
            <w:pPr>
              <w:pStyle w:val="Akapitzlist"/>
              <w:numPr>
                <w:ilvl w:val="0"/>
                <w:numId w:val="28"/>
              </w:numPr>
              <w:spacing w:after="0" w:line="240" w:lineRule="auto"/>
              <w:ind w:left="176" w:hanging="176"/>
              <w:jc w:val="left"/>
              <w:rPr>
                <w:sz w:val="18"/>
                <w:szCs w:val="18"/>
                <w:lang w:eastAsia="pl-PL"/>
              </w:rPr>
            </w:pPr>
            <w:r>
              <w:rPr>
                <w:sz w:val="18"/>
                <w:szCs w:val="18"/>
                <w:lang w:eastAsia="pl-PL"/>
              </w:rPr>
              <w:t>odsunięcia perspektywy zapaści demograficznej</w:t>
            </w:r>
          </w:p>
        </w:tc>
        <w:tc>
          <w:tcPr>
            <w:tcW w:w="3119" w:type="dxa"/>
            <w:tcBorders>
              <w:top w:val="single" w:sz="2" w:space="0" w:color="F6BB00"/>
              <w:bottom w:val="single" w:sz="2" w:space="0" w:color="F6BB00"/>
            </w:tcBorders>
            <w:vAlign w:val="center"/>
          </w:tcPr>
          <w:p w14:paraId="6430EF99" w14:textId="77777777" w:rsidR="008B2034" w:rsidRDefault="00737DB9" w:rsidP="00737DB9">
            <w:pPr>
              <w:pStyle w:val="Akapitzlist"/>
              <w:numPr>
                <w:ilvl w:val="0"/>
                <w:numId w:val="28"/>
              </w:numPr>
              <w:spacing w:after="0" w:line="240" w:lineRule="auto"/>
              <w:ind w:left="176" w:hanging="176"/>
              <w:jc w:val="left"/>
              <w:rPr>
                <w:sz w:val="18"/>
                <w:szCs w:val="18"/>
                <w:lang w:eastAsia="pl-PL"/>
              </w:rPr>
            </w:pPr>
            <w:r>
              <w:rPr>
                <w:sz w:val="18"/>
                <w:szCs w:val="18"/>
                <w:lang w:eastAsia="pl-PL"/>
              </w:rPr>
              <w:t>poszukujące przewag regionu i synergii we współpracy</w:t>
            </w:r>
          </w:p>
        </w:tc>
      </w:tr>
      <w:tr w:rsidR="008B2034" w:rsidRPr="00942877" w14:paraId="7096C5A7" w14:textId="77777777" w:rsidTr="00631503">
        <w:tc>
          <w:tcPr>
            <w:tcW w:w="2977" w:type="dxa"/>
            <w:tcBorders>
              <w:top w:val="single" w:sz="2" w:space="0" w:color="F6BB00"/>
              <w:bottom w:val="single" w:sz="2" w:space="0" w:color="F6BB00"/>
            </w:tcBorders>
            <w:vAlign w:val="center"/>
          </w:tcPr>
          <w:p w14:paraId="657EB0A2" w14:textId="77777777" w:rsidR="008B2034" w:rsidRPr="00707949" w:rsidRDefault="00495AF7" w:rsidP="00737DB9">
            <w:pPr>
              <w:pStyle w:val="Akapitzlist"/>
              <w:numPr>
                <w:ilvl w:val="0"/>
                <w:numId w:val="28"/>
              </w:numPr>
              <w:spacing w:after="0" w:line="240" w:lineRule="auto"/>
              <w:ind w:left="176" w:hanging="176"/>
              <w:jc w:val="left"/>
              <w:rPr>
                <w:sz w:val="18"/>
                <w:szCs w:val="18"/>
                <w:lang w:eastAsia="pl-PL"/>
              </w:rPr>
            </w:pPr>
            <w:r>
              <w:rPr>
                <w:sz w:val="18"/>
                <w:szCs w:val="18"/>
                <w:lang w:eastAsia="pl-PL"/>
              </w:rPr>
              <w:t xml:space="preserve">aktywność </w:t>
            </w:r>
            <w:r w:rsidR="00737DB9">
              <w:rPr>
                <w:sz w:val="18"/>
                <w:szCs w:val="18"/>
                <w:lang w:eastAsia="pl-PL"/>
              </w:rPr>
              <w:t xml:space="preserve">indywidualną i </w:t>
            </w:r>
            <w:r>
              <w:rPr>
                <w:sz w:val="18"/>
                <w:szCs w:val="18"/>
                <w:lang w:eastAsia="pl-PL"/>
              </w:rPr>
              <w:t>społeczną mieszkańców</w:t>
            </w:r>
          </w:p>
        </w:tc>
        <w:tc>
          <w:tcPr>
            <w:tcW w:w="2835" w:type="dxa"/>
            <w:tcBorders>
              <w:top w:val="single" w:sz="2" w:space="0" w:color="F6BB00"/>
              <w:bottom w:val="single" w:sz="2" w:space="0" w:color="F6BB00"/>
            </w:tcBorders>
            <w:vAlign w:val="center"/>
          </w:tcPr>
          <w:p w14:paraId="484B24B2" w14:textId="603C7295" w:rsidR="008B2034" w:rsidRDefault="416AC848" w:rsidP="00737DB9">
            <w:pPr>
              <w:pStyle w:val="Akapitzlist"/>
              <w:numPr>
                <w:ilvl w:val="0"/>
                <w:numId w:val="28"/>
              </w:numPr>
              <w:spacing w:after="0" w:line="240" w:lineRule="auto"/>
              <w:ind w:left="176" w:hanging="176"/>
              <w:jc w:val="left"/>
              <w:rPr>
                <w:sz w:val="18"/>
                <w:szCs w:val="18"/>
                <w:lang w:eastAsia="pl-PL"/>
              </w:rPr>
            </w:pPr>
            <w:r w:rsidRPr="416AC848">
              <w:rPr>
                <w:sz w:val="18"/>
                <w:szCs w:val="18"/>
                <w:lang w:eastAsia="pl-PL"/>
              </w:rPr>
              <w:t>uzyskania</w:t>
            </w:r>
            <w:r w:rsidR="00737DB9">
              <w:rPr>
                <w:sz w:val="18"/>
                <w:szCs w:val="18"/>
                <w:lang w:eastAsia="pl-PL"/>
              </w:rPr>
              <w:t xml:space="preserve"> efektu synergii</w:t>
            </w:r>
          </w:p>
        </w:tc>
        <w:tc>
          <w:tcPr>
            <w:tcW w:w="3119" w:type="dxa"/>
            <w:tcBorders>
              <w:top w:val="single" w:sz="2" w:space="0" w:color="F6BB00"/>
              <w:bottom w:val="single" w:sz="2" w:space="0" w:color="F6BB00"/>
            </w:tcBorders>
            <w:vAlign w:val="center"/>
          </w:tcPr>
          <w:p w14:paraId="05CBA572" w14:textId="77777777" w:rsidR="008B2034" w:rsidRDefault="00737DB9" w:rsidP="00737DB9">
            <w:pPr>
              <w:pStyle w:val="Akapitzlist"/>
              <w:numPr>
                <w:ilvl w:val="0"/>
                <w:numId w:val="28"/>
              </w:numPr>
              <w:spacing w:after="0" w:line="240" w:lineRule="auto"/>
              <w:ind w:left="176" w:hanging="176"/>
              <w:jc w:val="left"/>
              <w:rPr>
                <w:sz w:val="18"/>
                <w:szCs w:val="18"/>
                <w:lang w:eastAsia="pl-PL"/>
              </w:rPr>
            </w:pPr>
            <w:r>
              <w:rPr>
                <w:sz w:val="18"/>
                <w:szCs w:val="18"/>
                <w:lang w:eastAsia="pl-PL"/>
              </w:rPr>
              <w:t>stwarzające warunki realizacji własnych aspiracji mieszkańców</w:t>
            </w:r>
          </w:p>
        </w:tc>
      </w:tr>
      <w:tr w:rsidR="008B2034" w:rsidRPr="00942877" w14:paraId="3D974CA9" w14:textId="77777777" w:rsidTr="00631503">
        <w:tc>
          <w:tcPr>
            <w:tcW w:w="2977" w:type="dxa"/>
            <w:tcBorders>
              <w:top w:val="single" w:sz="2" w:space="0" w:color="F6BB00"/>
              <w:bottom w:val="single" w:sz="2" w:space="0" w:color="F6BB00"/>
            </w:tcBorders>
            <w:vAlign w:val="center"/>
          </w:tcPr>
          <w:p w14:paraId="63297D32" w14:textId="77777777" w:rsidR="008B2034" w:rsidRPr="00707949" w:rsidRDefault="00495AF7" w:rsidP="00737DB9">
            <w:pPr>
              <w:pStyle w:val="Akapitzlist"/>
              <w:numPr>
                <w:ilvl w:val="0"/>
                <w:numId w:val="28"/>
              </w:numPr>
              <w:spacing w:after="0" w:line="240" w:lineRule="auto"/>
              <w:ind w:left="176" w:hanging="176"/>
              <w:jc w:val="left"/>
              <w:rPr>
                <w:sz w:val="18"/>
                <w:szCs w:val="18"/>
                <w:lang w:eastAsia="pl-PL"/>
              </w:rPr>
            </w:pPr>
            <w:r>
              <w:rPr>
                <w:sz w:val="18"/>
                <w:szCs w:val="18"/>
                <w:lang w:eastAsia="pl-PL"/>
              </w:rPr>
              <w:t>wię</w:t>
            </w:r>
            <w:r w:rsidR="00737DB9">
              <w:rPr>
                <w:sz w:val="18"/>
                <w:szCs w:val="18"/>
                <w:lang w:eastAsia="pl-PL"/>
              </w:rPr>
              <w:t>zi</w:t>
            </w:r>
            <w:r>
              <w:rPr>
                <w:sz w:val="18"/>
                <w:szCs w:val="18"/>
                <w:lang w:eastAsia="pl-PL"/>
              </w:rPr>
              <w:t xml:space="preserve"> społeczn</w:t>
            </w:r>
            <w:r w:rsidR="00737DB9">
              <w:rPr>
                <w:sz w:val="18"/>
                <w:szCs w:val="18"/>
                <w:lang w:eastAsia="pl-PL"/>
              </w:rPr>
              <w:t>e</w:t>
            </w:r>
            <w:r>
              <w:rPr>
                <w:sz w:val="18"/>
                <w:szCs w:val="18"/>
                <w:lang w:eastAsia="pl-PL"/>
              </w:rPr>
              <w:t xml:space="preserve"> w skali regionalnej</w:t>
            </w:r>
          </w:p>
        </w:tc>
        <w:tc>
          <w:tcPr>
            <w:tcW w:w="2835" w:type="dxa"/>
            <w:tcBorders>
              <w:top w:val="single" w:sz="2" w:space="0" w:color="F6BB00"/>
              <w:bottom w:val="single" w:sz="2" w:space="0" w:color="F6BB00"/>
            </w:tcBorders>
            <w:vAlign w:val="center"/>
          </w:tcPr>
          <w:p w14:paraId="49B4C5CC" w14:textId="5A957412" w:rsidR="008B2034" w:rsidRDefault="416AC848" w:rsidP="00737DB9">
            <w:pPr>
              <w:pStyle w:val="Akapitzlist"/>
              <w:numPr>
                <w:ilvl w:val="0"/>
                <w:numId w:val="28"/>
              </w:numPr>
              <w:spacing w:after="0" w:line="240" w:lineRule="auto"/>
              <w:ind w:left="176" w:hanging="176"/>
              <w:jc w:val="left"/>
              <w:rPr>
                <w:sz w:val="18"/>
                <w:szCs w:val="18"/>
                <w:lang w:eastAsia="pl-PL"/>
              </w:rPr>
            </w:pPr>
            <w:r w:rsidRPr="416AC848">
              <w:rPr>
                <w:sz w:val="18"/>
                <w:szCs w:val="18"/>
                <w:lang w:eastAsia="pl-PL"/>
              </w:rPr>
              <w:t>wykorzystania</w:t>
            </w:r>
            <w:r w:rsidR="00737DB9">
              <w:rPr>
                <w:sz w:val="18"/>
                <w:szCs w:val="18"/>
                <w:lang w:eastAsia="pl-PL"/>
              </w:rPr>
              <w:t xml:space="preserve"> własnych instrumentów dla uzyskania dźwigni</w:t>
            </w:r>
          </w:p>
        </w:tc>
        <w:tc>
          <w:tcPr>
            <w:tcW w:w="3119" w:type="dxa"/>
            <w:tcBorders>
              <w:top w:val="single" w:sz="2" w:space="0" w:color="F6BB00"/>
              <w:bottom w:val="single" w:sz="2" w:space="0" w:color="F6BB00"/>
            </w:tcBorders>
            <w:vAlign w:val="center"/>
          </w:tcPr>
          <w:p w14:paraId="37150CC2" w14:textId="77777777" w:rsidR="008B2034" w:rsidRDefault="00737DB9" w:rsidP="00737DB9">
            <w:pPr>
              <w:pStyle w:val="Akapitzlist"/>
              <w:numPr>
                <w:ilvl w:val="0"/>
                <w:numId w:val="28"/>
              </w:numPr>
              <w:spacing w:after="0" w:line="240" w:lineRule="auto"/>
              <w:ind w:left="176" w:hanging="176"/>
              <w:jc w:val="left"/>
              <w:rPr>
                <w:sz w:val="18"/>
                <w:szCs w:val="18"/>
                <w:lang w:eastAsia="pl-PL"/>
              </w:rPr>
            </w:pPr>
            <w:r>
              <w:rPr>
                <w:sz w:val="18"/>
                <w:szCs w:val="18"/>
                <w:lang w:eastAsia="pl-PL"/>
              </w:rPr>
              <w:t>otwarte i wspierające relacje społeczne</w:t>
            </w:r>
          </w:p>
        </w:tc>
      </w:tr>
      <w:tr w:rsidR="00495AF7" w:rsidRPr="00942877" w14:paraId="12029B1A" w14:textId="77777777" w:rsidTr="00631503">
        <w:tc>
          <w:tcPr>
            <w:tcW w:w="2977" w:type="dxa"/>
            <w:tcBorders>
              <w:top w:val="single" w:sz="2" w:space="0" w:color="F6BB00"/>
              <w:bottom w:val="single" w:sz="2" w:space="0" w:color="F6BB00"/>
            </w:tcBorders>
            <w:vAlign w:val="center"/>
          </w:tcPr>
          <w:p w14:paraId="7064D598" w14:textId="77777777" w:rsidR="00495AF7" w:rsidRDefault="00495AF7" w:rsidP="00737DB9">
            <w:pPr>
              <w:pStyle w:val="Akapitzlist"/>
              <w:numPr>
                <w:ilvl w:val="0"/>
                <w:numId w:val="28"/>
              </w:numPr>
              <w:spacing w:after="0" w:line="240" w:lineRule="auto"/>
              <w:ind w:left="176" w:hanging="176"/>
              <w:jc w:val="left"/>
              <w:rPr>
                <w:sz w:val="18"/>
                <w:szCs w:val="18"/>
                <w:lang w:eastAsia="pl-PL"/>
              </w:rPr>
            </w:pPr>
            <w:r>
              <w:rPr>
                <w:sz w:val="18"/>
                <w:szCs w:val="18"/>
                <w:lang w:eastAsia="pl-PL"/>
              </w:rPr>
              <w:t>odpowiedzialność za przyszłe pokolenia</w:t>
            </w:r>
          </w:p>
        </w:tc>
        <w:tc>
          <w:tcPr>
            <w:tcW w:w="2835" w:type="dxa"/>
            <w:tcBorders>
              <w:top w:val="single" w:sz="2" w:space="0" w:color="F6BB00"/>
              <w:bottom w:val="single" w:sz="2" w:space="0" w:color="F6BB00"/>
            </w:tcBorders>
            <w:vAlign w:val="center"/>
          </w:tcPr>
          <w:p w14:paraId="67631F21" w14:textId="77777777" w:rsidR="00495AF7" w:rsidRPr="00737DB9" w:rsidRDefault="00495AF7" w:rsidP="00737DB9">
            <w:pPr>
              <w:spacing w:after="0" w:line="240" w:lineRule="auto"/>
              <w:jc w:val="left"/>
              <w:rPr>
                <w:sz w:val="18"/>
                <w:szCs w:val="18"/>
                <w:lang w:eastAsia="pl-PL"/>
              </w:rPr>
            </w:pPr>
          </w:p>
        </w:tc>
        <w:tc>
          <w:tcPr>
            <w:tcW w:w="3119" w:type="dxa"/>
            <w:tcBorders>
              <w:top w:val="single" w:sz="2" w:space="0" w:color="F6BB00"/>
              <w:bottom w:val="single" w:sz="2" w:space="0" w:color="F6BB00"/>
            </w:tcBorders>
            <w:vAlign w:val="center"/>
          </w:tcPr>
          <w:p w14:paraId="60AE1904" w14:textId="77777777" w:rsidR="00495AF7" w:rsidRDefault="00737DB9" w:rsidP="00737DB9">
            <w:pPr>
              <w:pStyle w:val="Akapitzlist"/>
              <w:numPr>
                <w:ilvl w:val="0"/>
                <w:numId w:val="28"/>
              </w:numPr>
              <w:spacing w:after="0" w:line="240" w:lineRule="auto"/>
              <w:ind w:left="176" w:hanging="176"/>
              <w:jc w:val="left"/>
              <w:rPr>
                <w:sz w:val="18"/>
                <w:szCs w:val="18"/>
                <w:lang w:eastAsia="pl-PL"/>
              </w:rPr>
            </w:pPr>
            <w:r>
              <w:rPr>
                <w:sz w:val="18"/>
                <w:szCs w:val="18"/>
                <w:lang w:eastAsia="pl-PL"/>
              </w:rPr>
              <w:t>odpowiedzialne, szczególnie w kontekście jakości życia przyszłych pokoleń</w:t>
            </w:r>
          </w:p>
        </w:tc>
      </w:tr>
      <w:tr w:rsidR="00737DB9" w:rsidRPr="00942877" w14:paraId="0FCEEA8D" w14:textId="77777777" w:rsidTr="00631503">
        <w:tc>
          <w:tcPr>
            <w:tcW w:w="2977" w:type="dxa"/>
            <w:tcBorders>
              <w:top w:val="single" w:sz="2" w:space="0" w:color="F6BB00"/>
              <w:bottom w:val="single" w:sz="2" w:space="0" w:color="F6BB00"/>
            </w:tcBorders>
            <w:vAlign w:val="center"/>
          </w:tcPr>
          <w:p w14:paraId="0904F676" w14:textId="77777777" w:rsidR="00737DB9" w:rsidRDefault="00737DB9" w:rsidP="00737DB9">
            <w:pPr>
              <w:pStyle w:val="Akapitzlist"/>
              <w:numPr>
                <w:ilvl w:val="0"/>
                <w:numId w:val="28"/>
              </w:numPr>
              <w:spacing w:after="0" w:line="240" w:lineRule="auto"/>
              <w:ind w:left="176" w:hanging="176"/>
              <w:jc w:val="left"/>
              <w:rPr>
                <w:sz w:val="18"/>
                <w:szCs w:val="18"/>
                <w:lang w:eastAsia="pl-PL"/>
              </w:rPr>
            </w:pPr>
            <w:r>
              <w:rPr>
                <w:sz w:val="18"/>
                <w:szCs w:val="18"/>
                <w:lang w:eastAsia="pl-PL"/>
              </w:rPr>
              <w:t>sieci współpracy wewnątrzregionalnej</w:t>
            </w:r>
          </w:p>
        </w:tc>
        <w:tc>
          <w:tcPr>
            <w:tcW w:w="2835" w:type="dxa"/>
            <w:tcBorders>
              <w:top w:val="single" w:sz="2" w:space="0" w:color="F6BB00"/>
              <w:bottom w:val="single" w:sz="2" w:space="0" w:color="F6BB00"/>
            </w:tcBorders>
            <w:vAlign w:val="center"/>
          </w:tcPr>
          <w:p w14:paraId="1E6FC152" w14:textId="77777777" w:rsidR="00737DB9" w:rsidRPr="00737DB9" w:rsidRDefault="00737DB9" w:rsidP="00737DB9">
            <w:pPr>
              <w:spacing w:after="0" w:line="240" w:lineRule="auto"/>
              <w:jc w:val="left"/>
              <w:rPr>
                <w:sz w:val="18"/>
                <w:szCs w:val="18"/>
                <w:lang w:eastAsia="pl-PL"/>
              </w:rPr>
            </w:pPr>
          </w:p>
        </w:tc>
        <w:tc>
          <w:tcPr>
            <w:tcW w:w="3119" w:type="dxa"/>
            <w:tcBorders>
              <w:top w:val="single" w:sz="2" w:space="0" w:color="F6BB00"/>
              <w:bottom w:val="single" w:sz="2" w:space="0" w:color="F6BB00"/>
            </w:tcBorders>
            <w:vAlign w:val="center"/>
          </w:tcPr>
          <w:p w14:paraId="40581FF6" w14:textId="77777777" w:rsidR="00737DB9" w:rsidRDefault="00737DB9" w:rsidP="00737DB9">
            <w:pPr>
              <w:pStyle w:val="Akapitzlist"/>
              <w:numPr>
                <w:ilvl w:val="0"/>
                <w:numId w:val="28"/>
              </w:numPr>
              <w:spacing w:after="0" w:line="240" w:lineRule="auto"/>
              <w:ind w:left="176" w:hanging="176"/>
              <w:jc w:val="left"/>
              <w:rPr>
                <w:sz w:val="18"/>
                <w:szCs w:val="18"/>
                <w:lang w:eastAsia="pl-PL"/>
              </w:rPr>
            </w:pPr>
            <w:r>
              <w:rPr>
                <w:sz w:val="18"/>
                <w:szCs w:val="18"/>
                <w:lang w:eastAsia="pl-PL"/>
              </w:rPr>
              <w:t>aktywizujące, inspirujące i wspierające w zakresie działań szeroko rozumianej poczwórnej helisy</w:t>
            </w:r>
          </w:p>
        </w:tc>
      </w:tr>
      <w:tr w:rsidR="00495AF7" w:rsidRPr="00942877" w14:paraId="3ECA12D9" w14:textId="77777777" w:rsidTr="00631503">
        <w:tc>
          <w:tcPr>
            <w:tcW w:w="2977" w:type="dxa"/>
            <w:tcBorders>
              <w:top w:val="single" w:sz="2" w:space="0" w:color="F6BB00"/>
              <w:bottom w:val="single" w:sz="2" w:space="0" w:color="F6BB00"/>
            </w:tcBorders>
            <w:vAlign w:val="center"/>
          </w:tcPr>
          <w:p w14:paraId="1008CFF5" w14:textId="77777777" w:rsidR="00495AF7" w:rsidRDefault="00737DB9" w:rsidP="00737DB9">
            <w:pPr>
              <w:pStyle w:val="Akapitzlist"/>
              <w:numPr>
                <w:ilvl w:val="0"/>
                <w:numId w:val="28"/>
              </w:numPr>
              <w:spacing w:after="0" w:line="240" w:lineRule="auto"/>
              <w:ind w:left="176" w:hanging="176"/>
              <w:jc w:val="left"/>
              <w:rPr>
                <w:sz w:val="18"/>
                <w:szCs w:val="18"/>
                <w:lang w:eastAsia="pl-PL"/>
              </w:rPr>
            </w:pPr>
            <w:r>
              <w:rPr>
                <w:sz w:val="18"/>
                <w:szCs w:val="18"/>
                <w:lang w:eastAsia="pl-PL"/>
              </w:rPr>
              <w:t>sieci powiązań komunikacyjnych spójne w skali całego regionu</w:t>
            </w:r>
          </w:p>
        </w:tc>
        <w:tc>
          <w:tcPr>
            <w:tcW w:w="2835" w:type="dxa"/>
            <w:tcBorders>
              <w:top w:val="single" w:sz="2" w:space="0" w:color="F6BB00"/>
              <w:bottom w:val="single" w:sz="2" w:space="0" w:color="F6BB00"/>
            </w:tcBorders>
            <w:vAlign w:val="center"/>
          </w:tcPr>
          <w:p w14:paraId="3D1EAE57" w14:textId="77777777" w:rsidR="00495AF7" w:rsidRPr="00737DB9" w:rsidRDefault="00495AF7" w:rsidP="00737DB9">
            <w:pPr>
              <w:spacing w:after="0" w:line="240" w:lineRule="auto"/>
              <w:jc w:val="left"/>
              <w:rPr>
                <w:sz w:val="18"/>
                <w:szCs w:val="18"/>
                <w:lang w:eastAsia="pl-PL"/>
              </w:rPr>
            </w:pPr>
          </w:p>
        </w:tc>
        <w:tc>
          <w:tcPr>
            <w:tcW w:w="3119" w:type="dxa"/>
            <w:tcBorders>
              <w:top w:val="single" w:sz="2" w:space="0" w:color="F6BB00"/>
              <w:bottom w:val="single" w:sz="2" w:space="0" w:color="F6BB00"/>
            </w:tcBorders>
            <w:vAlign w:val="center"/>
          </w:tcPr>
          <w:p w14:paraId="5D130C41" w14:textId="77777777" w:rsidR="00495AF7" w:rsidRDefault="00737DB9" w:rsidP="00737DB9">
            <w:pPr>
              <w:pStyle w:val="Akapitzlist"/>
              <w:numPr>
                <w:ilvl w:val="0"/>
                <w:numId w:val="28"/>
              </w:numPr>
              <w:spacing w:after="0" w:line="240" w:lineRule="auto"/>
              <w:ind w:left="176" w:hanging="176"/>
              <w:jc w:val="left"/>
              <w:rPr>
                <w:sz w:val="18"/>
                <w:szCs w:val="18"/>
                <w:lang w:eastAsia="pl-PL"/>
              </w:rPr>
            </w:pPr>
            <w:r>
              <w:rPr>
                <w:sz w:val="18"/>
                <w:szCs w:val="18"/>
                <w:lang w:eastAsia="pl-PL"/>
              </w:rPr>
              <w:t>ukierunkowane na przeciwdziałanie wszelkim formom wykluczenia</w:t>
            </w:r>
          </w:p>
        </w:tc>
      </w:tr>
    </w:tbl>
    <w:p w14:paraId="6941E49F" w14:textId="77777777" w:rsidR="008B2034" w:rsidRDefault="00737DB9" w:rsidP="00737DB9">
      <w:pPr>
        <w:pStyle w:val="rdo"/>
      </w:pPr>
      <w:r w:rsidRPr="00F87228">
        <w:t>Źródło: opracowanie własne.</w:t>
      </w:r>
    </w:p>
    <w:p w14:paraId="1FECA724" w14:textId="77777777" w:rsidR="00562AF8" w:rsidRDefault="00562AF8" w:rsidP="00562AF8">
      <w:pPr>
        <w:pStyle w:val="Nagwek3"/>
      </w:pPr>
      <w:bookmarkStart w:id="44" w:name="_Toc536653107"/>
      <w:bookmarkStart w:id="45" w:name="_Toc1904779"/>
      <w:bookmarkStart w:id="46" w:name="_Toc5699447"/>
      <w:r>
        <w:lastRenderedPageBreak/>
        <w:t>Ocena kluczowych zagrożeń realizacji modelu rozwoju</w:t>
      </w:r>
      <w:bookmarkEnd w:id="44"/>
      <w:bookmarkEnd w:id="45"/>
      <w:bookmarkEnd w:id="46"/>
      <w:r>
        <w:t xml:space="preserve"> </w:t>
      </w:r>
    </w:p>
    <w:p w14:paraId="54D4E1D3" w14:textId="0C199A10" w:rsidR="00562AF8" w:rsidRPr="005F53D4" w:rsidRDefault="00562AF8" w:rsidP="00562AF8">
      <w:r w:rsidRPr="005F53D4">
        <w:rPr>
          <w:rFonts w:eastAsia="Calibri"/>
          <w:szCs w:val="22"/>
        </w:rPr>
        <w:t xml:space="preserve">Z perspektywy obowiązujących i planowanych polityk rozwojowych na wszystkich szczeblach zarządzania strategicznego nie należy spodziewać się </w:t>
      </w:r>
      <w:r w:rsidR="00FA2B76">
        <w:rPr>
          <w:rFonts w:eastAsia="Calibri"/>
          <w:szCs w:val="22"/>
        </w:rPr>
        <w:t xml:space="preserve">długoterminowego </w:t>
      </w:r>
      <w:r w:rsidRPr="005F53D4">
        <w:rPr>
          <w:rFonts w:eastAsia="Calibri"/>
          <w:szCs w:val="22"/>
        </w:rPr>
        <w:t>zagrożenia realizacji zasad ujętych w Strategii (solidarność, odpowiedzialność i współuczestnictwo)</w:t>
      </w:r>
      <w:r>
        <w:rPr>
          <w:rFonts w:eastAsia="Calibri"/>
          <w:szCs w:val="22"/>
        </w:rPr>
        <w:t xml:space="preserve">. </w:t>
      </w:r>
      <w:r w:rsidRPr="005F53D4">
        <w:rPr>
          <w:rFonts w:eastAsia="Calibri"/>
          <w:szCs w:val="22"/>
        </w:rPr>
        <w:t xml:space="preserve">Zasady te wspierane </w:t>
      </w:r>
      <w:r>
        <w:rPr>
          <w:rFonts w:eastAsia="Calibri"/>
          <w:szCs w:val="22"/>
        </w:rPr>
        <w:t xml:space="preserve">są </w:t>
      </w:r>
      <w:r w:rsidRPr="005F53D4">
        <w:rPr>
          <w:rFonts w:eastAsia="Calibri"/>
          <w:szCs w:val="22"/>
        </w:rPr>
        <w:t>przez zapisy dokumentów strategicznych wyższego szczebla</w:t>
      </w:r>
      <w:r w:rsidR="00FA2B76">
        <w:rPr>
          <w:rFonts w:eastAsia="Calibri"/>
          <w:szCs w:val="22"/>
        </w:rPr>
        <w:t>. W</w:t>
      </w:r>
      <w:r>
        <w:rPr>
          <w:rFonts w:eastAsia="Calibri"/>
          <w:szCs w:val="22"/>
        </w:rPr>
        <w:t xml:space="preserve"> ostatnim okresie można wskazać działania, które mogą być odbierane jako osłabianie samorządowych województw</w:t>
      </w:r>
      <w:r w:rsidR="00FA2B76">
        <w:rPr>
          <w:rFonts w:eastAsia="Calibri"/>
          <w:szCs w:val="22"/>
        </w:rPr>
        <w:t xml:space="preserve">, ale </w:t>
      </w:r>
      <w:r>
        <w:rPr>
          <w:rFonts w:eastAsia="Calibri"/>
          <w:szCs w:val="22"/>
        </w:rPr>
        <w:t xml:space="preserve">gwarantem tych zasad jest fakt, że są one również </w:t>
      </w:r>
      <w:r w:rsidRPr="005F53D4">
        <w:rPr>
          <w:rFonts w:eastAsia="Calibri"/>
          <w:szCs w:val="22"/>
        </w:rPr>
        <w:t>drogowskaz</w:t>
      </w:r>
      <w:r>
        <w:rPr>
          <w:rFonts w:eastAsia="Calibri"/>
          <w:szCs w:val="22"/>
        </w:rPr>
        <w:t xml:space="preserve">em w </w:t>
      </w:r>
      <w:r w:rsidRPr="005F53D4">
        <w:rPr>
          <w:rFonts w:eastAsia="Calibri"/>
          <w:szCs w:val="22"/>
        </w:rPr>
        <w:t>prowadzeni</w:t>
      </w:r>
      <w:r>
        <w:rPr>
          <w:rFonts w:eastAsia="Calibri"/>
          <w:szCs w:val="22"/>
        </w:rPr>
        <w:t>u</w:t>
      </w:r>
      <w:r w:rsidRPr="005F53D4">
        <w:rPr>
          <w:rFonts w:eastAsia="Calibri"/>
          <w:szCs w:val="22"/>
        </w:rPr>
        <w:t xml:space="preserve"> polityk rozwoju na poziom</w:t>
      </w:r>
      <w:r>
        <w:rPr>
          <w:rFonts w:eastAsia="Calibri"/>
          <w:szCs w:val="22"/>
        </w:rPr>
        <w:t>ie</w:t>
      </w:r>
      <w:r w:rsidRPr="005F53D4">
        <w:rPr>
          <w:rFonts w:eastAsia="Calibri"/>
          <w:szCs w:val="22"/>
        </w:rPr>
        <w:t xml:space="preserve"> europejskim</w:t>
      </w:r>
      <w:r w:rsidR="00FA2B76">
        <w:rPr>
          <w:rFonts w:eastAsia="Calibri"/>
          <w:szCs w:val="22"/>
        </w:rPr>
        <w:t>, zatem obecne osłabienie (pogorszenie) relacji rząd – samorząd może być traktowane jako zjawisko przejściowe</w:t>
      </w:r>
      <w:r w:rsidRPr="005F53D4">
        <w:rPr>
          <w:rFonts w:eastAsia="Calibri"/>
          <w:szCs w:val="22"/>
        </w:rPr>
        <w:t xml:space="preserve">. </w:t>
      </w:r>
    </w:p>
    <w:p w14:paraId="05E83C04" w14:textId="73788399" w:rsidR="00562AF8" w:rsidRPr="00AE0F72" w:rsidRDefault="00562AF8" w:rsidP="00562AF8">
      <w:pPr>
        <w:rPr>
          <w:rFonts w:eastAsia="Calibri"/>
        </w:rPr>
      </w:pPr>
      <w:r w:rsidRPr="005F53D4">
        <w:rPr>
          <w:rFonts w:eastAsia="Calibri"/>
        </w:rPr>
        <w:t xml:space="preserve">W kontekście przyjętego modelu rozwoju Wielkopolski w aktualnie obowiązującej </w:t>
      </w:r>
      <w:r>
        <w:rPr>
          <w:rFonts w:eastAsia="Calibri"/>
        </w:rPr>
        <w:t xml:space="preserve">SRWW 2020 </w:t>
      </w:r>
      <w:r w:rsidRPr="005F53D4">
        <w:rPr>
          <w:rFonts w:eastAsia="Calibri"/>
        </w:rPr>
        <w:t xml:space="preserve">można spodziewać się pewnego napięcia w zakresie rozumienia pojęcia równowagi funkcjonalnej. W </w:t>
      </w:r>
      <w:r>
        <w:rPr>
          <w:rFonts w:eastAsia="Calibri"/>
        </w:rPr>
        <w:t xml:space="preserve">SRWW 2020 </w:t>
      </w:r>
      <w:r w:rsidRPr="005F53D4">
        <w:rPr>
          <w:rFonts w:eastAsia="Calibri"/>
        </w:rPr>
        <w:t>założono wzajemnie korzystną relację biegunów wzrostu i ich otoczenia (stanowiącą odpowiedź i uzupełnienie na przyjęty model rozwojowy</w:t>
      </w:r>
      <w:r w:rsidR="00FA2B76">
        <w:rPr>
          <w:rFonts w:eastAsia="Calibri"/>
        </w:rPr>
        <w:t xml:space="preserve"> w dotychczasowym KSRR</w:t>
      </w:r>
      <w:r w:rsidRPr="005F53D4">
        <w:rPr>
          <w:rFonts w:eastAsia="Calibri"/>
        </w:rPr>
        <w:t>), obecny projekt</w:t>
      </w:r>
      <w:r w:rsidR="00FA2B76">
        <w:rPr>
          <w:rFonts w:eastAsia="Calibri"/>
        </w:rPr>
        <w:t xml:space="preserve"> KSRR</w:t>
      </w:r>
      <w:r w:rsidRPr="005F53D4">
        <w:rPr>
          <w:rFonts w:eastAsia="Calibri"/>
        </w:rPr>
        <w:t xml:space="preserve"> zakłada odejście od modelu polaryzacyjno-dyfuzyjnego na rzecz wspomagania obszarów funkcjonalnych miast przy jednoczesnym wspieraniu obszarów zagrożonych marginalizacją społeczną czy miast tracących funkcje społeczno-gospodarcze. W kontekście równowagi społecznej uwzględnionej w </w:t>
      </w:r>
      <w:r>
        <w:rPr>
          <w:rFonts w:eastAsia="Calibri"/>
        </w:rPr>
        <w:t xml:space="preserve">SRWW 2020 </w:t>
      </w:r>
      <w:r w:rsidRPr="005F53D4">
        <w:rPr>
          <w:rFonts w:eastAsia="Calibri"/>
        </w:rPr>
        <w:t xml:space="preserve">można spodziewać się wystąpienia pewnego zagrożenia dla realizacji zasady. Aby zminimalizować ryzyko jego wystąpienia wskazane byłoby rozszerzenie pojęcia o gospodarkę społeczną uwzględniającą podejmowanie działań na rzecz zapobiegania wykluczeniu społecznemu. Pewnego przeformułowania i innego rozłożenia akcentów wymagałaby także zasada odnosząca się do efektywności ekonomicznej, zakładająca zysk uwzględniający koszty społeczne i ekonomiczne, ponieważ sformułowanie to jest dosyć niejasne i może powodować pewne trudności interpretacyjne. Należy przy tym uwzględnić, że w aktualnie obowiązujących politykach rozwojowych większy nacisk położony został na wspieranie wymiaru społecznego (także w wymiarze gospodarczym). Niezagrożona realizacją zdaje się być zasada dotycząca kwestii środowiskowych, które są silnie akcentowane w obowiązujących i planowanych politykach. Pozostałe założenia modelu rozwoju Wielopolski odnoszące się do: wzmacniania wewnętrznych potencjałów, usieciowienia, zapewnienia jednakowego standardu dostępu do usług publicznych można uznać za niezagrożone w realizacji, ponieważ odnoszą się one do podstawowych założeń obowiązujących na poziomie wspólnotowym i krajowym. </w:t>
      </w:r>
      <w:r w:rsidRPr="005F53D4">
        <w:rPr>
          <w:rFonts w:eastAsia="Calibri"/>
          <w:b/>
        </w:rPr>
        <w:t>Należałoby jednak rozważyć uszczegółowienie lub wzbogacenie modelu rozwojowego Wielkopolski o elementy aktualnie najsilniej akcentowane</w:t>
      </w:r>
      <w:r w:rsidRPr="005F53D4">
        <w:rPr>
          <w:rFonts w:eastAsia="Calibri"/>
        </w:rPr>
        <w:t xml:space="preserve"> (budowanie konkurencyjności w oparciu o potencjały wewnętrzne, podnoszenie jakości zarządzania i odchodzenie od jego „twardej formy”, wspieranie innowacyjności – nie tylko technologicznej</w:t>
      </w:r>
      <w:r>
        <w:rPr>
          <w:rFonts w:eastAsia="Calibri"/>
        </w:rPr>
        <w:t>,</w:t>
      </w:r>
      <w:r w:rsidRPr="005F53D4">
        <w:rPr>
          <w:rFonts w:eastAsia="Calibri"/>
        </w:rPr>
        <w:t xml:space="preserve"> ale i społecznej, nie tylko tej </w:t>
      </w:r>
      <w:r w:rsidR="416AC848" w:rsidRPr="416AC848">
        <w:rPr>
          <w:rFonts w:eastAsia="Calibri"/>
          <w:szCs w:val="22"/>
        </w:rPr>
        <w:t>„</w:t>
      </w:r>
      <w:r w:rsidRPr="005F53D4">
        <w:rPr>
          <w:rFonts w:eastAsia="Calibri"/>
        </w:rPr>
        <w:t>osadzonej”</w:t>
      </w:r>
      <w:r>
        <w:rPr>
          <w:rFonts w:eastAsia="Calibri"/>
        </w:rPr>
        <w:t>,</w:t>
      </w:r>
      <w:r w:rsidRPr="005F53D4">
        <w:rPr>
          <w:rFonts w:eastAsia="Calibri"/>
        </w:rPr>
        <w:t xml:space="preserve"> ale i w zalążku).</w:t>
      </w:r>
      <w:r w:rsidRPr="61FF47E5">
        <w:rPr>
          <w:rFonts w:eastAsia="Calibri"/>
        </w:rPr>
        <w:t xml:space="preserve"> </w:t>
      </w:r>
    </w:p>
    <w:p w14:paraId="39530932" w14:textId="77777777" w:rsidR="002477F4" w:rsidRPr="00644C35" w:rsidRDefault="00792669" w:rsidP="002477F4">
      <w:pPr>
        <w:pStyle w:val="Nagwek2"/>
      </w:pPr>
      <w:bookmarkStart w:id="47" w:name="_Toc536653103"/>
      <w:bookmarkStart w:id="48" w:name="_Toc1904775"/>
      <w:bookmarkStart w:id="49" w:name="_Toc5699448"/>
      <w:r w:rsidRPr="00644C35">
        <w:t>A</w:t>
      </w:r>
      <w:r w:rsidR="002477F4" w:rsidRPr="00644C35">
        <w:t>naliz</w:t>
      </w:r>
      <w:r w:rsidRPr="00644C35">
        <w:t>a</w:t>
      </w:r>
      <w:r w:rsidR="002477F4" w:rsidRPr="00644C35">
        <w:t xml:space="preserve"> SWOT</w:t>
      </w:r>
      <w:bookmarkEnd w:id="47"/>
      <w:bookmarkEnd w:id="48"/>
      <w:bookmarkEnd w:id="49"/>
    </w:p>
    <w:p w14:paraId="41948F4B" w14:textId="64B637C0" w:rsidR="002477F4" w:rsidRDefault="002477F4" w:rsidP="002477F4">
      <w:pPr>
        <w:rPr>
          <w:lang w:eastAsia="pl-PL"/>
        </w:rPr>
      </w:pPr>
      <w:r>
        <w:rPr>
          <w:lang w:eastAsia="pl-PL"/>
        </w:rPr>
        <w:t xml:space="preserve">Analiza SWOT traktowana jest powszechnie jako jedna z metod pozwalających przejść od diagnozy strategicznej do celów. </w:t>
      </w:r>
      <w:r w:rsidR="416AC848" w:rsidRPr="416AC848">
        <w:rPr>
          <w:lang w:eastAsia="pl-PL"/>
        </w:rPr>
        <w:t xml:space="preserve">Z założenia </w:t>
      </w:r>
      <w:r>
        <w:rPr>
          <w:lang w:eastAsia="pl-PL"/>
        </w:rPr>
        <w:t xml:space="preserve">ewaluacja nie dotyczyła samej diagnozy, ponieważ </w:t>
      </w:r>
      <w:r w:rsidR="416AC848" w:rsidRPr="416AC848">
        <w:rPr>
          <w:lang w:eastAsia="pl-PL"/>
        </w:rPr>
        <w:t xml:space="preserve">jej </w:t>
      </w:r>
      <w:r>
        <w:rPr>
          <w:lang w:eastAsia="pl-PL"/>
        </w:rPr>
        <w:t>główne i strategiczne wnioski są zawarte właśnie w analizie SWOT. Oprócz oceny aktualności zapisów obecnej w SRWW 2020 analizy SWOT przeprowadzo</w:t>
      </w:r>
      <w:r w:rsidR="00133694">
        <w:rPr>
          <w:lang w:eastAsia="pl-PL"/>
        </w:rPr>
        <w:t>no dodatkowo analizę SWOT/TOWS.</w:t>
      </w:r>
    </w:p>
    <w:p w14:paraId="3D85B749" w14:textId="66527630" w:rsidR="00265E8C" w:rsidRPr="00D50036" w:rsidRDefault="00EF7746" w:rsidP="002477F4">
      <w:pPr>
        <w:rPr>
          <w:lang w:eastAsia="pl-PL"/>
        </w:rPr>
      </w:pPr>
      <w:r w:rsidRPr="00D50036">
        <w:rPr>
          <w:lang w:eastAsia="pl-PL"/>
        </w:rPr>
        <w:t xml:space="preserve">Weryfikacja zapisów </w:t>
      </w:r>
      <w:r w:rsidR="000E20A1" w:rsidRPr="00D50036">
        <w:rPr>
          <w:lang w:eastAsia="pl-PL"/>
        </w:rPr>
        <w:t>analizy SWOT zawartej w SRWW 2020</w:t>
      </w:r>
      <w:r w:rsidR="00C0639B" w:rsidRPr="00D50036">
        <w:rPr>
          <w:lang w:eastAsia="pl-PL"/>
        </w:rPr>
        <w:t xml:space="preserve"> oraz</w:t>
      </w:r>
      <w:r w:rsidR="000E20A1" w:rsidRPr="00D50036">
        <w:rPr>
          <w:lang w:eastAsia="pl-PL"/>
        </w:rPr>
        <w:t xml:space="preserve"> proce</w:t>
      </w:r>
      <w:r w:rsidR="00C0639B" w:rsidRPr="00D50036">
        <w:rPr>
          <w:lang w:eastAsia="pl-PL"/>
        </w:rPr>
        <w:t>s</w:t>
      </w:r>
      <w:r w:rsidR="000E20A1" w:rsidRPr="00D50036">
        <w:rPr>
          <w:lang w:eastAsia="pl-PL"/>
        </w:rPr>
        <w:t xml:space="preserve"> formułowania </w:t>
      </w:r>
      <w:r w:rsidR="0079395A" w:rsidRPr="00D50036">
        <w:rPr>
          <w:lang w:eastAsia="pl-PL"/>
        </w:rPr>
        <w:t xml:space="preserve">zapisów </w:t>
      </w:r>
      <w:r w:rsidR="002E4950" w:rsidRPr="00D50036">
        <w:rPr>
          <w:lang w:eastAsia="pl-PL"/>
        </w:rPr>
        <w:t xml:space="preserve">w nowej propozycji analizy SWOT przebiegały </w:t>
      </w:r>
      <w:r w:rsidR="00D50036" w:rsidRPr="00D50036">
        <w:rPr>
          <w:lang w:eastAsia="pl-PL"/>
        </w:rPr>
        <w:t>zgodnie z założeniem triangulacji metod badawczych oraz źródeł informacji. Uwzględniono zatem</w:t>
      </w:r>
      <w:r w:rsidR="002E4950" w:rsidRPr="00D50036">
        <w:rPr>
          <w:lang w:eastAsia="pl-PL"/>
        </w:rPr>
        <w:t>:</w:t>
      </w:r>
    </w:p>
    <w:p w14:paraId="721C087C" w14:textId="6A6AB53F" w:rsidR="00F32704" w:rsidRPr="00D50036" w:rsidRDefault="00481D6D" w:rsidP="00E96968">
      <w:pPr>
        <w:pStyle w:val="Akapitzlist"/>
        <w:numPr>
          <w:ilvl w:val="0"/>
          <w:numId w:val="59"/>
        </w:numPr>
        <w:ind w:left="426"/>
        <w:rPr>
          <w:lang w:eastAsia="pl-PL"/>
        </w:rPr>
      </w:pPr>
      <w:r w:rsidRPr="00D50036">
        <w:rPr>
          <w:lang w:eastAsia="pl-PL"/>
        </w:rPr>
        <w:lastRenderedPageBreak/>
        <w:t>a</w:t>
      </w:r>
      <w:r w:rsidR="00626DB5" w:rsidRPr="00D50036">
        <w:rPr>
          <w:lang w:eastAsia="pl-PL"/>
        </w:rPr>
        <w:t xml:space="preserve">nalizę </w:t>
      </w:r>
      <w:r w:rsidR="00F32704" w:rsidRPr="00D50036">
        <w:rPr>
          <w:lang w:eastAsia="pl-PL"/>
        </w:rPr>
        <w:t>desk research</w:t>
      </w:r>
      <w:r w:rsidR="00626DB5" w:rsidRPr="00D50036">
        <w:rPr>
          <w:lang w:eastAsia="pl-PL"/>
        </w:rPr>
        <w:t xml:space="preserve"> </w:t>
      </w:r>
      <w:r w:rsidR="00F32704" w:rsidRPr="00D50036">
        <w:rPr>
          <w:lang w:eastAsia="pl-PL"/>
        </w:rPr>
        <w:t xml:space="preserve"> (analiza literatury przedmiotu</w:t>
      </w:r>
      <w:r w:rsidR="003B1716" w:rsidRPr="00D50036">
        <w:rPr>
          <w:lang w:eastAsia="pl-PL"/>
        </w:rPr>
        <w:t xml:space="preserve">, dostępnych opracowań, wyników </w:t>
      </w:r>
      <w:r w:rsidR="00EB33B4" w:rsidRPr="00D50036">
        <w:rPr>
          <w:lang w:eastAsia="pl-PL"/>
        </w:rPr>
        <w:t xml:space="preserve">przeprowadzonych </w:t>
      </w:r>
      <w:r w:rsidR="003B1716" w:rsidRPr="00D50036">
        <w:rPr>
          <w:lang w:eastAsia="pl-PL"/>
        </w:rPr>
        <w:t>dotychczas</w:t>
      </w:r>
      <w:r w:rsidR="00EB33B4" w:rsidRPr="00D50036">
        <w:rPr>
          <w:lang w:eastAsia="pl-PL"/>
        </w:rPr>
        <w:t xml:space="preserve"> </w:t>
      </w:r>
      <w:r w:rsidR="003B1716" w:rsidRPr="00D50036">
        <w:rPr>
          <w:lang w:eastAsia="pl-PL"/>
        </w:rPr>
        <w:t>badań</w:t>
      </w:r>
      <w:r w:rsidR="00F32704" w:rsidRPr="00D50036">
        <w:rPr>
          <w:lang w:eastAsia="pl-PL"/>
        </w:rPr>
        <w:t>);</w:t>
      </w:r>
    </w:p>
    <w:p w14:paraId="4320A64A" w14:textId="5111B595" w:rsidR="00F32704" w:rsidRPr="00D50036" w:rsidRDefault="00F32704" w:rsidP="00E96968">
      <w:pPr>
        <w:pStyle w:val="Akapitzlist"/>
        <w:numPr>
          <w:ilvl w:val="0"/>
          <w:numId w:val="59"/>
        </w:numPr>
        <w:ind w:left="426"/>
        <w:rPr>
          <w:lang w:eastAsia="pl-PL"/>
        </w:rPr>
      </w:pPr>
      <w:r w:rsidRPr="00D50036">
        <w:rPr>
          <w:lang w:eastAsia="pl-PL"/>
        </w:rPr>
        <w:t>analizę danych statystycznych</w:t>
      </w:r>
      <w:r w:rsidR="003B1716" w:rsidRPr="00D50036">
        <w:rPr>
          <w:lang w:eastAsia="pl-PL"/>
        </w:rPr>
        <w:t xml:space="preserve"> (danych z BDL GUS)</w:t>
      </w:r>
      <w:r w:rsidRPr="00D50036">
        <w:rPr>
          <w:lang w:eastAsia="pl-PL"/>
        </w:rPr>
        <w:t>,</w:t>
      </w:r>
    </w:p>
    <w:p w14:paraId="13334977" w14:textId="485FA6AA" w:rsidR="00F32704" w:rsidRPr="00D50036" w:rsidRDefault="00481D6D" w:rsidP="00E96968">
      <w:pPr>
        <w:pStyle w:val="Akapitzlist"/>
        <w:numPr>
          <w:ilvl w:val="0"/>
          <w:numId w:val="59"/>
        </w:numPr>
        <w:ind w:left="426"/>
        <w:rPr>
          <w:lang w:eastAsia="pl-PL"/>
        </w:rPr>
      </w:pPr>
      <w:r w:rsidRPr="00D50036">
        <w:rPr>
          <w:lang w:eastAsia="pl-PL"/>
        </w:rPr>
        <w:t>w</w:t>
      </w:r>
      <w:r w:rsidR="00A7758C" w:rsidRPr="00D50036">
        <w:rPr>
          <w:lang w:eastAsia="pl-PL"/>
        </w:rPr>
        <w:t xml:space="preserve">ywiady pogłębione </w:t>
      </w:r>
      <w:r w:rsidR="002E0D71" w:rsidRPr="00D50036">
        <w:rPr>
          <w:lang w:eastAsia="pl-PL"/>
        </w:rPr>
        <w:t>z ekspertami</w:t>
      </w:r>
      <w:r w:rsidR="00F32704" w:rsidRPr="00D50036">
        <w:rPr>
          <w:lang w:eastAsia="pl-PL"/>
        </w:rPr>
        <w:t>,</w:t>
      </w:r>
      <w:r w:rsidR="002E0D71" w:rsidRPr="00D50036">
        <w:rPr>
          <w:lang w:eastAsia="pl-PL"/>
        </w:rPr>
        <w:t xml:space="preserve"> </w:t>
      </w:r>
    </w:p>
    <w:p w14:paraId="26FA325B" w14:textId="5F1D8549" w:rsidR="00C85C41" w:rsidRPr="00D50036" w:rsidRDefault="00F32704" w:rsidP="00E96968">
      <w:pPr>
        <w:pStyle w:val="Akapitzlist"/>
        <w:numPr>
          <w:ilvl w:val="0"/>
          <w:numId w:val="59"/>
        </w:numPr>
        <w:ind w:left="426"/>
        <w:rPr>
          <w:lang w:eastAsia="pl-PL"/>
        </w:rPr>
      </w:pPr>
      <w:r w:rsidRPr="00D50036">
        <w:rPr>
          <w:lang w:eastAsia="pl-PL"/>
        </w:rPr>
        <w:t>wywiady pogłębione z przedstawicielami Urzędu Marszałkowskiego Województwa Wielkopolskiego</w:t>
      </w:r>
      <w:r w:rsidR="00D50036" w:rsidRPr="00D50036">
        <w:rPr>
          <w:lang w:eastAsia="pl-PL"/>
        </w:rPr>
        <w:t>.</w:t>
      </w:r>
    </w:p>
    <w:p w14:paraId="0C1F0D4C" w14:textId="75FB7CED" w:rsidR="00323BF7" w:rsidRPr="00D50036" w:rsidRDefault="005D6772" w:rsidP="00323BF7">
      <w:pPr>
        <w:rPr>
          <w:lang w:eastAsia="pl-PL"/>
        </w:rPr>
      </w:pPr>
      <w:r w:rsidRPr="00D50036">
        <w:rPr>
          <w:lang w:eastAsia="pl-PL"/>
        </w:rPr>
        <w:t>Ostatecznie,</w:t>
      </w:r>
      <w:r w:rsidR="005E5BD0" w:rsidRPr="00D50036">
        <w:rPr>
          <w:lang w:eastAsia="pl-PL"/>
        </w:rPr>
        <w:t xml:space="preserve"> wszystkie</w:t>
      </w:r>
      <w:r w:rsidRPr="00D50036">
        <w:rPr>
          <w:lang w:eastAsia="pl-PL"/>
        </w:rPr>
        <w:t xml:space="preserve"> informacje uzyskane </w:t>
      </w:r>
      <w:r w:rsidR="00454B00" w:rsidRPr="00D50036">
        <w:rPr>
          <w:lang w:eastAsia="pl-PL"/>
        </w:rPr>
        <w:t>w</w:t>
      </w:r>
      <w:r w:rsidR="000F3C74" w:rsidRPr="00D50036">
        <w:rPr>
          <w:lang w:eastAsia="pl-PL"/>
        </w:rPr>
        <w:t xml:space="preserve"> ramach w</w:t>
      </w:r>
      <w:r w:rsidR="00870E0B" w:rsidRPr="00D50036">
        <w:rPr>
          <w:lang w:eastAsia="pl-PL"/>
        </w:rPr>
        <w:t>yróżnionych</w:t>
      </w:r>
      <w:r w:rsidR="000F3C74" w:rsidRPr="00D50036">
        <w:rPr>
          <w:lang w:eastAsia="pl-PL"/>
        </w:rPr>
        <w:t xml:space="preserve"> metod</w:t>
      </w:r>
      <w:r w:rsidR="002D1470" w:rsidRPr="00D50036">
        <w:rPr>
          <w:lang w:eastAsia="pl-PL"/>
        </w:rPr>
        <w:t xml:space="preserve"> zostały poddane analizie </w:t>
      </w:r>
      <w:r w:rsidR="00950C14" w:rsidRPr="00D50036">
        <w:rPr>
          <w:lang w:eastAsia="pl-PL"/>
        </w:rPr>
        <w:t xml:space="preserve">wewnętrznej </w:t>
      </w:r>
      <w:r w:rsidR="002D1470" w:rsidRPr="00D50036">
        <w:rPr>
          <w:lang w:eastAsia="pl-PL"/>
        </w:rPr>
        <w:t xml:space="preserve">zespołu eksperckiego </w:t>
      </w:r>
      <w:r w:rsidR="00121CA5" w:rsidRPr="00D50036">
        <w:rPr>
          <w:lang w:eastAsia="pl-PL"/>
        </w:rPr>
        <w:t>Geoprofit</w:t>
      </w:r>
      <w:r w:rsidR="002D1470" w:rsidRPr="00D50036">
        <w:rPr>
          <w:lang w:eastAsia="pl-PL"/>
        </w:rPr>
        <w:t>.</w:t>
      </w:r>
      <w:r w:rsidR="00DE20C1" w:rsidRPr="00D50036">
        <w:rPr>
          <w:lang w:eastAsia="pl-PL"/>
        </w:rPr>
        <w:t xml:space="preserve"> P</w:t>
      </w:r>
      <w:r w:rsidR="003B3D13" w:rsidRPr="00D50036">
        <w:rPr>
          <w:lang w:eastAsia="pl-PL"/>
        </w:rPr>
        <w:t xml:space="preserve">rzedstawione </w:t>
      </w:r>
      <w:r w:rsidR="00DE20C1" w:rsidRPr="00D50036">
        <w:rPr>
          <w:lang w:eastAsia="pl-PL"/>
        </w:rPr>
        <w:t xml:space="preserve">w raporcie </w:t>
      </w:r>
      <w:r w:rsidR="003B3D13" w:rsidRPr="00D50036">
        <w:rPr>
          <w:lang w:eastAsia="pl-PL"/>
        </w:rPr>
        <w:t xml:space="preserve">rozwiązania w zakresie modyfikacji dotychczasowej analizy SWOT stanowią </w:t>
      </w:r>
      <w:r w:rsidR="00DE20C1" w:rsidRPr="00D50036">
        <w:rPr>
          <w:lang w:eastAsia="pl-PL"/>
        </w:rPr>
        <w:t xml:space="preserve">w związku z tym </w:t>
      </w:r>
      <w:r w:rsidR="00D50036" w:rsidRPr="00D50036">
        <w:rPr>
          <w:lang w:eastAsia="pl-PL"/>
        </w:rPr>
        <w:t xml:space="preserve">autorską </w:t>
      </w:r>
      <w:r w:rsidR="006338DE" w:rsidRPr="00D50036">
        <w:rPr>
          <w:lang w:eastAsia="pl-PL"/>
        </w:rPr>
        <w:t xml:space="preserve">propozycję </w:t>
      </w:r>
      <w:r w:rsidR="00121CA5" w:rsidRPr="00D50036">
        <w:rPr>
          <w:lang w:eastAsia="pl-PL"/>
        </w:rPr>
        <w:t>ewaluaotorów</w:t>
      </w:r>
      <w:r w:rsidR="00D50036" w:rsidRPr="00D50036">
        <w:rPr>
          <w:lang w:eastAsia="pl-PL"/>
        </w:rPr>
        <w:t xml:space="preserve"> opartą o pozyskane i przetworzone informacje</w:t>
      </w:r>
      <w:r w:rsidR="002D39EC" w:rsidRPr="00D50036">
        <w:rPr>
          <w:lang w:eastAsia="pl-PL"/>
        </w:rPr>
        <w:t>.</w:t>
      </w:r>
    </w:p>
    <w:p w14:paraId="7B49F8B3" w14:textId="77777777" w:rsidR="00133694" w:rsidRPr="002477F4" w:rsidRDefault="00133694" w:rsidP="00133694">
      <w:pPr>
        <w:pStyle w:val="Nagwek3"/>
      </w:pPr>
      <w:bookmarkStart w:id="50" w:name="_Toc5699449"/>
      <w:r>
        <w:t>Weryfikacja dotychczasowych zapisów analizy SWOT</w:t>
      </w:r>
      <w:bookmarkEnd w:id="50"/>
    </w:p>
    <w:p w14:paraId="5FD6DDAB" w14:textId="77777777" w:rsidR="002477F4" w:rsidRPr="002477F4" w:rsidRDefault="002477F4" w:rsidP="00BF08D5">
      <w:pPr>
        <w:ind w:left="4536"/>
        <w:jc w:val="left"/>
        <w:rPr>
          <w:b/>
          <w:i/>
          <w:color w:val="001E50"/>
        </w:rPr>
      </w:pPr>
      <w:r w:rsidRPr="002477F4">
        <w:rPr>
          <w:b/>
          <w:i/>
          <w:color w:val="001E50"/>
        </w:rPr>
        <w:t>Si</w:t>
      </w:r>
      <w:r w:rsidRPr="00CD4FD1">
        <w:rPr>
          <w:b/>
          <w:i/>
          <w:color w:val="001E50"/>
        </w:rPr>
        <w:t>ede</w:t>
      </w:r>
      <w:r w:rsidRPr="002477F4">
        <w:rPr>
          <w:b/>
          <w:i/>
          <w:color w:val="001E50"/>
        </w:rPr>
        <w:t>m lat po uchwaleniu Strategii możemy dokonać weryfikacji naszych potencjałów</w:t>
      </w:r>
    </w:p>
    <w:p w14:paraId="5102BFAA" w14:textId="0C5BED60" w:rsidR="002477F4" w:rsidRDefault="002477F4" w:rsidP="002477F4">
      <w:pPr>
        <w:rPr>
          <w:lang w:eastAsia="pl-PL"/>
        </w:rPr>
      </w:pPr>
      <w:r>
        <w:t xml:space="preserve">Jednym ze wstępnych założeń leżących u podstaw modyfikacji analizy SWOT było </w:t>
      </w:r>
      <w:r w:rsidRPr="00667EC9">
        <w:rPr>
          <w:b/>
        </w:rPr>
        <w:t>ograniczenie jej obszerności</w:t>
      </w:r>
      <w:r>
        <w:t xml:space="preserve">. Analiza SWOT w SRWW 2020 zawiera łącznie </w:t>
      </w:r>
      <w:r w:rsidRPr="00F56C0A">
        <w:rPr>
          <w:b/>
          <w:lang w:eastAsia="pl-PL"/>
        </w:rPr>
        <w:t>198 elementów</w:t>
      </w:r>
      <w:r w:rsidRPr="00F56C0A">
        <w:rPr>
          <w:lang w:eastAsia="pl-PL"/>
        </w:rPr>
        <w:t xml:space="preserve">, w tym: 49 silnych stron (S), 69 słabych stron (W), 44 szanse (O) oraz 36 zagrożeń (T). </w:t>
      </w:r>
      <w:r>
        <w:rPr>
          <w:lang w:eastAsia="pl-PL"/>
        </w:rPr>
        <w:t>Wprawdzie A</w:t>
      </w:r>
      <w:r w:rsidRPr="00F56C0A">
        <w:rPr>
          <w:lang w:eastAsia="pl-PL"/>
        </w:rPr>
        <w:t xml:space="preserve">utorzy Strategii zaznaczają, że </w:t>
      </w:r>
      <w:r w:rsidR="004D2591">
        <w:rPr>
          <w:lang w:eastAsia="pl-PL"/>
        </w:rPr>
        <w:t>(s. 49)</w:t>
      </w:r>
      <w:r w:rsidRPr="00F56C0A">
        <w:rPr>
          <w:lang w:eastAsia="pl-PL"/>
        </w:rPr>
        <w:t xml:space="preserve"> </w:t>
      </w:r>
      <w:r w:rsidRPr="00F56C0A">
        <w:rPr>
          <w:i/>
          <w:lang w:eastAsia="pl-PL"/>
        </w:rPr>
        <w:t>(…) ograniczono liczbę elementów poszczególnych pól tabeli SWOT do najważniejszych, co oznacza, iż nie identyfikowano na przykład wszystkich mocnych stron, lecz tylko te o znaczeniu strategicznym</w:t>
      </w:r>
      <w:r>
        <w:rPr>
          <w:lang w:eastAsia="pl-PL"/>
        </w:rPr>
        <w:t>, j</w:t>
      </w:r>
      <w:r w:rsidRPr="00F56C0A">
        <w:rPr>
          <w:lang w:eastAsia="pl-PL"/>
        </w:rPr>
        <w:t xml:space="preserve">ednak na tle analiz SWOT w strategiach rozwojowych innych województw należy ocenić ją jako </w:t>
      </w:r>
      <w:r w:rsidRPr="00F56C0A">
        <w:rPr>
          <w:b/>
          <w:lang w:eastAsia="pl-PL"/>
        </w:rPr>
        <w:t xml:space="preserve">bardzo </w:t>
      </w:r>
      <w:r>
        <w:rPr>
          <w:b/>
          <w:lang w:eastAsia="pl-PL"/>
        </w:rPr>
        <w:t>rozbudowaną</w:t>
      </w:r>
      <w:r w:rsidRPr="00F56C0A">
        <w:rPr>
          <w:lang w:eastAsia="pl-PL"/>
        </w:rPr>
        <w:t xml:space="preserve"> (</w:t>
      </w:r>
      <w:r w:rsidRPr="5C641505">
        <w:fldChar w:fldCharType="begin"/>
      </w:r>
      <w:r w:rsidRPr="00F56C0A">
        <w:rPr>
          <w:lang w:eastAsia="pl-PL"/>
        </w:rPr>
        <w:instrText xml:space="preserve"> REF _Ref526056656 \h </w:instrText>
      </w:r>
      <w:r w:rsidRPr="5C641505">
        <w:rPr>
          <w:lang w:eastAsia="pl-PL"/>
        </w:rPr>
        <w:fldChar w:fldCharType="separate"/>
      </w:r>
      <w:r w:rsidR="007F4FA2">
        <w:t xml:space="preserve">Wykres </w:t>
      </w:r>
      <w:r w:rsidR="007F4FA2">
        <w:rPr>
          <w:noProof/>
        </w:rPr>
        <w:t>1</w:t>
      </w:r>
      <w:r w:rsidRPr="5C641505">
        <w:fldChar w:fldCharType="end"/>
      </w:r>
      <w:r w:rsidRPr="00F56C0A">
        <w:rPr>
          <w:lang w:eastAsia="pl-PL"/>
        </w:rPr>
        <w:t>).</w:t>
      </w:r>
    </w:p>
    <w:p w14:paraId="717FAEBA" w14:textId="5640FA90" w:rsidR="002477F4" w:rsidRDefault="002477F4" w:rsidP="002477F4">
      <w:pPr>
        <w:pStyle w:val="Legenda"/>
        <w:keepNext/>
        <w:jc w:val="left"/>
      </w:pPr>
      <w:bookmarkStart w:id="51" w:name="_Ref526056656"/>
      <w:bookmarkStart w:id="52" w:name="_Toc530735763"/>
      <w:bookmarkStart w:id="53" w:name="_Toc5699512"/>
      <w:r>
        <w:t xml:space="preserve">Wykres </w:t>
      </w:r>
      <w:r w:rsidRPr="69901DB0">
        <w:fldChar w:fldCharType="begin"/>
      </w:r>
      <w:r>
        <w:rPr>
          <w:noProof/>
        </w:rPr>
        <w:instrText xml:space="preserve"> SEQ Wykres \* ARABIC </w:instrText>
      </w:r>
      <w:r w:rsidRPr="69901DB0">
        <w:rPr>
          <w:noProof/>
        </w:rPr>
        <w:fldChar w:fldCharType="separate"/>
      </w:r>
      <w:r w:rsidR="007F4FA2">
        <w:rPr>
          <w:noProof/>
        </w:rPr>
        <w:t>1</w:t>
      </w:r>
      <w:r w:rsidRPr="69901DB0">
        <w:fldChar w:fldCharType="end"/>
      </w:r>
      <w:bookmarkEnd w:id="51"/>
      <w:r>
        <w:t>. Przegląd analiz SWOT w strategiach rozwoju województw Polski*</w:t>
      </w:r>
      <w:bookmarkEnd w:id="52"/>
      <w:bookmarkEnd w:id="53"/>
    </w:p>
    <w:p w14:paraId="15D944A6" w14:textId="4B2B6214" w:rsidR="00D426E8" w:rsidRPr="00D426E8" w:rsidRDefault="00D426E8" w:rsidP="00D426E8">
      <w:pPr>
        <w:rPr>
          <w:lang w:eastAsia="pl-PL"/>
        </w:rPr>
      </w:pPr>
      <w:r w:rsidRPr="00182746">
        <w:rPr>
          <w:noProof/>
          <w:lang w:eastAsia="pl-PL"/>
        </w:rPr>
        <w:drawing>
          <wp:inline distT="0" distB="0" distL="0" distR="0" wp14:anchorId="5A5E87EF" wp14:editId="7791C086">
            <wp:extent cx="4526280" cy="2392680"/>
            <wp:effectExtent l="0" t="0" r="0" b="0"/>
            <wp:docPr id="1410683486" name="Wykres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B2F718F" w14:textId="77777777" w:rsidR="002477F4" w:rsidRPr="0010641E" w:rsidRDefault="002477F4" w:rsidP="002477F4">
      <w:pPr>
        <w:pStyle w:val="Akapitzlist"/>
        <w:numPr>
          <w:ilvl w:val="0"/>
          <w:numId w:val="9"/>
        </w:numPr>
        <w:spacing w:after="160" w:line="259" w:lineRule="auto"/>
        <w:jc w:val="left"/>
        <w:rPr>
          <w:sz w:val="16"/>
          <w:szCs w:val="16"/>
          <w:lang w:eastAsia="pl-PL"/>
        </w:rPr>
      </w:pPr>
      <w:r>
        <w:rPr>
          <w:sz w:val="16"/>
          <w:szCs w:val="16"/>
          <w:lang w:eastAsia="pl-PL"/>
        </w:rPr>
        <w:t>A</w:t>
      </w:r>
      <w:r w:rsidRPr="0010641E">
        <w:rPr>
          <w:sz w:val="16"/>
          <w:szCs w:val="16"/>
          <w:lang w:eastAsia="pl-PL"/>
        </w:rPr>
        <w:t>naliza nie uwzględnia województwa małopolskiego, które w swoim dokumencie nie zaw</w:t>
      </w:r>
      <w:r>
        <w:rPr>
          <w:sz w:val="16"/>
          <w:szCs w:val="16"/>
          <w:lang w:eastAsia="pl-PL"/>
        </w:rPr>
        <w:t xml:space="preserve">arło </w:t>
      </w:r>
      <w:r w:rsidRPr="0010641E">
        <w:rPr>
          <w:sz w:val="16"/>
          <w:szCs w:val="16"/>
          <w:lang w:eastAsia="pl-PL"/>
        </w:rPr>
        <w:t>analizy SWOT</w:t>
      </w:r>
      <w:r>
        <w:rPr>
          <w:sz w:val="16"/>
          <w:szCs w:val="16"/>
          <w:lang w:eastAsia="pl-PL"/>
        </w:rPr>
        <w:t>.</w:t>
      </w:r>
    </w:p>
    <w:p w14:paraId="26244F2C" w14:textId="77777777" w:rsidR="002477F4" w:rsidRPr="0010641E" w:rsidRDefault="002477F4" w:rsidP="002477F4">
      <w:pPr>
        <w:pStyle w:val="Akapitzlist"/>
        <w:numPr>
          <w:ilvl w:val="0"/>
          <w:numId w:val="9"/>
        </w:numPr>
        <w:spacing w:after="160" w:line="259" w:lineRule="auto"/>
        <w:jc w:val="left"/>
        <w:rPr>
          <w:sz w:val="16"/>
          <w:szCs w:val="16"/>
          <w:lang w:eastAsia="pl-PL"/>
        </w:rPr>
      </w:pPr>
      <w:r>
        <w:rPr>
          <w:sz w:val="16"/>
          <w:szCs w:val="16"/>
          <w:lang w:eastAsia="pl-PL"/>
        </w:rPr>
        <w:t>W</w:t>
      </w:r>
      <w:r w:rsidRPr="0010641E">
        <w:rPr>
          <w:sz w:val="16"/>
          <w:szCs w:val="16"/>
          <w:lang w:eastAsia="pl-PL"/>
        </w:rPr>
        <w:t>ojewództwo mazowieckie w swoim dokumencie ma zarówno analizę SWOT w obszarach tematycznych (183 elementy), jak i syntezę tej analizy (bez podziału na obszary). Na wykresie uwzględniono syntezę analizy.</w:t>
      </w:r>
    </w:p>
    <w:p w14:paraId="59FE04C1" w14:textId="77777777" w:rsidR="002477F4" w:rsidRPr="00035858" w:rsidRDefault="002477F4" w:rsidP="002477F4">
      <w:pPr>
        <w:pStyle w:val="Akapitzlist"/>
        <w:numPr>
          <w:ilvl w:val="0"/>
          <w:numId w:val="9"/>
        </w:numPr>
        <w:spacing w:after="160" w:line="259" w:lineRule="auto"/>
        <w:jc w:val="left"/>
        <w:rPr>
          <w:sz w:val="18"/>
          <w:szCs w:val="18"/>
          <w:lang w:eastAsia="pl-PL"/>
        </w:rPr>
      </w:pPr>
      <w:r w:rsidRPr="00D94742">
        <w:rPr>
          <w:sz w:val="16"/>
          <w:szCs w:val="16"/>
          <w:lang w:eastAsia="pl-PL"/>
        </w:rPr>
        <w:t xml:space="preserve">Wielkimi literami oznaczono województwa, których analizy SWOT wykonane są z podziałem na obszary tematyczne. </w:t>
      </w:r>
    </w:p>
    <w:p w14:paraId="01093BAE" w14:textId="430020F3" w:rsidR="002477F4" w:rsidRPr="00960169" w:rsidRDefault="002477F4" w:rsidP="002477F4">
      <w:pPr>
        <w:pStyle w:val="Akapitzlist"/>
        <w:numPr>
          <w:ilvl w:val="0"/>
          <w:numId w:val="9"/>
        </w:numPr>
        <w:spacing w:after="160" w:line="259" w:lineRule="auto"/>
        <w:jc w:val="left"/>
        <w:rPr>
          <w:sz w:val="16"/>
          <w:szCs w:val="16"/>
          <w:lang w:eastAsia="pl-PL"/>
        </w:rPr>
      </w:pPr>
      <w:r>
        <w:rPr>
          <w:sz w:val="16"/>
          <w:szCs w:val="16"/>
          <w:lang w:eastAsia="pl-PL"/>
        </w:rPr>
        <w:t>Dla porównywalności wyników a</w:t>
      </w:r>
      <w:r w:rsidRPr="00960169">
        <w:rPr>
          <w:sz w:val="16"/>
          <w:szCs w:val="16"/>
          <w:lang w:eastAsia="pl-PL"/>
        </w:rPr>
        <w:t xml:space="preserve">naliza obejmuje </w:t>
      </w:r>
      <w:r>
        <w:rPr>
          <w:sz w:val="16"/>
          <w:szCs w:val="16"/>
          <w:lang w:eastAsia="pl-PL"/>
        </w:rPr>
        <w:t>strategie rozwoju województw powstałe w latach 2010-2014. W 2018 roku został</w:t>
      </w:r>
      <w:r w:rsidR="00C24D4F">
        <w:rPr>
          <w:sz w:val="16"/>
          <w:szCs w:val="16"/>
          <w:lang w:eastAsia="pl-PL"/>
        </w:rPr>
        <w:t>a</w:t>
      </w:r>
      <w:r>
        <w:rPr>
          <w:sz w:val="16"/>
          <w:szCs w:val="16"/>
          <w:lang w:eastAsia="pl-PL"/>
        </w:rPr>
        <w:t xml:space="preserve"> uchwalon</w:t>
      </w:r>
      <w:r w:rsidR="00C24D4F">
        <w:rPr>
          <w:sz w:val="16"/>
          <w:szCs w:val="16"/>
          <w:lang w:eastAsia="pl-PL"/>
        </w:rPr>
        <w:t>a</w:t>
      </w:r>
      <w:r>
        <w:rPr>
          <w:sz w:val="16"/>
          <w:szCs w:val="16"/>
          <w:lang w:eastAsia="pl-PL"/>
        </w:rPr>
        <w:t xml:space="preserve"> </w:t>
      </w:r>
      <w:r w:rsidR="00C24D4F">
        <w:rPr>
          <w:sz w:val="16"/>
          <w:szCs w:val="16"/>
          <w:lang w:eastAsia="pl-PL"/>
        </w:rPr>
        <w:t>S</w:t>
      </w:r>
      <w:r>
        <w:rPr>
          <w:sz w:val="16"/>
          <w:szCs w:val="16"/>
          <w:lang w:eastAsia="pl-PL"/>
        </w:rPr>
        <w:t>trategi</w:t>
      </w:r>
      <w:r w:rsidR="00C24D4F">
        <w:rPr>
          <w:sz w:val="16"/>
          <w:szCs w:val="16"/>
          <w:lang w:eastAsia="pl-PL"/>
        </w:rPr>
        <w:t>a</w:t>
      </w:r>
      <w:r>
        <w:rPr>
          <w:sz w:val="16"/>
          <w:szCs w:val="16"/>
          <w:lang w:eastAsia="pl-PL"/>
        </w:rPr>
        <w:t xml:space="preserve"> województw</w:t>
      </w:r>
      <w:r w:rsidR="00C24D4F">
        <w:rPr>
          <w:sz w:val="16"/>
          <w:szCs w:val="16"/>
          <w:lang w:eastAsia="pl-PL"/>
        </w:rPr>
        <w:t>a</w:t>
      </w:r>
      <w:r>
        <w:rPr>
          <w:sz w:val="16"/>
          <w:szCs w:val="16"/>
          <w:lang w:eastAsia="pl-PL"/>
        </w:rPr>
        <w:t xml:space="preserve"> dolnośląskiego</w:t>
      </w:r>
      <w:r w:rsidR="00C24D4F">
        <w:rPr>
          <w:sz w:val="16"/>
          <w:szCs w:val="16"/>
          <w:lang w:eastAsia="pl-PL"/>
        </w:rPr>
        <w:t xml:space="preserve">, zaś projekt Strategii województwa </w:t>
      </w:r>
      <w:r>
        <w:rPr>
          <w:sz w:val="16"/>
          <w:szCs w:val="16"/>
          <w:lang w:eastAsia="pl-PL"/>
        </w:rPr>
        <w:t>zachodniopomorskiego</w:t>
      </w:r>
      <w:r w:rsidR="00C24D4F">
        <w:rPr>
          <w:sz w:val="16"/>
          <w:szCs w:val="16"/>
          <w:lang w:eastAsia="pl-PL"/>
        </w:rPr>
        <w:t xml:space="preserve"> poddana została ewaluacji ex-ante</w:t>
      </w:r>
      <w:r>
        <w:rPr>
          <w:sz w:val="16"/>
          <w:szCs w:val="16"/>
          <w:lang w:eastAsia="pl-PL"/>
        </w:rPr>
        <w:t>. Zawierają one odpowiednio: 127 elementów (w 5 obszarach tematycznych) oraz 52 elementy (bez podziału tematycznego).</w:t>
      </w:r>
    </w:p>
    <w:p w14:paraId="5A433456" w14:textId="77777777" w:rsidR="002477F4" w:rsidRPr="00F56C0A" w:rsidRDefault="002477F4" w:rsidP="002477F4">
      <w:pPr>
        <w:rPr>
          <w:sz w:val="16"/>
          <w:szCs w:val="16"/>
          <w:lang w:eastAsia="pl-PL"/>
        </w:rPr>
      </w:pPr>
      <w:r w:rsidRPr="00F56C0A">
        <w:rPr>
          <w:sz w:val="16"/>
          <w:szCs w:val="16"/>
          <w:lang w:eastAsia="pl-PL"/>
        </w:rPr>
        <w:t>Źródło: opracowanie własne na podstawie dokumentów strategicznych województw.</w:t>
      </w:r>
    </w:p>
    <w:p w14:paraId="5F3BB4F0" w14:textId="77777777" w:rsidR="002477F4" w:rsidRPr="000F3F30" w:rsidRDefault="002477F4" w:rsidP="00BF08D5">
      <w:pPr>
        <w:ind w:left="4536"/>
        <w:jc w:val="left"/>
        <w:rPr>
          <w:b/>
          <w:i/>
          <w:color w:val="001E50"/>
        </w:rPr>
      </w:pPr>
      <w:r w:rsidRPr="002477F4">
        <w:rPr>
          <w:b/>
          <w:i/>
          <w:color w:val="001E50"/>
        </w:rPr>
        <w:lastRenderedPageBreak/>
        <w:t xml:space="preserve">Choć analiza SWOT jest powszechnie znaną metodą, to tylko </w:t>
      </w:r>
      <w:r w:rsidR="000F3F30">
        <w:rPr>
          <w:b/>
          <w:i/>
          <w:color w:val="001E50"/>
        </w:rPr>
        <w:t>pozornie wydaje się być prosta</w:t>
      </w:r>
      <w:r w:rsidRPr="000F3F30">
        <w:rPr>
          <w:b/>
          <w:i/>
          <w:color w:val="001E50"/>
        </w:rPr>
        <w:t xml:space="preserve"> </w:t>
      </w:r>
    </w:p>
    <w:p w14:paraId="10993D7F" w14:textId="4696C46D" w:rsidR="002477F4" w:rsidRDefault="002477F4" w:rsidP="002477F4">
      <w:pPr>
        <w:rPr>
          <w:lang w:eastAsia="pl-PL"/>
        </w:rPr>
      </w:pPr>
      <w:r>
        <w:rPr>
          <w:lang w:eastAsia="pl-PL"/>
        </w:rPr>
        <w:t>Choć analiza SWOT jako technika analizy strategicznej jest powszechnie wykorzystywana przy opracowywaniu strategii rozwojowych, to metodyka jej tworzenia przysparza pewnych trudności. Autorzy SRWW 2020 wskazują na istnienie różnych standardów, a przede wszystkim praktyk w zakresie jej tworzenia i podkreślają, jak istotne jest dla ułatwienia dyskusji i interpretacji wyników przyjęcie jednoznacznych założeń metodycznych. Dlatego na wstępie przedstawi</w:t>
      </w:r>
      <w:r w:rsidR="00133694">
        <w:rPr>
          <w:lang w:eastAsia="pl-PL"/>
        </w:rPr>
        <w:t>ono</w:t>
      </w:r>
      <w:r>
        <w:rPr>
          <w:lang w:eastAsia="pl-PL"/>
        </w:rPr>
        <w:t xml:space="preserve"> kluczowe założenia stosowanej metodyki (</w:t>
      </w:r>
      <w:r>
        <w:rPr>
          <w:lang w:eastAsia="pl-PL"/>
        </w:rPr>
        <w:fldChar w:fldCharType="begin"/>
      </w:r>
      <w:r>
        <w:rPr>
          <w:lang w:eastAsia="pl-PL"/>
        </w:rPr>
        <w:instrText xml:space="preserve"> REF _Ref2022118 \h </w:instrText>
      </w:r>
      <w:r>
        <w:rPr>
          <w:lang w:eastAsia="pl-PL"/>
        </w:rPr>
      </w:r>
      <w:r>
        <w:rPr>
          <w:lang w:eastAsia="pl-PL"/>
        </w:rPr>
        <w:fldChar w:fldCharType="separate"/>
      </w:r>
      <w:r w:rsidR="007F4FA2">
        <w:t xml:space="preserve">Tabela </w:t>
      </w:r>
      <w:r w:rsidR="007F4FA2">
        <w:rPr>
          <w:noProof/>
        </w:rPr>
        <w:t>4</w:t>
      </w:r>
      <w:r>
        <w:rPr>
          <w:lang w:eastAsia="pl-PL"/>
        </w:rPr>
        <w:fldChar w:fldCharType="end"/>
      </w:r>
      <w:r>
        <w:rPr>
          <w:lang w:eastAsia="pl-PL"/>
        </w:rPr>
        <w:t>)</w:t>
      </w:r>
      <w:r w:rsidR="00133694">
        <w:rPr>
          <w:lang w:eastAsia="pl-PL"/>
        </w:rPr>
        <w:t>, przy czym szerzej omówiono założeni</w:t>
      </w:r>
      <w:r w:rsidR="000817E6">
        <w:rPr>
          <w:lang w:eastAsia="pl-PL"/>
        </w:rPr>
        <w:t>a, które zdaniem E</w:t>
      </w:r>
      <w:r w:rsidR="00133694">
        <w:rPr>
          <w:lang w:eastAsia="pl-PL"/>
        </w:rPr>
        <w:t>waluatorów są najważniejsze.</w:t>
      </w:r>
      <w:r>
        <w:rPr>
          <w:lang w:eastAsia="pl-PL"/>
        </w:rPr>
        <w:t xml:space="preserve"> </w:t>
      </w:r>
    </w:p>
    <w:p w14:paraId="61D8F099" w14:textId="77777777" w:rsidR="002477F4" w:rsidRDefault="002477F4" w:rsidP="002477F4">
      <w:pPr>
        <w:rPr>
          <w:lang w:eastAsia="pl-PL"/>
        </w:rPr>
      </w:pPr>
      <w:r>
        <w:rPr>
          <w:lang w:eastAsia="pl-PL"/>
        </w:rPr>
        <w:t xml:space="preserve">Najbardziej istotnym założeniem, który determinuje kształt analizy SWOT, są kryteria wyróżniania poszczególnych czynników. Analizowane czynniki dzielimy według dwóch kryteriów: (1) </w:t>
      </w:r>
      <w:r w:rsidRPr="003A6441">
        <w:rPr>
          <w:b/>
          <w:lang w:eastAsia="pl-PL"/>
        </w:rPr>
        <w:t>miejsca występowania</w:t>
      </w:r>
      <w:r>
        <w:rPr>
          <w:lang w:eastAsia="pl-PL"/>
        </w:rPr>
        <w:t xml:space="preserve"> oraz (2) </w:t>
      </w:r>
      <w:r w:rsidRPr="003A6441">
        <w:rPr>
          <w:b/>
          <w:lang w:eastAsia="pl-PL"/>
        </w:rPr>
        <w:t>charakteru oddziaływania</w:t>
      </w:r>
      <w:r>
        <w:rPr>
          <w:lang w:eastAsia="pl-PL"/>
        </w:rPr>
        <w:t xml:space="preserve">. Ze względu na kryterium pierwsze (miejsce występowania/powstania) wyróżniamy czynniki (A) </w:t>
      </w:r>
      <w:r w:rsidRPr="001A5A44">
        <w:rPr>
          <w:b/>
          <w:lang w:eastAsia="pl-PL"/>
        </w:rPr>
        <w:t>wewnętrzne</w:t>
      </w:r>
      <w:r>
        <w:rPr>
          <w:lang w:eastAsia="pl-PL"/>
        </w:rPr>
        <w:t xml:space="preserve"> (czyli występujące w obrębie województwa wielkopolskiego, a nie np. w obrębie analizowanego sektora) oraz (B) </w:t>
      </w:r>
      <w:r w:rsidRPr="00123D39">
        <w:rPr>
          <w:b/>
          <w:lang w:eastAsia="pl-PL"/>
        </w:rPr>
        <w:t xml:space="preserve">zewnętrzne </w:t>
      </w:r>
      <w:r>
        <w:rPr>
          <w:lang w:eastAsia="pl-PL"/>
        </w:rPr>
        <w:t xml:space="preserve">(występujące w otoczeniu jednostki). Natomiast biorąc pod uwagę kryterium charakteru oddziaływania, czynniki dzielimy na (A) </w:t>
      </w:r>
      <w:r w:rsidRPr="001B7A0B">
        <w:rPr>
          <w:b/>
          <w:lang w:eastAsia="pl-PL"/>
        </w:rPr>
        <w:t>pozytywne</w:t>
      </w:r>
      <w:r>
        <w:rPr>
          <w:lang w:eastAsia="pl-PL"/>
        </w:rPr>
        <w:t xml:space="preserve"> oraz (B) </w:t>
      </w:r>
      <w:r w:rsidRPr="001B7A0B">
        <w:rPr>
          <w:b/>
          <w:lang w:eastAsia="pl-PL"/>
        </w:rPr>
        <w:t>negatywne</w:t>
      </w:r>
      <w:r>
        <w:rPr>
          <w:lang w:eastAsia="pl-PL"/>
        </w:rPr>
        <w:t xml:space="preserve"> (Dziemianowicz i in. 2012).</w:t>
      </w:r>
    </w:p>
    <w:p w14:paraId="5A931803" w14:textId="77777777" w:rsidR="002477F4" w:rsidRDefault="002477F4" w:rsidP="002477F4">
      <w:pPr>
        <w:rPr>
          <w:lang w:eastAsia="pl-PL"/>
        </w:rPr>
      </w:pPr>
      <w:r>
        <w:rPr>
          <w:lang w:eastAsia="pl-PL"/>
        </w:rPr>
        <w:t>W efekcie wyróżniamy cztery rodzaje czynników:</w:t>
      </w:r>
    </w:p>
    <w:p w14:paraId="580D23A6" w14:textId="77777777" w:rsidR="002477F4" w:rsidRDefault="002477F4" w:rsidP="00512544">
      <w:pPr>
        <w:pStyle w:val="Akapitzlist"/>
        <w:numPr>
          <w:ilvl w:val="0"/>
          <w:numId w:val="23"/>
        </w:numPr>
        <w:rPr>
          <w:lang w:eastAsia="pl-PL"/>
        </w:rPr>
      </w:pPr>
      <w:r w:rsidRPr="00A8794A">
        <w:rPr>
          <w:b/>
          <w:lang w:eastAsia="pl-PL"/>
        </w:rPr>
        <w:t>(S) silne strony</w:t>
      </w:r>
      <w:r>
        <w:rPr>
          <w:lang w:eastAsia="pl-PL"/>
        </w:rPr>
        <w:t xml:space="preserve"> – czynniki wewnętrzne pozytywne;</w:t>
      </w:r>
    </w:p>
    <w:p w14:paraId="0B1D7B1D" w14:textId="77777777" w:rsidR="002477F4" w:rsidRDefault="002477F4" w:rsidP="00512544">
      <w:pPr>
        <w:pStyle w:val="Akapitzlist"/>
        <w:numPr>
          <w:ilvl w:val="0"/>
          <w:numId w:val="23"/>
        </w:numPr>
        <w:rPr>
          <w:lang w:eastAsia="pl-PL"/>
        </w:rPr>
      </w:pPr>
      <w:r w:rsidRPr="00A8794A">
        <w:rPr>
          <w:b/>
          <w:lang w:eastAsia="pl-PL"/>
        </w:rPr>
        <w:t>(W) słabe strony</w:t>
      </w:r>
      <w:r>
        <w:rPr>
          <w:lang w:eastAsia="pl-PL"/>
        </w:rPr>
        <w:t xml:space="preserve"> – czynniki wewnętrzne negatywne;</w:t>
      </w:r>
    </w:p>
    <w:p w14:paraId="0508B8EB" w14:textId="77777777" w:rsidR="002477F4" w:rsidRDefault="002477F4" w:rsidP="00512544">
      <w:pPr>
        <w:pStyle w:val="Akapitzlist"/>
        <w:numPr>
          <w:ilvl w:val="0"/>
          <w:numId w:val="23"/>
        </w:numPr>
        <w:rPr>
          <w:lang w:eastAsia="pl-PL"/>
        </w:rPr>
      </w:pPr>
      <w:r w:rsidRPr="00A8794A">
        <w:rPr>
          <w:b/>
          <w:lang w:eastAsia="pl-PL"/>
        </w:rPr>
        <w:t>(O) szanse</w:t>
      </w:r>
      <w:r>
        <w:rPr>
          <w:lang w:eastAsia="pl-PL"/>
        </w:rPr>
        <w:t xml:space="preserve"> – czynniki zewnętrzne pozytywne;</w:t>
      </w:r>
    </w:p>
    <w:p w14:paraId="3AAAB762" w14:textId="77777777" w:rsidR="002477F4" w:rsidRDefault="002477F4" w:rsidP="00512544">
      <w:pPr>
        <w:pStyle w:val="Akapitzlist"/>
        <w:numPr>
          <w:ilvl w:val="0"/>
          <w:numId w:val="23"/>
        </w:numPr>
        <w:rPr>
          <w:lang w:eastAsia="pl-PL"/>
        </w:rPr>
      </w:pPr>
      <w:r w:rsidRPr="00A8794A">
        <w:rPr>
          <w:b/>
          <w:lang w:eastAsia="pl-PL"/>
        </w:rPr>
        <w:t>(T) zagrożenia</w:t>
      </w:r>
      <w:r>
        <w:rPr>
          <w:lang w:eastAsia="pl-PL"/>
        </w:rPr>
        <w:t xml:space="preserve"> – czynniki zewnętrzne negatywne.</w:t>
      </w:r>
    </w:p>
    <w:p w14:paraId="424A044A" w14:textId="0BAA320B" w:rsidR="002477F4" w:rsidRPr="00F76CAC" w:rsidRDefault="00133694" w:rsidP="002477F4">
      <w:pPr>
        <w:rPr>
          <w:lang w:eastAsia="pl-PL"/>
        </w:rPr>
      </w:pPr>
      <w:r>
        <w:rPr>
          <w:lang w:eastAsia="pl-PL"/>
        </w:rPr>
        <w:t xml:space="preserve">Drugim założeniem, wartym podkreślenia, jest sposób podejścia do przewag regionu. Wśród wielu podejść </w:t>
      </w:r>
      <w:r w:rsidR="416AC848" w:rsidRPr="416AC848">
        <w:rPr>
          <w:lang w:eastAsia="pl-PL"/>
        </w:rPr>
        <w:t>znajdują</w:t>
      </w:r>
      <w:r>
        <w:rPr>
          <w:lang w:eastAsia="pl-PL"/>
        </w:rPr>
        <w:t xml:space="preserve"> się również takie, które prezentują dany region głównie poprzez ocenę „pozytywne/negatywne” cechy województwa. Zdarzają się analizy wskazujące cechy regionu, które „w przyszłości” mają stać się kołem zamachowym i samo posiadanie zalążków tego potencjału traktowane jest już jako np. silna strona. W rekomendowanym podejściu cechy regionu powinny mówić o jego wyróżnikach względem konkurencji.</w:t>
      </w:r>
    </w:p>
    <w:p w14:paraId="2C9374FC" w14:textId="5D83EB58" w:rsidR="002477F4" w:rsidRPr="00C5617B" w:rsidRDefault="002477F4" w:rsidP="002477F4">
      <w:pPr>
        <w:pStyle w:val="Legenda"/>
        <w:keepNext/>
      </w:pPr>
      <w:bookmarkStart w:id="54" w:name="_Ref2022118"/>
      <w:bookmarkStart w:id="55" w:name="_Toc5699537"/>
      <w:r>
        <w:t xml:space="preserve">Tabela </w:t>
      </w:r>
      <w:r w:rsidRPr="69901DB0">
        <w:fldChar w:fldCharType="begin"/>
      </w:r>
      <w:r>
        <w:rPr>
          <w:noProof/>
        </w:rPr>
        <w:instrText xml:space="preserve"> SEQ Tabela \* ARABIC </w:instrText>
      </w:r>
      <w:r w:rsidRPr="69901DB0">
        <w:rPr>
          <w:noProof/>
        </w:rPr>
        <w:fldChar w:fldCharType="separate"/>
      </w:r>
      <w:r w:rsidR="007F4FA2">
        <w:rPr>
          <w:noProof/>
        </w:rPr>
        <w:t>4</w:t>
      </w:r>
      <w:r w:rsidRPr="69901DB0">
        <w:fldChar w:fldCharType="end"/>
      </w:r>
      <w:bookmarkEnd w:id="54"/>
      <w:r>
        <w:t>. SWOT – główne założenia</w:t>
      </w:r>
      <w:bookmarkEnd w:id="55"/>
    </w:p>
    <w:tbl>
      <w:tblPr>
        <w:tblStyle w:val="Tabela-Siatka"/>
        <w:tblW w:w="0" w:type="auto"/>
        <w:tblBorders>
          <w:top w:val="single" w:sz="2" w:space="0" w:color="FFC000" w:themeColor="accent4"/>
          <w:left w:val="none" w:sz="0" w:space="0" w:color="auto"/>
          <w:bottom w:val="single" w:sz="2" w:space="0" w:color="FFC000" w:themeColor="accent4"/>
          <w:right w:val="none" w:sz="0" w:space="0" w:color="auto"/>
          <w:insideH w:val="single" w:sz="2" w:space="0" w:color="FFC000" w:themeColor="accent4"/>
          <w:insideV w:val="none" w:sz="0" w:space="0" w:color="auto"/>
        </w:tblBorders>
        <w:tblLook w:val="04A0" w:firstRow="1" w:lastRow="0" w:firstColumn="1" w:lastColumn="0" w:noHBand="0" w:noVBand="1"/>
        <w:tblCaption w:val="Tabela 3. SWOT – główne założenia"/>
        <w:tblDescription w:val="Tabela zawiera cechy analizy SWOT: Podział czynników analiz, Sposób podejścia do przewag regionu, Podział tematyczny wewnątrz analizy, Liczebność wyróżnionych elementów, Sposób formułowania zapisów - wraz z założeniami, które je opisują."/>
      </w:tblPr>
      <w:tblGrid>
        <w:gridCol w:w="2268"/>
        <w:gridCol w:w="6804"/>
      </w:tblGrid>
      <w:tr w:rsidR="002477F4" w14:paraId="57E9B736" w14:textId="77777777" w:rsidTr="3A105AF1">
        <w:trPr>
          <w:trHeight w:val="482"/>
        </w:trPr>
        <w:tc>
          <w:tcPr>
            <w:tcW w:w="2268" w:type="dxa"/>
            <w:shd w:val="clear" w:color="auto" w:fill="F6BB00"/>
            <w:vAlign w:val="center"/>
          </w:tcPr>
          <w:p w14:paraId="2FFBA2D1" w14:textId="77777777" w:rsidR="002477F4" w:rsidRPr="002477F4" w:rsidRDefault="002477F4" w:rsidP="002477F4">
            <w:pPr>
              <w:spacing w:after="0" w:line="240" w:lineRule="auto"/>
              <w:jc w:val="center"/>
              <w:rPr>
                <w:b/>
                <w:color w:val="auto"/>
                <w:sz w:val="18"/>
                <w:szCs w:val="22"/>
              </w:rPr>
            </w:pPr>
            <w:r w:rsidRPr="002477F4">
              <w:rPr>
                <w:b/>
                <w:color w:val="auto"/>
                <w:sz w:val="18"/>
                <w:szCs w:val="22"/>
              </w:rPr>
              <w:t>Cecha analizy SWOT</w:t>
            </w:r>
          </w:p>
        </w:tc>
        <w:tc>
          <w:tcPr>
            <w:tcW w:w="6804" w:type="dxa"/>
            <w:shd w:val="clear" w:color="auto" w:fill="F6BB00"/>
            <w:vAlign w:val="center"/>
          </w:tcPr>
          <w:p w14:paraId="63A1F966" w14:textId="77777777" w:rsidR="002477F4" w:rsidRPr="002477F4" w:rsidRDefault="002477F4" w:rsidP="002477F4">
            <w:pPr>
              <w:spacing w:after="0" w:line="240" w:lineRule="auto"/>
              <w:jc w:val="center"/>
              <w:rPr>
                <w:b/>
                <w:color w:val="auto"/>
                <w:sz w:val="18"/>
                <w:szCs w:val="22"/>
              </w:rPr>
            </w:pPr>
            <w:r w:rsidRPr="002477F4">
              <w:rPr>
                <w:b/>
                <w:color w:val="auto"/>
                <w:sz w:val="18"/>
                <w:szCs w:val="22"/>
              </w:rPr>
              <w:t>Założenie</w:t>
            </w:r>
          </w:p>
        </w:tc>
      </w:tr>
      <w:tr w:rsidR="002477F4" w14:paraId="5CC20FD4" w14:textId="77777777" w:rsidTr="3A105AF1">
        <w:trPr>
          <w:trHeight w:val="519"/>
        </w:trPr>
        <w:tc>
          <w:tcPr>
            <w:tcW w:w="2268" w:type="dxa"/>
            <w:vAlign w:val="center"/>
          </w:tcPr>
          <w:p w14:paraId="3C2687CE" w14:textId="77777777" w:rsidR="002477F4" w:rsidRPr="002477F4" w:rsidRDefault="002477F4" w:rsidP="002477F4">
            <w:pPr>
              <w:spacing w:after="0" w:line="240" w:lineRule="auto"/>
              <w:jc w:val="center"/>
              <w:rPr>
                <w:sz w:val="18"/>
                <w:szCs w:val="22"/>
              </w:rPr>
            </w:pPr>
            <w:r w:rsidRPr="002477F4">
              <w:rPr>
                <w:sz w:val="18"/>
                <w:szCs w:val="22"/>
              </w:rPr>
              <w:t>Podział czynników analiz</w:t>
            </w:r>
          </w:p>
        </w:tc>
        <w:tc>
          <w:tcPr>
            <w:tcW w:w="6804" w:type="dxa"/>
            <w:vAlign w:val="center"/>
          </w:tcPr>
          <w:p w14:paraId="2D34C6F9" w14:textId="77777777" w:rsidR="002477F4" w:rsidRPr="00FD3B4B" w:rsidRDefault="002477F4" w:rsidP="002477F4">
            <w:pPr>
              <w:spacing w:after="0" w:line="240" w:lineRule="auto"/>
              <w:jc w:val="left"/>
              <w:rPr>
                <w:sz w:val="18"/>
                <w:szCs w:val="22"/>
              </w:rPr>
            </w:pPr>
            <w:r w:rsidRPr="00FD3B4B">
              <w:rPr>
                <w:sz w:val="18"/>
                <w:szCs w:val="22"/>
              </w:rPr>
              <w:t xml:space="preserve">Przyjęcie jednoznacznego założenia, że </w:t>
            </w:r>
            <w:r w:rsidRPr="00734794">
              <w:rPr>
                <w:b/>
                <w:sz w:val="18"/>
                <w:szCs w:val="22"/>
              </w:rPr>
              <w:t>silne i słabe strony to czynniki wewnętrzne województwa</w:t>
            </w:r>
            <w:r w:rsidRPr="00FD3B4B">
              <w:rPr>
                <w:sz w:val="18"/>
                <w:szCs w:val="22"/>
              </w:rPr>
              <w:t xml:space="preserve">, zaś </w:t>
            </w:r>
            <w:r w:rsidRPr="00734794">
              <w:rPr>
                <w:b/>
                <w:sz w:val="18"/>
                <w:szCs w:val="22"/>
              </w:rPr>
              <w:t>szanse i zagrożenia to czynniki zewnętrzne</w:t>
            </w:r>
            <w:r w:rsidRPr="00FD3B4B">
              <w:rPr>
                <w:sz w:val="18"/>
                <w:szCs w:val="22"/>
              </w:rPr>
              <w:t xml:space="preserve"> </w:t>
            </w:r>
            <w:r w:rsidRPr="00734794">
              <w:rPr>
                <w:b/>
                <w:sz w:val="18"/>
                <w:szCs w:val="22"/>
              </w:rPr>
              <w:t>wobec województwa</w:t>
            </w:r>
            <w:r>
              <w:rPr>
                <w:b/>
                <w:sz w:val="18"/>
                <w:szCs w:val="22"/>
              </w:rPr>
              <w:t>.</w:t>
            </w:r>
          </w:p>
        </w:tc>
      </w:tr>
      <w:tr w:rsidR="002477F4" w14:paraId="6AE7AE2B" w14:textId="77777777" w:rsidTr="3A105AF1">
        <w:trPr>
          <w:trHeight w:val="546"/>
        </w:trPr>
        <w:tc>
          <w:tcPr>
            <w:tcW w:w="2268" w:type="dxa"/>
            <w:vAlign w:val="center"/>
          </w:tcPr>
          <w:p w14:paraId="1BE61BE6" w14:textId="78AF9E08" w:rsidR="002477F4" w:rsidRPr="002477F4" w:rsidRDefault="002477F4" w:rsidP="002477F4">
            <w:pPr>
              <w:spacing w:after="0" w:line="240" w:lineRule="auto"/>
              <w:jc w:val="center"/>
              <w:rPr>
                <w:sz w:val="18"/>
                <w:szCs w:val="22"/>
              </w:rPr>
            </w:pPr>
            <w:r w:rsidRPr="002477F4">
              <w:rPr>
                <w:sz w:val="18"/>
                <w:szCs w:val="22"/>
              </w:rPr>
              <w:t xml:space="preserve">Sposób podejścia do </w:t>
            </w:r>
            <w:r w:rsidR="005D69DE">
              <w:rPr>
                <w:sz w:val="18"/>
                <w:szCs w:val="22"/>
              </w:rPr>
              <w:t xml:space="preserve">wyróżników </w:t>
            </w:r>
            <w:r w:rsidRPr="002477F4">
              <w:rPr>
                <w:sz w:val="18"/>
                <w:szCs w:val="22"/>
              </w:rPr>
              <w:t>regionu</w:t>
            </w:r>
          </w:p>
        </w:tc>
        <w:tc>
          <w:tcPr>
            <w:tcW w:w="6804" w:type="dxa"/>
            <w:vAlign w:val="center"/>
          </w:tcPr>
          <w:p w14:paraId="65C8FEE6" w14:textId="77777777" w:rsidR="002477F4" w:rsidRPr="00FD3B4B" w:rsidRDefault="002477F4" w:rsidP="005D69DE">
            <w:pPr>
              <w:spacing w:after="0" w:line="240" w:lineRule="auto"/>
              <w:jc w:val="left"/>
              <w:rPr>
                <w:sz w:val="18"/>
                <w:szCs w:val="22"/>
              </w:rPr>
            </w:pPr>
            <w:r w:rsidRPr="00FD3B4B">
              <w:rPr>
                <w:sz w:val="18"/>
                <w:szCs w:val="22"/>
              </w:rPr>
              <w:t xml:space="preserve">Koncentrowanie się na elementach stanowiących pozytywne lub negatywne </w:t>
            </w:r>
            <w:r w:rsidRPr="00734794">
              <w:rPr>
                <w:b/>
                <w:sz w:val="18"/>
                <w:szCs w:val="22"/>
              </w:rPr>
              <w:t xml:space="preserve">wyróżniki Wielkopolski względem innych </w:t>
            </w:r>
            <w:r>
              <w:rPr>
                <w:b/>
                <w:sz w:val="18"/>
                <w:szCs w:val="22"/>
              </w:rPr>
              <w:t>r</w:t>
            </w:r>
            <w:r w:rsidRPr="00734794">
              <w:rPr>
                <w:b/>
                <w:sz w:val="18"/>
                <w:szCs w:val="22"/>
              </w:rPr>
              <w:t>egionów</w:t>
            </w:r>
            <w:r>
              <w:rPr>
                <w:sz w:val="18"/>
                <w:szCs w:val="22"/>
              </w:rPr>
              <w:t xml:space="preserve">/unikalne cechy, </w:t>
            </w:r>
            <w:r w:rsidRPr="00FD3B4B">
              <w:rPr>
                <w:sz w:val="18"/>
                <w:szCs w:val="22"/>
              </w:rPr>
              <w:t>a nie tylko „pozytywne/negatywne cechy województwa”</w:t>
            </w:r>
            <w:r>
              <w:rPr>
                <w:sz w:val="18"/>
                <w:szCs w:val="22"/>
              </w:rPr>
              <w:t>.</w:t>
            </w:r>
          </w:p>
        </w:tc>
      </w:tr>
      <w:tr w:rsidR="002477F4" w14:paraId="49DE15F4" w14:textId="77777777" w:rsidTr="3A105AF1">
        <w:trPr>
          <w:trHeight w:val="351"/>
        </w:trPr>
        <w:tc>
          <w:tcPr>
            <w:tcW w:w="2268" w:type="dxa"/>
            <w:vAlign w:val="center"/>
          </w:tcPr>
          <w:p w14:paraId="5511A80C" w14:textId="77777777" w:rsidR="002477F4" w:rsidRPr="002477F4" w:rsidRDefault="002477F4" w:rsidP="002477F4">
            <w:pPr>
              <w:spacing w:after="0" w:line="240" w:lineRule="auto"/>
              <w:jc w:val="center"/>
              <w:rPr>
                <w:sz w:val="18"/>
                <w:szCs w:val="22"/>
              </w:rPr>
            </w:pPr>
            <w:r>
              <w:rPr>
                <w:sz w:val="18"/>
                <w:szCs w:val="22"/>
              </w:rPr>
              <w:t>Podział tematyczny wewnątrz analizy</w:t>
            </w:r>
          </w:p>
        </w:tc>
        <w:tc>
          <w:tcPr>
            <w:tcW w:w="6804" w:type="dxa"/>
            <w:vAlign w:val="center"/>
          </w:tcPr>
          <w:p w14:paraId="2168BB17" w14:textId="77777777" w:rsidR="002477F4" w:rsidRPr="00734794" w:rsidRDefault="002477F4" w:rsidP="002477F4">
            <w:pPr>
              <w:spacing w:after="0" w:line="240" w:lineRule="auto"/>
              <w:jc w:val="left"/>
              <w:rPr>
                <w:b/>
                <w:sz w:val="18"/>
                <w:szCs w:val="22"/>
              </w:rPr>
            </w:pPr>
            <w:r w:rsidRPr="00734794">
              <w:rPr>
                <w:b/>
                <w:sz w:val="18"/>
                <w:szCs w:val="22"/>
              </w:rPr>
              <w:t>Rezygnacja z podziału tematycznego</w:t>
            </w:r>
            <w:r w:rsidRPr="00FD3B4B">
              <w:rPr>
                <w:sz w:val="18"/>
                <w:szCs w:val="22"/>
              </w:rPr>
              <w:t xml:space="preserve"> na rzecz zbiorczej analizy SWOT</w:t>
            </w:r>
            <w:r>
              <w:rPr>
                <w:sz w:val="18"/>
                <w:szCs w:val="22"/>
              </w:rPr>
              <w:t>.</w:t>
            </w:r>
          </w:p>
        </w:tc>
      </w:tr>
      <w:tr w:rsidR="002477F4" w14:paraId="20D1BECE" w14:textId="77777777" w:rsidTr="3A105AF1">
        <w:trPr>
          <w:trHeight w:val="212"/>
        </w:trPr>
        <w:tc>
          <w:tcPr>
            <w:tcW w:w="2268" w:type="dxa"/>
            <w:vAlign w:val="center"/>
          </w:tcPr>
          <w:p w14:paraId="67FD1F1C" w14:textId="77777777" w:rsidR="002477F4" w:rsidRPr="002477F4" w:rsidRDefault="002477F4" w:rsidP="002477F4">
            <w:pPr>
              <w:spacing w:after="0" w:line="240" w:lineRule="auto"/>
              <w:jc w:val="center"/>
              <w:rPr>
                <w:sz w:val="18"/>
                <w:szCs w:val="22"/>
              </w:rPr>
            </w:pPr>
            <w:r>
              <w:rPr>
                <w:sz w:val="18"/>
                <w:szCs w:val="22"/>
              </w:rPr>
              <w:t>Liczebność wyróżnionych elementów</w:t>
            </w:r>
          </w:p>
        </w:tc>
        <w:tc>
          <w:tcPr>
            <w:tcW w:w="6804" w:type="dxa"/>
            <w:vAlign w:val="center"/>
          </w:tcPr>
          <w:p w14:paraId="749F5D78" w14:textId="7085699A" w:rsidR="002477F4" w:rsidRPr="00734794" w:rsidRDefault="002477F4" w:rsidP="002477F4">
            <w:pPr>
              <w:spacing w:after="0" w:line="240" w:lineRule="auto"/>
              <w:jc w:val="left"/>
              <w:rPr>
                <w:b/>
                <w:sz w:val="18"/>
                <w:szCs w:val="22"/>
              </w:rPr>
            </w:pPr>
            <w:r w:rsidRPr="00734794">
              <w:rPr>
                <w:b/>
                <w:sz w:val="18"/>
                <w:szCs w:val="22"/>
              </w:rPr>
              <w:t>Ograniczenie liczb</w:t>
            </w:r>
            <w:r w:rsidRPr="00FD3B4B">
              <w:rPr>
                <w:sz w:val="18"/>
                <w:szCs w:val="22"/>
              </w:rPr>
              <w:t xml:space="preserve">y wyróżnionych </w:t>
            </w:r>
            <w:r w:rsidRPr="00734794">
              <w:rPr>
                <w:b/>
                <w:sz w:val="18"/>
                <w:szCs w:val="22"/>
              </w:rPr>
              <w:t>elementów</w:t>
            </w:r>
            <w:r w:rsidRPr="00FD3B4B">
              <w:rPr>
                <w:sz w:val="18"/>
                <w:szCs w:val="22"/>
              </w:rPr>
              <w:t xml:space="preserve"> do </w:t>
            </w:r>
            <w:r>
              <w:rPr>
                <w:sz w:val="18"/>
                <w:szCs w:val="22"/>
              </w:rPr>
              <w:t xml:space="preserve">tych </w:t>
            </w:r>
            <w:r w:rsidRPr="00FD3B4B">
              <w:rPr>
                <w:sz w:val="18"/>
                <w:szCs w:val="22"/>
              </w:rPr>
              <w:t>kluczowych</w:t>
            </w:r>
            <w:r w:rsidR="006B3B9A">
              <w:rPr>
                <w:sz w:val="18"/>
                <w:szCs w:val="22"/>
              </w:rPr>
              <w:t xml:space="preserve"> (w</w:t>
            </w:r>
            <w:r w:rsidR="006B3B9A" w:rsidRPr="006B3B9A">
              <w:rPr>
                <w:sz w:val="18"/>
                <w:szCs w:val="22"/>
              </w:rPr>
              <w:t xml:space="preserve"> tym celu posłużono się triangulacją metod: wywiadów bezpośrednich przeprowadzanych z ekspertami oraz przedstawicielami UM, analizy desk research, analizy danych statystycznych oraz metody eksperckiej – wewnętrznej dyskusji w gronie zespołu badawczego</w:t>
            </w:r>
            <w:r w:rsidR="006B3B9A">
              <w:rPr>
                <w:sz w:val="18"/>
                <w:szCs w:val="22"/>
              </w:rPr>
              <w:t>).</w:t>
            </w:r>
          </w:p>
        </w:tc>
      </w:tr>
      <w:tr w:rsidR="002477F4" w14:paraId="0696CD42" w14:textId="77777777" w:rsidTr="3A105AF1">
        <w:trPr>
          <w:trHeight w:val="532"/>
        </w:trPr>
        <w:tc>
          <w:tcPr>
            <w:tcW w:w="2268" w:type="dxa"/>
            <w:vAlign w:val="center"/>
          </w:tcPr>
          <w:p w14:paraId="2991A234" w14:textId="77777777" w:rsidR="002477F4" w:rsidRPr="002477F4" w:rsidRDefault="002477F4" w:rsidP="002477F4">
            <w:pPr>
              <w:spacing w:after="0" w:line="240" w:lineRule="auto"/>
              <w:jc w:val="center"/>
              <w:rPr>
                <w:sz w:val="18"/>
                <w:szCs w:val="22"/>
              </w:rPr>
            </w:pPr>
            <w:r>
              <w:rPr>
                <w:sz w:val="18"/>
                <w:szCs w:val="22"/>
              </w:rPr>
              <w:t>Sposób formułowania zapisów</w:t>
            </w:r>
          </w:p>
        </w:tc>
        <w:tc>
          <w:tcPr>
            <w:tcW w:w="6804" w:type="dxa"/>
            <w:vAlign w:val="center"/>
          </w:tcPr>
          <w:p w14:paraId="530875AA" w14:textId="77777777" w:rsidR="002477F4" w:rsidRDefault="002477F4" w:rsidP="002477F4">
            <w:pPr>
              <w:spacing w:after="0" w:line="240" w:lineRule="auto"/>
              <w:jc w:val="left"/>
              <w:rPr>
                <w:sz w:val="18"/>
                <w:lang w:eastAsia="pl-PL"/>
              </w:rPr>
            </w:pPr>
            <w:r>
              <w:rPr>
                <w:sz w:val="18"/>
                <w:lang w:eastAsia="pl-PL"/>
              </w:rPr>
              <w:t xml:space="preserve">Możliwie </w:t>
            </w:r>
            <w:r w:rsidRPr="00237A96">
              <w:rPr>
                <w:b/>
                <w:sz w:val="18"/>
                <w:lang w:eastAsia="pl-PL"/>
              </w:rPr>
              <w:t>precyzyjne i jednoznaczne</w:t>
            </w:r>
            <w:r>
              <w:rPr>
                <w:sz w:val="18"/>
                <w:lang w:eastAsia="pl-PL"/>
              </w:rPr>
              <w:t xml:space="preserve"> formułowanie zapisów. Analiza SWOT powinna być </w:t>
            </w:r>
            <w:r w:rsidRPr="00237A96">
              <w:rPr>
                <w:b/>
                <w:sz w:val="18"/>
                <w:lang w:eastAsia="pl-PL"/>
              </w:rPr>
              <w:t>zrozumiała</w:t>
            </w:r>
            <w:r>
              <w:rPr>
                <w:sz w:val="18"/>
                <w:lang w:eastAsia="pl-PL"/>
              </w:rPr>
              <w:t xml:space="preserve"> jako „niezależny byt”, nawet w oderwaniu od diagnozy strategicznej.</w:t>
            </w:r>
          </w:p>
        </w:tc>
      </w:tr>
    </w:tbl>
    <w:p w14:paraId="624D0FED" w14:textId="77777777" w:rsidR="002477F4" w:rsidRPr="00F56C0A" w:rsidRDefault="002477F4" w:rsidP="002477F4">
      <w:pPr>
        <w:rPr>
          <w:sz w:val="16"/>
          <w:szCs w:val="16"/>
          <w:lang w:eastAsia="pl-PL"/>
        </w:rPr>
      </w:pPr>
      <w:r w:rsidRPr="00F56C0A">
        <w:rPr>
          <w:sz w:val="16"/>
          <w:szCs w:val="16"/>
          <w:lang w:eastAsia="pl-PL"/>
        </w:rPr>
        <w:t>Źródło: opracowanie własne.</w:t>
      </w:r>
    </w:p>
    <w:p w14:paraId="4168E4B8" w14:textId="3A0F1B68" w:rsidR="002477F4" w:rsidRDefault="002477F4" w:rsidP="002477F4">
      <w:r>
        <w:t xml:space="preserve">W związku z istotną modyfikacją metodyki SWOT w stosunku do obowiązującej w SRWW 2020 należy w pierwszej kolejności zweryfikować zasadność istniejących zapisów pod kątem </w:t>
      </w:r>
      <w:r w:rsidR="00133694">
        <w:t xml:space="preserve">założeń </w:t>
      </w:r>
      <w:r>
        <w:lastRenderedPageBreak/>
        <w:t>metodyczny</w:t>
      </w:r>
      <w:r w:rsidR="00133694">
        <w:t>ch</w:t>
      </w:r>
      <w:r>
        <w:t xml:space="preserve">. Warto zwrócić uwagę, że wiele pojawiających się przykładów zapisów wymagających modyfikacji dotyczy szans oraz </w:t>
      </w:r>
      <w:r w:rsidRPr="00EF3D20">
        <w:t>zagrożeń (</w:t>
      </w:r>
      <w:r w:rsidRPr="00EF3D20">
        <w:fldChar w:fldCharType="begin"/>
      </w:r>
      <w:r w:rsidRPr="00EF3D20">
        <w:instrText xml:space="preserve"> REF _Ref536637670 \h </w:instrText>
      </w:r>
      <w:r>
        <w:instrText xml:space="preserve"> \* MERGEFORMAT </w:instrText>
      </w:r>
      <w:r w:rsidRPr="00EF3D20">
        <w:fldChar w:fldCharType="separate"/>
      </w:r>
      <w:r w:rsidR="007F4FA2">
        <w:t xml:space="preserve">Tabela </w:t>
      </w:r>
      <w:r w:rsidR="007F4FA2">
        <w:rPr>
          <w:noProof/>
        </w:rPr>
        <w:t>5</w:t>
      </w:r>
      <w:r w:rsidRPr="00EF3D20">
        <w:fldChar w:fldCharType="end"/>
      </w:r>
      <w:r w:rsidRPr="00EF3D20">
        <w:t>). Wynika</w:t>
      </w:r>
      <w:r>
        <w:t xml:space="preserve"> to w głównej mierze ze zmiany sposobu definiowania kryter</w:t>
      </w:r>
      <w:r w:rsidR="00133694">
        <w:t xml:space="preserve">ium „zewnętrzności” czynników. </w:t>
      </w:r>
    </w:p>
    <w:p w14:paraId="701B36B7" w14:textId="49659484" w:rsidR="002477F4" w:rsidRDefault="002477F4" w:rsidP="002477F4">
      <w:pPr>
        <w:pStyle w:val="Legenda"/>
        <w:keepNext/>
      </w:pPr>
      <w:bookmarkStart w:id="56" w:name="_Ref536637670"/>
      <w:bookmarkStart w:id="57" w:name="_Toc5699538"/>
      <w:r>
        <w:t xml:space="preserve">Tabela </w:t>
      </w:r>
      <w:r w:rsidRPr="69901DB0">
        <w:fldChar w:fldCharType="begin"/>
      </w:r>
      <w:r>
        <w:rPr>
          <w:noProof/>
        </w:rPr>
        <w:instrText xml:space="preserve"> SEQ Tabela \* ARABIC </w:instrText>
      </w:r>
      <w:r w:rsidRPr="69901DB0">
        <w:rPr>
          <w:noProof/>
        </w:rPr>
        <w:fldChar w:fldCharType="separate"/>
      </w:r>
      <w:r w:rsidR="007F4FA2">
        <w:rPr>
          <w:noProof/>
        </w:rPr>
        <w:t>5</w:t>
      </w:r>
      <w:r w:rsidRPr="69901DB0">
        <w:fldChar w:fldCharType="end"/>
      </w:r>
      <w:bookmarkEnd w:id="56"/>
      <w:r>
        <w:t>. Główne problemy metodyczne w analizie SWOT SRWW 2020 i propozycje ich rozwiązania</w:t>
      </w:r>
      <w:bookmarkEnd w:id="57"/>
    </w:p>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ela 4. Główne problemy metodyczne w analizie SWOT SRWW 2020 i propozycje ich rozwiązania"/>
        <w:tblDescription w:val="Tabela przedstawia najważniejsze problemy metodyczne w obecnej analizie SWOT wraz z obrazującymi je przykładami, a także z rekomendacjami, jak je rozwiązać."/>
      </w:tblPr>
      <w:tblGrid>
        <w:gridCol w:w="2977"/>
        <w:gridCol w:w="2977"/>
        <w:gridCol w:w="3118"/>
      </w:tblGrid>
      <w:tr w:rsidR="002477F4" w14:paraId="6FB10C61" w14:textId="77777777" w:rsidTr="00631503">
        <w:trPr>
          <w:tblHeader/>
        </w:trPr>
        <w:tc>
          <w:tcPr>
            <w:tcW w:w="2977" w:type="dxa"/>
            <w:tcBorders>
              <w:bottom w:val="single" w:sz="2" w:space="0" w:color="F6BB00"/>
            </w:tcBorders>
            <w:shd w:val="clear" w:color="auto" w:fill="F6BB00"/>
          </w:tcPr>
          <w:p w14:paraId="5F0EFC72" w14:textId="77777777" w:rsidR="002477F4" w:rsidRDefault="002477F4" w:rsidP="002477F4">
            <w:pPr>
              <w:spacing w:after="0" w:line="240" w:lineRule="auto"/>
              <w:jc w:val="center"/>
              <w:rPr>
                <w:b/>
                <w:sz w:val="18"/>
                <w:szCs w:val="18"/>
                <w:lang w:eastAsia="pl-PL"/>
              </w:rPr>
            </w:pPr>
            <w:r>
              <w:rPr>
                <w:b/>
                <w:sz w:val="18"/>
                <w:szCs w:val="18"/>
                <w:lang w:eastAsia="pl-PL"/>
              </w:rPr>
              <w:t>Problem</w:t>
            </w:r>
          </w:p>
        </w:tc>
        <w:tc>
          <w:tcPr>
            <w:tcW w:w="2977" w:type="dxa"/>
            <w:tcBorders>
              <w:bottom w:val="single" w:sz="2" w:space="0" w:color="F6BB00"/>
            </w:tcBorders>
            <w:shd w:val="clear" w:color="auto" w:fill="F6BB00"/>
          </w:tcPr>
          <w:p w14:paraId="5CF785E4" w14:textId="77777777" w:rsidR="002477F4" w:rsidRDefault="002477F4" w:rsidP="002477F4">
            <w:pPr>
              <w:spacing w:after="0" w:line="240" w:lineRule="auto"/>
              <w:jc w:val="center"/>
              <w:rPr>
                <w:b/>
                <w:sz w:val="18"/>
                <w:szCs w:val="18"/>
                <w:lang w:eastAsia="pl-PL"/>
              </w:rPr>
            </w:pPr>
            <w:r>
              <w:rPr>
                <w:b/>
                <w:sz w:val="18"/>
                <w:szCs w:val="18"/>
                <w:lang w:eastAsia="pl-PL"/>
              </w:rPr>
              <w:t>Przykład</w:t>
            </w:r>
          </w:p>
        </w:tc>
        <w:tc>
          <w:tcPr>
            <w:tcW w:w="3118" w:type="dxa"/>
            <w:tcBorders>
              <w:bottom w:val="single" w:sz="2" w:space="0" w:color="F6BB00"/>
            </w:tcBorders>
            <w:shd w:val="clear" w:color="auto" w:fill="F6BB00"/>
          </w:tcPr>
          <w:p w14:paraId="1ED86BEC" w14:textId="77777777" w:rsidR="002477F4" w:rsidRDefault="002477F4" w:rsidP="002477F4">
            <w:pPr>
              <w:spacing w:after="0" w:line="240" w:lineRule="auto"/>
              <w:jc w:val="center"/>
              <w:rPr>
                <w:b/>
                <w:sz w:val="18"/>
                <w:szCs w:val="18"/>
                <w:lang w:eastAsia="pl-PL"/>
              </w:rPr>
            </w:pPr>
            <w:r>
              <w:rPr>
                <w:b/>
                <w:sz w:val="18"/>
                <w:szCs w:val="18"/>
                <w:lang w:eastAsia="pl-PL"/>
              </w:rPr>
              <w:t>Konsekwencja/rekomendacja</w:t>
            </w:r>
          </w:p>
        </w:tc>
      </w:tr>
      <w:tr w:rsidR="002477F4" w:rsidRPr="00942877" w14:paraId="6CEFBE1C" w14:textId="77777777" w:rsidTr="00D50036">
        <w:tc>
          <w:tcPr>
            <w:tcW w:w="2977" w:type="dxa"/>
            <w:tcBorders>
              <w:top w:val="single" w:sz="2" w:space="0" w:color="F6BB00"/>
              <w:bottom w:val="single" w:sz="2" w:space="0" w:color="F6BB00"/>
            </w:tcBorders>
            <w:vAlign w:val="center"/>
          </w:tcPr>
          <w:p w14:paraId="1CE9A8B7" w14:textId="4ED06B30" w:rsidR="002477F4" w:rsidRPr="00EB1427" w:rsidRDefault="002477F4" w:rsidP="00D50036">
            <w:pPr>
              <w:spacing w:after="0" w:line="240" w:lineRule="auto"/>
              <w:jc w:val="left"/>
              <w:rPr>
                <w:sz w:val="18"/>
                <w:szCs w:val="18"/>
                <w:lang w:eastAsia="pl-PL"/>
              </w:rPr>
            </w:pPr>
            <w:r w:rsidRPr="00CA4C01">
              <w:rPr>
                <w:b/>
                <w:sz w:val="18"/>
                <w:szCs w:val="18"/>
                <w:lang w:eastAsia="pl-PL"/>
              </w:rPr>
              <w:t>Powszechne cechy</w:t>
            </w:r>
            <w:r>
              <w:rPr>
                <w:sz w:val="18"/>
                <w:szCs w:val="18"/>
                <w:lang w:eastAsia="pl-PL"/>
              </w:rPr>
              <w:t xml:space="preserve">, czyli „to nie są nasze wyróżniki” – pojawiają się zapisy, które z powodzeniem mogłyby charakteryzować każde inne województwo w Polsce. </w:t>
            </w:r>
          </w:p>
        </w:tc>
        <w:tc>
          <w:tcPr>
            <w:tcW w:w="2977" w:type="dxa"/>
            <w:tcBorders>
              <w:top w:val="single" w:sz="2" w:space="0" w:color="F6BB00"/>
              <w:bottom w:val="single" w:sz="2" w:space="0" w:color="F6BB00"/>
            </w:tcBorders>
            <w:vAlign w:val="center"/>
          </w:tcPr>
          <w:p w14:paraId="4AFA2B2E" w14:textId="77777777" w:rsidR="002477F4" w:rsidRDefault="002477F4" w:rsidP="00D50036">
            <w:pPr>
              <w:pStyle w:val="Akapitzlist"/>
              <w:numPr>
                <w:ilvl w:val="0"/>
                <w:numId w:val="10"/>
              </w:numPr>
              <w:spacing w:after="0" w:line="240" w:lineRule="auto"/>
              <w:ind w:left="176" w:hanging="283"/>
              <w:jc w:val="left"/>
              <w:rPr>
                <w:sz w:val="18"/>
                <w:szCs w:val="18"/>
                <w:lang w:eastAsia="pl-PL"/>
              </w:rPr>
            </w:pPr>
            <w:r>
              <w:rPr>
                <w:sz w:val="18"/>
                <w:szCs w:val="18"/>
                <w:lang w:eastAsia="pl-PL"/>
              </w:rPr>
              <w:t>(W) „przewaga absorpcji innowacji nad ich kreacją”, „niewystarczająca trwałość MSP”</w:t>
            </w:r>
          </w:p>
          <w:p w14:paraId="7A574E1D" w14:textId="77777777" w:rsidR="002477F4" w:rsidRDefault="002477F4" w:rsidP="00D50036">
            <w:pPr>
              <w:pStyle w:val="Akapitzlist"/>
              <w:numPr>
                <w:ilvl w:val="0"/>
                <w:numId w:val="10"/>
              </w:numPr>
              <w:spacing w:after="0" w:line="240" w:lineRule="auto"/>
              <w:ind w:left="176" w:hanging="283"/>
              <w:jc w:val="left"/>
              <w:rPr>
                <w:sz w:val="18"/>
                <w:szCs w:val="18"/>
                <w:lang w:eastAsia="pl-PL"/>
              </w:rPr>
            </w:pPr>
            <w:r>
              <w:rPr>
                <w:sz w:val="18"/>
                <w:szCs w:val="18"/>
                <w:lang w:eastAsia="pl-PL"/>
              </w:rPr>
              <w:t>(W) „bariery dla niepełnosprawnych”</w:t>
            </w:r>
          </w:p>
          <w:p w14:paraId="025C968A" w14:textId="77777777" w:rsidR="002477F4" w:rsidRDefault="002477F4" w:rsidP="00D50036">
            <w:pPr>
              <w:pStyle w:val="Akapitzlist"/>
              <w:numPr>
                <w:ilvl w:val="0"/>
                <w:numId w:val="10"/>
              </w:numPr>
              <w:spacing w:after="0" w:line="240" w:lineRule="auto"/>
              <w:ind w:left="176" w:hanging="283"/>
              <w:jc w:val="left"/>
              <w:rPr>
                <w:sz w:val="18"/>
                <w:szCs w:val="18"/>
                <w:lang w:eastAsia="pl-PL"/>
              </w:rPr>
            </w:pPr>
            <w:r>
              <w:rPr>
                <w:sz w:val="18"/>
                <w:szCs w:val="18"/>
                <w:lang w:eastAsia="pl-PL"/>
              </w:rPr>
              <w:t>(T) „wzrost patologii społecznych”</w:t>
            </w:r>
          </w:p>
          <w:p w14:paraId="3507E41B" w14:textId="77777777" w:rsidR="002477F4" w:rsidRPr="00EE0894" w:rsidRDefault="002477F4" w:rsidP="00D50036">
            <w:pPr>
              <w:pStyle w:val="Akapitzlist"/>
              <w:numPr>
                <w:ilvl w:val="0"/>
                <w:numId w:val="10"/>
              </w:numPr>
              <w:spacing w:after="0" w:line="240" w:lineRule="auto"/>
              <w:ind w:left="176" w:hanging="283"/>
              <w:jc w:val="left"/>
              <w:rPr>
                <w:sz w:val="18"/>
                <w:szCs w:val="18"/>
                <w:lang w:eastAsia="pl-PL"/>
              </w:rPr>
            </w:pPr>
            <w:r>
              <w:rPr>
                <w:sz w:val="18"/>
                <w:szCs w:val="18"/>
                <w:lang w:eastAsia="pl-PL"/>
              </w:rPr>
              <w:t>(T) „bariery finansowania przedsiębiorstw”</w:t>
            </w:r>
          </w:p>
        </w:tc>
        <w:tc>
          <w:tcPr>
            <w:tcW w:w="3118" w:type="dxa"/>
            <w:tcBorders>
              <w:top w:val="single" w:sz="2" w:space="0" w:color="F6BB00"/>
              <w:bottom w:val="single" w:sz="2" w:space="0" w:color="F6BB00"/>
            </w:tcBorders>
            <w:vAlign w:val="center"/>
          </w:tcPr>
          <w:p w14:paraId="0AC6AD97" w14:textId="77777777" w:rsidR="002477F4" w:rsidRPr="00133694" w:rsidRDefault="002477F4" w:rsidP="00133694">
            <w:pPr>
              <w:spacing w:line="240" w:lineRule="auto"/>
              <w:jc w:val="left"/>
              <w:rPr>
                <w:sz w:val="18"/>
                <w:szCs w:val="18"/>
                <w:lang w:eastAsia="pl-PL"/>
              </w:rPr>
            </w:pPr>
            <w:r>
              <w:rPr>
                <w:sz w:val="18"/>
                <w:szCs w:val="18"/>
                <w:lang w:eastAsia="pl-PL"/>
              </w:rPr>
              <w:t>Czynniki te nie mają strategicznego charakteru. Tak wyróżnione silne strony nie stanowią przewag konkurencyjnych Wielkopolski wobec innych regionów, an</w:t>
            </w:r>
            <w:r w:rsidR="00133694">
              <w:rPr>
                <w:sz w:val="18"/>
                <w:szCs w:val="18"/>
                <w:lang w:eastAsia="pl-PL"/>
              </w:rPr>
              <w:t>alogicznie ze słabymi stronami.</w:t>
            </w:r>
          </w:p>
          <w:p w14:paraId="02FE32CE" w14:textId="77777777" w:rsidR="002477F4" w:rsidRPr="00014A08" w:rsidRDefault="002477F4" w:rsidP="002477F4">
            <w:pPr>
              <w:spacing w:after="0" w:line="240" w:lineRule="auto"/>
              <w:jc w:val="left"/>
              <w:rPr>
                <w:b/>
                <w:sz w:val="18"/>
                <w:szCs w:val="18"/>
                <w:lang w:eastAsia="pl-PL"/>
              </w:rPr>
            </w:pPr>
            <w:r w:rsidRPr="00014A08">
              <w:rPr>
                <w:b/>
                <w:sz w:val="18"/>
                <w:szCs w:val="18"/>
                <w:lang w:eastAsia="pl-PL"/>
              </w:rPr>
              <w:t xml:space="preserve">Rekomendacja: rezygnacja z takich zapisów. </w:t>
            </w:r>
            <w:r>
              <w:rPr>
                <w:b/>
                <w:sz w:val="18"/>
                <w:szCs w:val="18"/>
                <w:lang w:eastAsia="pl-PL"/>
              </w:rPr>
              <w:t>Koncentracja na „unikalnych cechach” regionu.</w:t>
            </w:r>
          </w:p>
        </w:tc>
      </w:tr>
      <w:tr w:rsidR="002477F4" w:rsidRPr="00942877" w14:paraId="0B5077C8" w14:textId="77777777" w:rsidTr="00D50036">
        <w:tc>
          <w:tcPr>
            <w:tcW w:w="2977" w:type="dxa"/>
            <w:tcBorders>
              <w:top w:val="single" w:sz="2" w:space="0" w:color="F6BB00"/>
              <w:bottom w:val="single" w:sz="2" w:space="0" w:color="F6BB00"/>
            </w:tcBorders>
            <w:vAlign w:val="center"/>
          </w:tcPr>
          <w:p w14:paraId="445D17A2" w14:textId="77777777" w:rsidR="002477F4" w:rsidRPr="0052667C" w:rsidRDefault="002477F4" w:rsidP="002477F4">
            <w:pPr>
              <w:spacing w:after="0" w:line="240" w:lineRule="auto"/>
              <w:jc w:val="left"/>
              <w:rPr>
                <w:sz w:val="18"/>
                <w:szCs w:val="18"/>
                <w:lang w:eastAsia="pl-PL"/>
              </w:rPr>
            </w:pPr>
            <w:r>
              <w:rPr>
                <w:b/>
                <w:sz w:val="18"/>
                <w:szCs w:val="18"/>
                <w:lang w:eastAsia="pl-PL"/>
              </w:rPr>
              <w:t>Zbyt o</w:t>
            </w:r>
            <w:r w:rsidRPr="0026381A">
              <w:rPr>
                <w:b/>
                <w:sz w:val="18"/>
                <w:szCs w:val="18"/>
                <w:lang w:eastAsia="pl-PL"/>
              </w:rPr>
              <w:t xml:space="preserve">gólne </w:t>
            </w:r>
            <w:r>
              <w:rPr>
                <w:b/>
                <w:sz w:val="18"/>
                <w:szCs w:val="18"/>
                <w:lang w:eastAsia="pl-PL"/>
              </w:rPr>
              <w:t>lub niejasne sformułowania</w:t>
            </w:r>
            <w:r>
              <w:rPr>
                <w:sz w:val="18"/>
                <w:szCs w:val="18"/>
                <w:lang w:eastAsia="pl-PL"/>
              </w:rPr>
              <w:t xml:space="preserve"> – zapisy, które z uwagi na poziom ogólności nie pozwalają na jednoznaczne zrozumienie, co się pod nimi kryje. Między innymi istnienie zapisów o charakterze neutralnym (np. „Infrastruktura logistyczna”), w przypadku których jedynie umiejscowienie tego elementu w analizie SWOT (w silnych lub słabych stronach) pozwala na ocenę charakteru tego czynnika. </w:t>
            </w:r>
          </w:p>
        </w:tc>
        <w:tc>
          <w:tcPr>
            <w:tcW w:w="2977" w:type="dxa"/>
            <w:tcBorders>
              <w:top w:val="single" w:sz="2" w:space="0" w:color="F6BB00"/>
              <w:bottom w:val="single" w:sz="2" w:space="0" w:color="F6BB00"/>
            </w:tcBorders>
            <w:vAlign w:val="center"/>
          </w:tcPr>
          <w:p w14:paraId="42607C24" w14:textId="77777777" w:rsidR="002477F4" w:rsidRDefault="002477F4" w:rsidP="00D50036">
            <w:pPr>
              <w:pStyle w:val="Akapitzlist"/>
              <w:numPr>
                <w:ilvl w:val="0"/>
                <w:numId w:val="17"/>
              </w:numPr>
              <w:spacing w:after="0" w:line="240" w:lineRule="auto"/>
              <w:ind w:left="176" w:hanging="280"/>
              <w:jc w:val="left"/>
              <w:rPr>
                <w:sz w:val="18"/>
                <w:szCs w:val="18"/>
                <w:lang w:eastAsia="pl-PL"/>
              </w:rPr>
            </w:pPr>
            <w:r>
              <w:rPr>
                <w:sz w:val="18"/>
                <w:szCs w:val="18"/>
                <w:lang w:eastAsia="pl-PL"/>
              </w:rPr>
              <w:t>(W) „zły stan infrastruktury mieszkalnictwa” – nie jest jasne, czy chodzi o mieszkalnictwo komunalne (tu faktycznie ocena negatywna) czy mieszkalnictwo na rynku komercyjnym (tu obserwowane pozytywne tendencje)</w:t>
            </w:r>
          </w:p>
          <w:p w14:paraId="0A874633" w14:textId="77777777" w:rsidR="002477F4" w:rsidRDefault="002477F4" w:rsidP="00D50036">
            <w:pPr>
              <w:pStyle w:val="Akapitzlist"/>
              <w:numPr>
                <w:ilvl w:val="0"/>
                <w:numId w:val="17"/>
              </w:numPr>
              <w:spacing w:after="0" w:line="240" w:lineRule="auto"/>
              <w:ind w:left="176" w:hanging="280"/>
              <w:jc w:val="left"/>
              <w:rPr>
                <w:sz w:val="18"/>
                <w:szCs w:val="18"/>
                <w:lang w:eastAsia="pl-PL"/>
              </w:rPr>
            </w:pPr>
            <w:r>
              <w:rPr>
                <w:sz w:val="18"/>
                <w:szCs w:val="18"/>
                <w:lang w:eastAsia="pl-PL"/>
              </w:rPr>
              <w:t>(T) „oddziaływania komunikacyjne”</w:t>
            </w:r>
          </w:p>
          <w:p w14:paraId="029CD332" w14:textId="77777777" w:rsidR="002477F4" w:rsidRDefault="002477F4" w:rsidP="00D50036">
            <w:pPr>
              <w:pStyle w:val="Akapitzlist"/>
              <w:numPr>
                <w:ilvl w:val="0"/>
                <w:numId w:val="17"/>
              </w:numPr>
              <w:spacing w:after="0" w:line="240" w:lineRule="auto"/>
              <w:ind w:left="176" w:hanging="280"/>
              <w:jc w:val="left"/>
              <w:rPr>
                <w:sz w:val="18"/>
                <w:szCs w:val="18"/>
                <w:lang w:eastAsia="pl-PL"/>
              </w:rPr>
            </w:pPr>
            <w:r>
              <w:rPr>
                <w:sz w:val="18"/>
                <w:szCs w:val="18"/>
                <w:lang w:eastAsia="pl-PL"/>
              </w:rPr>
              <w:t>(T) „kumulacja braków w infrastrukturze” i (O) „poprawa stanu infrastruktury”</w:t>
            </w:r>
          </w:p>
          <w:p w14:paraId="555ECF46" w14:textId="77777777" w:rsidR="002477F4" w:rsidRDefault="002477F4" w:rsidP="00D50036">
            <w:pPr>
              <w:pStyle w:val="Akapitzlist"/>
              <w:numPr>
                <w:ilvl w:val="0"/>
                <w:numId w:val="17"/>
              </w:numPr>
              <w:spacing w:after="0" w:line="240" w:lineRule="auto"/>
              <w:ind w:left="176" w:hanging="280"/>
              <w:jc w:val="left"/>
              <w:rPr>
                <w:sz w:val="18"/>
                <w:szCs w:val="18"/>
                <w:lang w:eastAsia="pl-PL"/>
              </w:rPr>
            </w:pPr>
            <w:r>
              <w:rPr>
                <w:sz w:val="18"/>
                <w:szCs w:val="18"/>
                <w:lang w:eastAsia="pl-PL"/>
              </w:rPr>
              <w:t>(S) „wzrost więzi społecznych”</w:t>
            </w:r>
          </w:p>
          <w:p w14:paraId="31428D6B" w14:textId="77777777" w:rsidR="002477F4" w:rsidRPr="00942877" w:rsidRDefault="002477F4" w:rsidP="00D50036">
            <w:pPr>
              <w:pStyle w:val="Akapitzlist"/>
              <w:numPr>
                <w:ilvl w:val="0"/>
                <w:numId w:val="17"/>
              </w:numPr>
              <w:spacing w:after="0" w:line="240" w:lineRule="auto"/>
              <w:ind w:left="176" w:hanging="280"/>
              <w:jc w:val="left"/>
              <w:rPr>
                <w:sz w:val="18"/>
                <w:szCs w:val="18"/>
                <w:lang w:eastAsia="pl-PL"/>
              </w:rPr>
            </w:pPr>
            <w:r>
              <w:rPr>
                <w:sz w:val="18"/>
                <w:szCs w:val="18"/>
                <w:lang w:eastAsia="pl-PL"/>
              </w:rPr>
              <w:t>(S) „infrastruktura logistyczna”</w:t>
            </w:r>
          </w:p>
        </w:tc>
        <w:tc>
          <w:tcPr>
            <w:tcW w:w="3118" w:type="dxa"/>
            <w:tcBorders>
              <w:top w:val="single" w:sz="2" w:space="0" w:color="F6BB00"/>
              <w:bottom w:val="single" w:sz="2" w:space="0" w:color="F6BB00"/>
            </w:tcBorders>
            <w:vAlign w:val="center"/>
          </w:tcPr>
          <w:p w14:paraId="61381C4F" w14:textId="77777777" w:rsidR="002477F4" w:rsidRPr="00C21AF8" w:rsidRDefault="002477F4" w:rsidP="00133694">
            <w:pPr>
              <w:spacing w:line="240" w:lineRule="auto"/>
              <w:jc w:val="left"/>
              <w:rPr>
                <w:sz w:val="18"/>
                <w:szCs w:val="18"/>
                <w:lang w:eastAsia="pl-PL"/>
              </w:rPr>
            </w:pPr>
            <w:r>
              <w:rPr>
                <w:sz w:val="18"/>
                <w:szCs w:val="18"/>
                <w:lang w:eastAsia="pl-PL"/>
              </w:rPr>
              <w:t>Przy analizie SWOT obejmującej prawie 200 elementów należałoby się spodziewać bardzo dużej szczegółowości, co jednak nie jest udziałem analizy SWOT SRWW 2020 . Obecne zapisy często powodują b</w:t>
            </w:r>
            <w:r w:rsidRPr="00C21AF8">
              <w:rPr>
                <w:sz w:val="18"/>
                <w:szCs w:val="18"/>
                <w:lang w:eastAsia="pl-PL"/>
              </w:rPr>
              <w:t>rak możliwości jednoznacznej interpretacji</w:t>
            </w:r>
            <w:r>
              <w:rPr>
                <w:sz w:val="18"/>
                <w:szCs w:val="18"/>
                <w:lang w:eastAsia="pl-PL"/>
              </w:rPr>
              <w:t xml:space="preserve"> oraz</w:t>
            </w:r>
            <w:r w:rsidRPr="00C21AF8">
              <w:rPr>
                <w:sz w:val="18"/>
                <w:szCs w:val="18"/>
                <w:lang w:eastAsia="pl-PL"/>
              </w:rPr>
              <w:t xml:space="preserve"> ryzyko fałszywego wnioskowania. </w:t>
            </w:r>
          </w:p>
          <w:p w14:paraId="40A2E5C1" w14:textId="77777777" w:rsidR="002477F4" w:rsidRDefault="002477F4" w:rsidP="002477F4">
            <w:pPr>
              <w:spacing w:after="0" w:line="240" w:lineRule="auto"/>
              <w:jc w:val="left"/>
              <w:rPr>
                <w:b/>
                <w:sz w:val="18"/>
                <w:szCs w:val="18"/>
                <w:lang w:eastAsia="pl-PL"/>
              </w:rPr>
            </w:pPr>
            <w:r w:rsidRPr="00014A08">
              <w:rPr>
                <w:b/>
                <w:sz w:val="18"/>
                <w:szCs w:val="18"/>
                <w:lang w:eastAsia="pl-PL"/>
              </w:rPr>
              <w:t xml:space="preserve">Rekomendacja: </w:t>
            </w:r>
            <w:r>
              <w:rPr>
                <w:b/>
                <w:sz w:val="18"/>
                <w:szCs w:val="18"/>
                <w:lang w:eastAsia="pl-PL"/>
              </w:rPr>
              <w:t>zastąpienie</w:t>
            </w:r>
            <w:r w:rsidRPr="00014A08">
              <w:rPr>
                <w:b/>
                <w:sz w:val="18"/>
                <w:szCs w:val="18"/>
                <w:lang w:eastAsia="pl-PL"/>
              </w:rPr>
              <w:t xml:space="preserve"> takich zapisów</w:t>
            </w:r>
            <w:r>
              <w:rPr>
                <w:b/>
                <w:sz w:val="18"/>
                <w:szCs w:val="18"/>
                <w:lang w:eastAsia="pl-PL"/>
              </w:rPr>
              <w:t xml:space="preserve"> bardziej szczegółowymi – </w:t>
            </w:r>
          </w:p>
          <w:p w14:paraId="4454FBE6" w14:textId="77777777" w:rsidR="002477F4" w:rsidRPr="00942877" w:rsidRDefault="002477F4" w:rsidP="002477F4">
            <w:pPr>
              <w:spacing w:after="0" w:line="240" w:lineRule="auto"/>
              <w:jc w:val="left"/>
              <w:rPr>
                <w:sz w:val="18"/>
                <w:szCs w:val="18"/>
                <w:lang w:eastAsia="pl-PL"/>
              </w:rPr>
            </w:pPr>
            <w:r>
              <w:rPr>
                <w:b/>
                <w:sz w:val="18"/>
                <w:szCs w:val="18"/>
                <w:lang w:eastAsia="pl-PL"/>
              </w:rPr>
              <w:t>doprecyzowanie (jeśli to możliwe) lub ich usunięcie. Zadbanie o takie sformułowania, które jednoznacznie będą wskazywać charakter czynnika (pozytywny lub negatywny).</w:t>
            </w:r>
          </w:p>
        </w:tc>
      </w:tr>
      <w:tr w:rsidR="002477F4" w:rsidRPr="00942877" w14:paraId="52A8EB15" w14:textId="77777777" w:rsidTr="00D50036">
        <w:tc>
          <w:tcPr>
            <w:tcW w:w="2977" w:type="dxa"/>
            <w:tcBorders>
              <w:top w:val="single" w:sz="2" w:space="0" w:color="F6BB00"/>
              <w:bottom w:val="single" w:sz="2" w:space="0" w:color="F6BB00"/>
            </w:tcBorders>
            <w:vAlign w:val="center"/>
          </w:tcPr>
          <w:p w14:paraId="07059E42" w14:textId="6BA91C6C" w:rsidR="002477F4" w:rsidRPr="00AF7E6E" w:rsidRDefault="002477F4" w:rsidP="002477F4">
            <w:pPr>
              <w:spacing w:after="0" w:line="240" w:lineRule="auto"/>
              <w:jc w:val="left"/>
              <w:rPr>
                <w:sz w:val="18"/>
                <w:szCs w:val="18"/>
                <w:lang w:eastAsia="pl-PL"/>
              </w:rPr>
            </w:pPr>
            <w:r w:rsidRPr="00A20C13">
              <w:rPr>
                <w:b/>
                <w:sz w:val="18"/>
                <w:szCs w:val="18"/>
                <w:lang w:eastAsia="pl-PL"/>
              </w:rPr>
              <w:t>Zapisy sprawiające wrażenie wzajemnie sprzecznych</w:t>
            </w:r>
            <w:r>
              <w:rPr>
                <w:sz w:val="18"/>
                <w:szCs w:val="18"/>
                <w:lang w:eastAsia="pl-PL"/>
              </w:rPr>
              <w:t xml:space="preserve"> </w:t>
            </w:r>
          </w:p>
        </w:tc>
        <w:tc>
          <w:tcPr>
            <w:tcW w:w="2977" w:type="dxa"/>
            <w:tcBorders>
              <w:top w:val="single" w:sz="2" w:space="0" w:color="F6BB00"/>
              <w:bottom w:val="single" w:sz="2" w:space="0" w:color="F6BB00"/>
            </w:tcBorders>
            <w:vAlign w:val="center"/>
          </w:tcPr>
          <w:p w14:paraId="7D9504B8" w14:textId="77777777" w:rsidR="002477F4" w:rsidRDefault="002477F4" w:rsidP="00D50036">
            <w:pPr>
              <w:pStyle w:val="Akapitzlist"/>
              <w:numPr>
                <w:ilvl w:val="0"/>
                <w:numId w:val="19"/>
              </w:numPr>
              <w:spacing w:after="0" w:line="240" w:lineRule="auto"/>
              <w:ind w:left="176" w:hanging="283"/>
              <w:jc w:val="left"/>
              <w:rPr>
                <w:sz w:val="18"/>
                <w:szCs w:val="18"/>
                <w:lang w:eastAsia="pl-PL"/>
              </w:rPr>
            </w:pPr>
            <w:r>
              <w:rPr>
                <w:sz w:val="18"/>
                <w:szCs w:val="18"/>
                <w:lang w:eastAsia="pl-PL"/>
              </w:rPr>
              <w:t>(S) układ dróg wodnych sprzyjający rozwojowi transportu rzecznego i turystyki i (W) niewystarczające wykorzystanie dróg wodnych</w:t>
            </w:r>
          </w:p>
          <w:p w14:paraId="58E2F044" w14:textId="77777777" w:rsidR="002477F4" w:rsidRPr="000531CB" w:rsidRDefault="002477F4" w:rsidP="00D50036">
            <w:pPr>
              <w:pStyle w:val="Akapitzlist"/>
              <w:numPr>
                <w:ilvl w:val="0"/>
                <w:numId w:val="19"/>
              </w:numPr>
              <w:spacing w:after="0" w:line="240" w:lineRule="auto"/>
              <w:ind w:left="176" w:hanging="283"/>
              <w:jc w:val="left"/>
              <w:rPr>
                <w:sz w:val="18"/>
                <w:szCs w:val="18"/>
                <w:lang w:eastAsia="pl-PL"/>
              </w:rPr>
            </w:pPr>
            <w:r>
              <w:rPr>
                <w:sz w:val="18"/>
                <w:szCs w:val="18"/>
                <w:lang w:eastAsia="pl-PL"/>
              </w:rPr>
              <w:t>(T) „kumulacja braków w infrastrukturze”, (T) „zły stan infrastruktury, szczególnie komunikacyjnej, środowiskowej i energetycznej” i (O) „poprawa stanu infrastruktury”</w:t>
            </w:r>
          </w:p>
        </w:tc>
        <w:tc>
          <w:tcPr>
            <w:tcW w:w="3118" w:type="dxa"/>
            <w:tcBorders>
              <w:top w:val="single" w:sz="2" w:space="0" w:color="F6BB00"/>
              <w:bottom w:val="single" w:sz="2" w:space="0" w:color="F6BB00"/>
            </w:tcBorders>
            <w:vAlign w:val="center"/>
          </w:tcPr>
          <w:p w14:paraId="1528506D" w14:textId="77777777" w:rsidR="002477F4" w:rsidRDefault="002477F4" w:rsidP="00133694">
            <w:pPr>
              <w:spacing w:line="240" w:lineRule="auto"/>
              <w:jc w:val="left"/>
              <w:rPr>
                <w:sz w:val="18"/>
                <w:szCs w:val="18"/>
                <w:lang w:eastAsia="pl-PL"/>
              </w:rPr>
            </w:pPr>
            <w:r>
              <w:rPr>
                <w:sz w:val="18"/>
                <w:szCs w:val="18"/>
                <w:lang w:eastAsia="pl-PL"/>
              </w:rPr>
              <w:t>Dyskusyjne jest przykładowo zamieszczanie zapisów dot. „potencjału” w zakresie silnych stron, a jednocześnie „niewykorzystania tego potencjału” w zakresie słabych stron. Skoro istniejący potencjał jest niewykorzyst</w:t>
            </w:r>
            <w:r w:rsidR="00133694">
              <w:rPr>
                <w:sz w:val="18"/>
                <w:szCs w:val="18"/>
                <w:lang w:eastAsia="pl-PL"/>
              </w:rPr>
              <w:t>any, to pozostaje słabą stroną.</w:t>
            </w:r>
          </w:p>
          <w:p w14:paraId="46A21268" w14:textId="77777777" w:rsidR="002477F4" w:rsidRPr="005E28AB" w:rsidRDefault="002477F4" w:rsidP="002477F4">
            <w:pPr>
              <w:spacing w:after="0" w:line="240" w:lineRule="auto"/>
              <w:jc w:val="left"/>
              <w:rPr>
                <w:b/>
                <w:sz w:val="18"/>
                <w:szCs w:val="18"/>
                <w:lang w:eastAsia="pl-PL"/>
              </w:rPr>
            </w:pPr>
            <w:r w:rsidRPr="00627E13">
              <w:rPr>
                <w:b/>
                <w:sz w:val="18"/>
                <w:szCs w:val="18"/>
                <w:lang w:eastAsia="pl-PL"/>
              </w:rPr>
              <w:t>Rekomendacja: unikanie takich zapisów</w:t>
            </w:r>
            <w:r w:rsidRPr="005E28AB">
              <w:rPr>
                <w:b/>
                <w:sz w:val="18"/>
                <w:szCs w:val="18"/>
                <w:lang w:eastAsia="pl-PL"/>
              </w:rPr>
              <w:t xml:space="preserve"> </w:t>
            </w:r>
          </w:p>
        </w:tc>
      </w:tr>
      <w:tr w:rsidR="002477F4" w:rsidRPr="00942877" w14:paraId="0FCEC4A5" w14:textId="77777777" w:rsidTr="00D50036">
        <w:tc>
          <w:tcPr>
            <w:tcW w:w="2977" w:type="dxa"/>
            <w:tcBorders>
              <w:top w:val="single" w:sz="2" w:space="0" w:color="F6BB00"/>
              <w:bottom w:val="single" w:sz="2" w:space="0" w:color="F6BB00"/>
            </w:tcBorders>
            <w:vAlign w:val="center"/>
          </w:tcPr>
          <w:p w14:paraId="354F7386" w14:textId="77777777" w:rsidR="002477F4" w:rsidRPr="00EB1427" w:rsidRDefault="002477F4" w:rsidP="002477F4">
            <w:pPr>
              <w:spacing w:after="0" w:line="240" w:lineRule="auto"/>
              <w:jc w:val="left"/>
              <w:rPr>
                <w:sz w:val="18"/>
                <w:szCs w:val="18"/>
                <w:lang w:eastAsia="pl-PL"/>
              </w:rPr>
            </w:pPr>
            <w:r w:rsidRPr="000F3E20">
              <w:rPr>
                <w:b/>
                <w:sz w:val="18"/>
                <w:szCs w:val="18"/>
                <w:lang w:eastAsia="pl-PL"/>
              </w:rPr>
              <w:t>Powtórzenia</w:t>
            </w:r>
            <w:r>
              <w:rPr>
                <w:sz w:val="18"/>
                <w:szCs w:val="18"/>
                <w:lang w:eastAsia="pl-PL"/>
              </w:rPr>
              <w:t xml:space="preserve"> – te same czynniki pojawiają się kilkukrotnie (w lekko zmodyfikowanej lub wręcz niezmienionej formie).</w:t>
            </w:r>
          </w:p>
        </w:tc>
        <w:tc>
          <w:tcPr>
            <w:tcW w:w="2977" w:type="dxa"/>
            <w:tcBorders>
              <w:top w:val="single" w:sz="2" w:space="0" w:color="F6BB00"/>
              <w:bottom w:val="single" w:sz="2" w:space="0" w:color="F6BB00"/>
            </w:tcBorders>
            <w:vAlign w:val="center"/>
          </w:tcPr>
          <w:p w14:paraId="440FAEED" w14:textId="77777777" w:rsidR="002477F4" w:rsidRDefault="002477F4" w:rsidP="00D50036">
            <w:pPr>
              <w:pStyle w:val="Akapitzlist"/>
              <w:numPr>
                <w:ilvl w:val="0"/>
                <w:numId w:val="16"/>
              </w:numPr>
              <w:spacing w:after="0" w:line="240" w:lineRule="auto"/>
              <w:ind w:left="176" w:hanging="282"/>
              <w:jc w:val="left"/>
              <w:rPr>
                <w:sz w:val="18"/>
                <w:szCs w:val="18"/>
                <w:lang w:eastAsia="pl-PL"/>
              </w:rPr>
            </w:pPr>
            <w:r>
              <w:rPr>
                <w:sz w:val="18"/>
                <w:szCs w:val="18"/>
                <w:lang w:eastAsia="pl-PL"/>
              </w:rPr>
              <w:t xml:space="preserve">(T) „antropopresja” i „wzrastająca antropopresja” </w:t>
            </w:r>
          </w:p>
          <w:p w14:paraId="28B68C5F" w14:textId="77777777" w:rsidR="002477F4" w:rsidRDefault="002477F4" w:rsidP="00D50036">
            <w:pPr>
              <w:pStyle w:val="Akapitzlist"/>
              <w:numPr>
                <w:ilvl w:val="0"/>
                <w:numId w:val="16"/>
              </w:numPr>
              <w:spacing w:after="0" w:line="240" w:lineRule="auto"/>
              <w:ind w:left="176" w:hanging="282"/>
              <w:jc w:val="left"/>
              <w:rPr>
                <w:sz w:val="18"/>
                <w:szCs w:val="18"/>
                <w:lang w:eastAsia="pl-PL"/>
              </w:rPr>
            </w:pPr>
            <w:r>
              <w:rPr>
                <w:sz w:val="18"/>
                <w:szCs w:val="18"/>
                <w:lang w:eastAsia="pl-PL"/>
              </w:rPr>
              <w:t xml:space="preserve">(T) „zmiany klimatu” i „zmiany klimatyczne” </w:t>
            </w:r>
          </w:p>
          <w:p w14:paraId="7E33DCEB" w14:textId="77777777" w:rsidR="002477F4" w:rsidRPr="00D87960" w:rsidRDefault="002477F4" w:rsidP="00D50036">
            <w:pPr>
              <w:pStyle w:val="Akapitzlist"/>
              <w:numPr>
                <w:ilvl w:val="0"/>
                <w:numId w:val="16"/>
              </w:numPr>
              <w:spacing w:after="0" w:line="240" w:lineRule="auto"/>
              <w:ind w:left="176" w:hanging="282"/>
              <w:jc w:val="left"/>
              <w:rPr>
                <w:sz w:val="18"/>
                <w:szCs w:val="18"/>
                <w:lang w:eastAsia="pl-PL"/>
              </w:rPr>
            </w:pPr>
            <w:r>
              <w:rPr>
                <w:sz w:val="18"/>
                <w:szCs w:val="18"/>
                <w:lang w:eastAsia="pl-PL"/>
              </w:rPr>
              <w:t>(S) „spadek poziomu emisji zanieczyszczeń” i (O) „zmniejszająca się emisja zanieczyszczeń”</w:t>
            </w:r>
          </w:p>
          <w:p w14:paraId="26AF1D5B" w14:textId="77777777" w:rsidR="002477F4" w:rsidRPr="00CD7C30" w:rsidRDefault="002477F4" w:rsidP="00D50036">
            <w:pPr>
              <w:pStyle w:val="Akapitzlist"/>
              <w:numPr>
                <w:ilvl w:val="0"/>
                <w:numId w:val="16"/>
              </w:numPr>
              <w:spacing w:after="0" w:line="240" w:lineRule="auto"/>
              <w:ind w:left="176" w:hanging="282"/>
              <w:jc w:val="left"/>
              <w:rPr>
                <w:sz w:val="18"/>
                <w:szCs w:val="18"/>
                <w:lang w:eastAsia="pl-PL"/>
              </w:rPr>
            </w:pPr>
            <w:r w:rsidRPr="00AB17D7">
              <w:rPr>
                <w:sz w:val="18"/>
                <w:szCs w:val="18"/>
                <w:lang w:eastAsia="pl-PL"/>
              </w:rPr>
              <w:t>(T) „marginalizacja grup o najniższym wykształceniu, upośledzonych pod względem społecznym, fizycznym i psychicznym” – dwukrotnie</w:t>
            </w:r>
            <w:r>
              <w:rPr>
                <w:sz w:val="18"/>
                <w:szCs w:val="18"/>
                <w:lang w:eastAsia="pl-PL"/>
              </w:rPr>
              <w:t xml:space="preserve"> ten sam zapis</w:t>
            </w:r>
          </w:p>
        </w:tc>
        <w:tc>
          <w:tcPr>
            <w:tcW w:w="3118" w:type="dxa"/>
            <w:tcBorders>
              <w:top w:val="single" w:sz="2" w:space="0" w:color="F6BB00"/>
              <w:bottom w:val="single" w:sz="2" w:space="0" w:color="F6BB00"/>
            </w:tcBorders>
            <w:vAlign w:val="center"/>
          </w:tcPr>
          <w:p w14:paraId="2705FACF" w14:textId="77777777" w:rsidR="002477F4" w:rsidRDefault="002477F4" w:rsidP="00133694">
            <w:pPr>
              <w:spacing w:line="240" w:lineRule="auto"/>
              <w:jc w:val="left"/>
              <w:rPr>
                <w:sz w:val="18"/>
                <w:szCs w:val="18"/>
                <w:lang w:eastAsia="pl-PL"/>
              </w:rPr>
            </w:pPr>
            <w:r>
              <w:rPr>
                <w:sz w:val="18"/>
                <w:szCs w:val="18"/>
                <w:lang w:eastAsia="pl-PL"/>
              </w:rPr>
              <w:t>Niepotrzebne zwiększenie objętości strategii.</w:t>
            </w:r>
          </w:p>
          <w:p w14:paraId="2B73AD5E" w14:textId="77777777" w:rsidR="002477F4" w:rsidRPr="00942877" w:rsidRDefault="002477F4" w:rsidP="002477F4">
            <w:pPr>
              <w:spacing w:after="0" w:line="240" w:lineRule="auto"/>
              <w:jc w:val="left"/>
              <w:rPr>
                <w:sz w:val="18"/>
                <w:szCs w:val="18"/>
                <w:lang w:eastAsia="pl-PL"/>
              </w:rPr>
            </w:pPr>
            <w:r w:rsidRPr="000B1A98">
              <w:rPr>
                <w:b/>
                <w:sz w:val="18"/>
                <w:szCs w:val="18"/>
                <w:lang w:eastAsia="pl-PL"/>
              </w:rPr>
              <w:t>Rekomendacja: wyeliminowanie powtarzających się zapisów.</w:t>
            </w:r>
          </w:p>
        </w:tc>
      </w:tr>
      <w:tr w:rsidR="002477F4" w:rsidRPr="00942877" w14:paraId="3384AAAC" w14:textId="77777777" w:rsidTr="00D50036">
        <w:tc>
          <w:tcPr>
            <w:tcW w:w="2977" w:type="dxa"/>
            <w:tcBorders>
              <w:top w:val="single" w:sz="2" w:space="0" w:color="F6BB00"/>
              <w:bottom w:val="single" w:sz="2" w:space="0" w:color="F6BB00"/>
            </w:tcBorders>
            <w:vAlign w:val="center"/>
          </w:tcPr>
          <w:p w14:paraId="0A5AAB16" w14:textId="0BE95754" w:rsidR="002477F4" w:rsidRPr="000F3E20" w:rsidRDefault="002477F4" w:rsidP="002477F4">
            <w:pPr>
              <w:spacing w:after="0" w:line="240" w:lineRule="auto"/>
              <w:jc w:val="left"/>
              <w:rPr>
                <w:b/>
                <w:sz w:val="18"/>
                <w:szCs w:val="18"/>
                <w:lang w:eastAsia="pl-PL"/>
              </w:rPr>
            </w:pPr>
            <w:r w:rsidRPr="00D93ACB">
              <w:rPr>
                <w:b/>
                <w:sz w:val="18"/>
                <w:szCs w:val="18"/>
                <w:lang w:eastAsia="pl-PL"/>
              </w:rPr>
              <w:t>Przemieszanie czynników wewnętrznych i zewnętrznych</w:t>
            </w:r>
            <w:r w:rsidRPr="00D50036">
              <w:rPr>
                <w:sz w:val="18"/>
                <w:szCs w:val="18"/>
                <w:lang w:eastAsia="pl-PL"/>
              </w:rPr>
              <w:t xml:space="preserve"> – </w:t>
            </w:r>
            <w:r w:rsidRPr="005C1E96">
              <w:rPr>
                <w:sz w:val="18"/>
                <w:szCs w:val="18"/>
                <w:lang w:eastAsia="pl-PL"/>
              </w:rPr>
              <w:t>będące między innymi konsekwencją przyjęcia jako kryterium „czynnika</w:t>
            </w:r>
            <w:r w:rsidRPr="00884957">
              <w:rPr>
                <w:sz w:val="18"/>
                <w:szCs w:val="18"/>
                <w:lang w:eastAsia="pl-PL"/>
              </w:rPr>
              <w:t xml:space="preserve"> zewnętrznego” założenia o „zewnętrzności” wobec analizowanego sektora:</w:t>
            </w:r>
            <w:r>
              <w:rPr>
                <w:b/>
                <w:sz w:val="18"/>
                <w:szCs w:val="18"/>
                <w:lang w:eastAsia="pl-PL"/>
              </w:rPr>
              <w:t xml:space="preserve"> </w:t>
            </w:r>
            <w:r w:rsidRPr="008710FB">
              <w:rPr>
                <w:i/>
                <w:sz w:val="18"/>
                <w:szCs w:val="18"/>
                <w:lang w:eastAsia="pl-PL"/>
              </w:rPr>
              <w:t xml:space="preserve">Silne i słabe </w:t>
            </w:r>
            <w:r w:rsidRPr="008710FB">
              <w:rPr>
                <w:i/>
                <w:sz w:val="18"/>
                <w:szCs w:val="18"/>
                <w:lang w:eastAsia="pl-PL"/>
              </w:rPr>
              <w:lastRenderedPageBreak/>
              <w:t>strony odnoszą się do wewnętrznych cech województwa lub sektora analizowanego. Szanse i zagrożenia odnoszą się do właściwości otoczenia województwa oraz do cech innych sektorów, względem sektora analizowanego,</w:t>
            </w:r>
            <w:r>
              <w:rPr>
                <w:lang w:eastAsia="pl-PL"/>
              </w:rPr>
              <w:t xml:space="preserve"> </w:t>
            </w:r>
            <w:r>
              <w:rPr>
                <w:sz w:val="18"/>
                <w:szCs w:val="18"/>
                <w:lang w:eastAsia="pl-PL"/>
              </w:rPr>
              <w:t>SRWW 2020</w:t>
            </w:r>
            <w:r w:rsidRPr="008710FB">
              <w:rPr>
                <w:sz w:val="18"/>
                <w:szCs w:val="18"/>
                <w:lang w:eastAsia="pl-PL"/>
              </w:rPr>
              <w:t>, s. 49)</w:t>
            </w:r>
            <w:r>
              <w:rPr>
                <w:sz w:val="18"/>
                <w:szCs w:val="18"/>
                <w:lang w:eastAsia="pl-PL"/>
              </w:rPr>
              <w:t xml:space="preserve">. Zgodnie z przyjętym w SRWW 2020 założeniem wykonywania analizy SWOT sektorowej – </w:t>
            </w:r>
            <w:r w:rsidRPr="008710FB">
              <w:rPr>
                <w:i/>
                <w:sz w:val="18"/>
                <w:szCs w:val="18"/>
                <w:lang w:eastAsia="pl-PL"/>
              </w:rPr>
              <w:t xml:space="preserve">słabe strony określonego sektora mogą być jednocześnie zagrożeniem dla innego, a silne strony – szansą lub odwrotnie </w:t>
            </w:r>
            <w:r>
              <w:rPr>
                <w:sz w:val="18"/>
                <w:szCs w:val="18"/>
                <w:lang w:eastAsia="pl-PL"/>
              </w:rPr>
              <w:t>(SRWW 2020, s. 49).</w:t>
            </w:r>
          </w:p>
        </w:tc>
        <w:tc>
          <w:tcPr>
            <w:tcW w:w="2977" w:type="dxa"/>
            <w:tcBorders>
              <w:top w:val="single" w:sz="2" w:space="0" w:color="F6BB00"/>
              <w:bottom w:val="single" w:sz="2" w:space="0" w:color="F6BB00"/>
            </w:tcBorders>
            <w:vAlign w:val="center"/>
          </w:tcPr>
          <w:p w14:paraId="536226DC" w14:textId="77777777" w:rsidR="002477F4" w:rsidRDefault="002477F4" w:rsidP="00D50036">
            <w:pPr>
              <w:pStyle w:val="Akapitzlist"/>
              <w:numPr>
                <w:ilvl w:val="0"/>
                <w:numId w:val="15"/>
              </w:numPr>
              <w:spacing w:after="0" w:line="240" w:lineRule="auto"/>
              <w:ind w:left="176" w:hanging="283"/>
              <w:jc w:val="left"/>
              <w:rPr>
                <w:sz w:val="18"/>
                <w:szCs w:val="18"/>
                <w:lang w:eastAsia="pl-PL"/>
              </w:rPr>
            </w:pPr>
            <w:r>
              <w:rPr>
                <w:sz w:val="18"/>
                <w:szCs w:val="18"/>
                <w:lang w:eastAsia="pl-PL"/>
              </w:rPr>
              <w:lastRenderedPageBreak/>
              <w:t>(O) „dobre warunki dla energii odnawialnej, konwencjonalnej i jądrowej” – czynnik wewnętrzny</w:t>
            </w:r>
          </w:p>
          <w:p w14:paraId="7779A4C7" w14:textId="77777777" w:rsidR="002477F4" w:rsidRDefault="002477F4" w:rsidP="00D50036">
            <w:pPr>
              <w:pStyle w:val="Akapitzlist"/>
              <w:numPr>
                <w:ilvl w:val="0"/>
                <w:numId w:val="15"/>
              </w:numPr>
              <w:spacing w:after="0" w:line="240" w:lineRule="auto"/>
              <w:ind w:left="176" w:hanging="283"/>
              <w:jc w:val="left"/>
              <w:rPr>
                <w:sz w:val="18"/>
                <w:szCs w:val="18"/>
                <w:lang w:eastAsia="pl-PL"/>
              </w:rPr>
            </w:pPr>
            <w:r>
              <w:rPr>
                <w:sz w:val="18"/>
                <w:szCs w:val="18"/>
                <w:lang w:eastAsia="pl-PL"/>
              </w:rPr>
              <w:t>(O) „wzrastająca ranga metropolii poznańskiej i ośrodków subregionalnych” – czynnik wewnętrzny</w:t>
            </w:r>
          </w:p>
          <w:p w14:paraId="10B364DA" w14:textId="77777777" w:rsidR="002477F4" w:rsidRDefault="002477F4" w:rsidP="00D50036">
            <w:pPr>
              <w:pStyle w:val="Akapitzlist"/>
              <w:numPr>
                <w:ilvl w:val="0"/>
                <w:numId w:val="15"/>
              </w:numPr>
              <w:spacing w:after="0" w:line="240" w:lineRule="auto"/>
              <w:ind w:left="176" w:hanging="283"/>
              <w:jc w:val="left"/>
              <w:rPr>
                <w:sz w:val="18"/>
                <w:szCs w:val="18"/>
                <w:lang w:eastAsia="pl-PL"/>
              </w:rPr>
            </w:pPr>
            <w:r>
              <w:rPr>
                <w:sz w:val="18"/>
                <w:szCs w:val="18"/>
                <w:lang w:eastAsia="pl-PL"/>
              </w:rPr>
              <w:lastRenderedPageBreak/>
              <w:t>(O) „wzrost wykształcenia i zamożności mieszkańców” – czynnik wewnętrzny</w:t>
            </w:r>
          </w:p>
          <w:p w14:paraId="4D30AABA" w14:textId="77777777" w:rsidR="002477F4" w:rsidRDefault="002477F4" w:rsidP="00D50036">
            <w:pPr>
              <w:pStyle w:val="Akapitzlist"/>
              <w:numPr>
                <w:ilvl w:val="0"/>
                <w:numId w:val="15"/>
              </w:numPr>
              <w:spacing w:after="0" w:line="240" w:lineRule="auto"/>
              <w:ind w:left="176" w:hanging="283"/>
              <w:jc w:val="left"/>
              <w:rPr>
                <w:sz w:val="18"/>
                <w:szCs w:val="18"/>
                <w:lang w:eastAsia="pl-PL"/>
              </w:rPr>
            </w:pPr>
            <w:r>
              <w:rPr>
                <w:sz w:val="18"/>
                <w:szCs w:val="18"/>
                <w:lang w:eastAsia="pl-PL"/>
              </w:rPr>
              <w:t>(T) „liczne grupy i środowiska zagrożone wykluczeniem” – czynnik wewnętrzny</w:t>
            </w:r>
          </w:p>
          <w:p w14:paraId="5F128FDD" w14:textId="77777777" w:rsidR="002477F4" w:rsidRDefault="002477F4" w:rsidP="00D50036">
            <w:pPr>
              <w:pStyle w:val="Akapitzlist"/>
              <w:numPr>
                <w:ilvl w:val="0"/>
                <w:numId w:val="15"/>
              </w:numPr>
              <w:spacing w:after="0" w:line="240" w:lineRule="auto"/>
              <w:ind w:left="176" w:hanging="283"/>
              <w:jc w:val="left"/>
              <w:rPr>
                <w:sz w:val="18"/>
                <w:szCs w:val="18"/>
                <w:lang w:eastAsia="pl-PL"/>
              </w:rPr>
            </w:pPr>
            <w:r w:rsidRPr="00AB17D7">
              <w:rPr>
                <w:sz w:val="18"/>
                <w:szCs w:val="18"/>
                <w:lang w:eastAsia="pl-PL"/>
              </w:rPr>
              <w:t>(W) i (T) „niewystarczająca i niedostosowana do potrzeb oferta edukacyjna”</w:t>
            </w:r>
            <w:r>
              <w:rPr>
                <w:sz w:val="18"/>
                <w:szCs w:val="18"/>
                <w:lang w:eastAsia="pl-PL"/>
              </w:rPr>
              <w:t xml:space="preserve"> </w:t>
            </w:r>
          </w:p>
          <w:p w14:paraId="6625F982" w14:textId="77777777" w:rsidR="002477F4" w:rsidRPr="009709F3" w:rsidRDefault="002477F4" w:rsidP="00D50036">
            <w:pPr>
              <w:pStyle w:val="Akapitzlist"/>
              <w:numPr>
                <w:ilvl w:val="0"/>
                <w:numId w:val="15"/>
              </w:numPr>
              <w:spacing w:after="0" w:line="240" w:lineRule="auto"/>
              <w:ind w:left="176" w:hanging="283"/>
              <w:jc w:val="left"/>
              <w:rPr>
                <w:sz w:val="18"/>
                <w:szCs w:val="18"/>
                <w:lang w:eastAsia="pl-PL"/>
              </w:rPr>
            </w:pPr>
            <w:r>
              <w:rPr>
                <w:sz w:val="18"/>
                <w:szCs w:val="18"/>
                <w:lang w:eastAsia="pl-PL"/>
              </w:rPr>
              <w:t xml:space="preserve">(S) „spadek poziomu emisji zanieczyszczeń” i (O) „zmniejszająca się emisja zanieczyszczeń” </w:t>
            </w:r>
          </w:p>
          <w:p w14:paraId="59E1E377" w14:textId="77777777" w:rsidR="002477F4" w:rsidRPr="00C94784" w:rsidRDefault="002477F4" w:rsidP="002477F4">
            <w:pPr>
              <w:spacing w:after="0" w:line="240" w:lineRule="auto"/>
              <w:ind w:left="-43"/>
              <w:jc w:val="left"/>
              <w:rPr>
                <w:sz w:val="18"/>
                <w:szCs w:val="18"/>
                <w:lang w:eastAsia="pl-PL"/>
              </w:rPr>
            </w:pPr>
          </w:p>
        </w:tc>
        <w:tc>
          <w:tcPr>
            <w:tcW w:w="3118" w:type="dxa"/>
            <w:tcBorders>
              <w:top w:val="single" w:sz="2" w:space="0" w:color="F6BB00"/>
              <w:bottom w:val="single" w:sz="2" w:space="0" w:color="F6BB00"/>
            </w:tcBorders>
            <w:vAlign w:val="center"/>
          </w:tcPr>
          <w:p w14:paraId="49E03402" w14:textId="77777777" w:rsidR="002477F4" w:rsidRPr="00934211" w:rsidRDefault="002477F4" w:rsidP="00133694">
            <w:pPr>
              <w:spacing w:line="240" w:lineRule="auto"/>
              <w:jc w:val="left"/>
              <w:rPr>
                <w:sz w:val="18"/>
                <w:szCs w:val="18"/>
                <w:lang w:eastAsia="pl-PL"/>
              </w:rPr>
            </w:pPr>
            <w:r w:rsidRPr="005D730F">
              <w:rPr>
                <w:sz w:val="18"/>
                <w:szCs w:val="18"/>
                <w:lang w:eastAsia="pl-PL"/>
              </w:rPr>
              <w:lastRenderedPageBreak/>
              <w:t>Takie przyjęte założenie stwarza zagrożenie</w:t>
            </w:r>
            <w:r>
              <w:rPr>
                <w:sz w:val="18"/>
                <w:szCs w:val="18"/>
                <w:lang w:eastAsia="pl-PL"/>
              </w:rPr>
              <w:t xml:space="preserve"> nie</w:t>
            </w:r>
            <w:r w:rsidRPr="005D730F">
              <w:rPr>
                <w:sz w:val="18"/>
                <w:szCs w:val="18"/>
                <w:lang w:eastAsia="pl-PL"/>
              </w:rPr>
              <w:t xml:space="preserve">jednoznaczności w interpretacji zidentyfikowanych elementów, co </w:t>
            </w:r>
            <w:r>
              <w:rPr>
                <w:sz w:val="18"/>
                <w:szCs w:val="18"/>
                <w:lang w:eastAsia="pl-PL"/>
              </w:rPr>
              <w:t xml:space="preserve">jest problematyczne </w:t>
            </w:r>
            <w:r w:rsidRPr="005D730F">
              <w:rPr>
                <w:sz w:val="18"/>
                <w:szCs w:val="18"/>
                <w:lang w:eastAsia="pl-PL"/>
              </w:rPr>
              <w:t xml:space="preserve">na etapie formułowania celów rozwojowych. </w:t>
            </w:r>
            <w:r>
              <w:rPr>
                <w:sz w:val="18"/>
                <w:szCs w:val="18"/>
                <w:lang w:eastAsia="pl-PL"/>
              </w:rPr>
              <w:t xml:space="preserve">Wprowadza ponadto </w:t>
            </w:r>
            <w:r>
              <w:rPr>
                <w:sz w:val="18"/>
                <w:szCs w:val="18"/>
                <w:lang w:eastAsia="pl-PL"/>
              </w:rPr>
              <w:lastRenderedPageBreak/>
              <w:t xml:space="preserve">chaos i niejednoznaczność interpretacji. </w:t>
            </w:r>
          </w:p>
          <w:p w14:paraId="3937FA28" w14:textId="77777777" w:rsidR="002477F4" w:rsidRDefault="002477F4" w:rsidP="002477F4">
            <w:pPr>
              <w:spacing w:after="0" w:line="240" w:lineRule="auto"/>
              <w:jc w:val="left"/>
              <w:rPr>
                <w:sz w:val="18"/>
                <w:szCs w:val="18"/>
                <w:lang w:eastAsia="pl-PL"/>
              </w:rPr>
            </w:pPr>
            <w:r>
              <w:rPr>
                <w:b/>
                <w:sz w:val="18"/>
                <w:szCs w:val="18"/>
                <w:lang w:eastAsia="pl-PL"/>
              </w:rPr>
              <w:t>Rekomendacja:</w:t>
            </w:r>
            <w:r w:rsidRPr="0046118D">
              <w:rPr>
                <w:b/>
                <w:sz w:val="18"/>
                <w:szCs w:val="18"/>
                <w:lang w:eastAsia="pl-PL"/>
              </w:rPr>
              <w:t xml:space="preserve"> rezygnacj</w:t>
            </w:r>
            <w:r>
              <w:rPr>
                <w:b/>
                <w:sz w:val="18"/>
                <w:szCs w:val="18"/>
                <w:lang w:eastAsia="pl-PL"/>
              </w:rPr>
              <w:t>a</w:t>
            </w:r>
            <w:r w:rsidRPr="0046118D">
              <w:rPr>
                <w:b/>
                <w:sz w:val="18"/>
                <w:szCs w:val="18"/>
                <w:lang w:eastAsia="pl-PL"/>
              </w:rPr>
              <w:t xml:space="preserve"> z wielosektorowej analizy SWOT na rzecz analizy zbiorczej, zakładającej jednocześnie eliminację elementów o niej</w:t>
            </w:r>
            <w:r>
              <w:rPr>
                <w:b/>
                <w:sz w:val="18"/>
                <w:szCs w:val="18"/>
                <w:lang w:eastAsia="pl-PL"/>
              </w:rPr>
              <w:t>asnym</w:t>
            </w:r>
            <w:r w:rsidRPr="0046118D">
              <w:rPr>
                <w:b/>
                <w:sz w:val="18"/>
                <w:szCs w:val="18"/>
                <w:lang w:eastAsia="pl-PL"/>
              </w:rPr>
              <w:t xml:space="preserve"> charakterze</w:t>
            </w:r>
            <w:r>
              <w:rPr>
                <w:b/>
                <w:sz w:val="18"/>
                <w:szCs w:val="18"/>
                <w:lang w:eastAsia="pl-PL"/>
              </w:rPr>
              <w:t xml:space="preserve"> oraz przyjęcie jednoznacznego założenia, że szanse i zagrożenia to czynniki zewnętrzne wobec województwa (a nie sektora).</w:t>
            </w:r>
          </w:p>
        </w:tc>
      </w:tr>
    </w:tbl>
    <w:p w14:paraId="03944FAC" w14:textId="77777777" w:rsidR="002477F4" w:rsidRPr="00F87228" w:rsidRDefault="002477F4" w:rsidP="002477F4">
      <w:pPr>
        <w:rPr>
          <w:sz w:val="18"/>
          <w:szCs w:val="18"/>
        </w:rPr>
      </w:pPr>
      <w:r w:rsidRPr="00F87228">
        <w:rPr>
          <w:sz w:val="18"/>
          <w:szCs w:val="18"/>
        </w:rPr>
        <w:lastRenderedPageBreak/>
        <w:t>Źródło: opracowanie własne.</w:t>
      </w:r>
    </w:p>
    <w:p w14:paraId="6BC11C06" w14:textId="77777777" w:rsidR="000F3F30" w:rsidRPr="000F3F30" w:rsidRDefault="000F3F30" w:rsidP="00BF08D5">
      <w:pPr>
        <w:ind w:left="4536"/>
        <w:jc w:val="left"/>
        <w:rPr>
          <w:b/>
          <w:i/>
          <w:color w:val="001E50"/>
        </w:rPr>
      </w:pPr>
      <w:r w:rsidRPr="002477F4">
        <w:rPr>
          <w:b/>
          <w:i/>
          <w:color w:val="001E50"/>
        </w:rPr>
        <w:t>C</w:t>
      </w:r>
      <w:r>
        <w:rPr>
          <w:b/>
          <w:i/>
          <w:color w:val="001E50"/>
        </w:rPr>
        <w:t>zęść zapisów jest już nieaktualna</w:t>
      </w:r>
      <w:r w:rsidRPr="000F3F30">
        <w:rPr>
          <w:b/>
          <w:i/>
          <w:color w:val="001E50"/>
        </w:rPr>
        <w:t xml:space="preserve"> </w:t>
      </w:r>
    </w:p>
    <w:p w14:paraId="6A5D0844" w14:textId="06B9E3E0" w:rsidR="002477F4" w:rsidRDefault="002477F4" w:rsidP="002477F4">
      <w:r>
        <w:rPr>
          <w:lang w:eastAsia="pl-PL"/>
        </w:rPr>
        <w:t xml:space="preserve">Poddawana analizie Strategia rozwoju województwa została uchwalona w 2012 roku, a podstawą do formułowanych wniosków strategicznych często były materiały diagnostyczne pochodzące z 2010-2011 roku. Przez te kilka lat sytuacja w województwie, </w:t>
      </w:r>
      <w:r w:rsidR="416AC848" w:rsidRPr="416AC848">
        <w:rPr>
          <w:lang w:eastAsia="pl-PL"/>
        </w:rPr>
        <w:t>a</w:t>
      </w:r>
      <w:r>
        <w:rPr>
          <w:lang w:eastAsia="pl-PL"/>
        </w:rPr>
        <w:t xml:space="preserve"> także w </w:t>
      </w:r>
      <w:r w:rsidR="416AC848" w:rsidRPr="416AC848">
        <w:rPr>
          <w:lang w:eastAsia="pl-PL"/>
        </w:rPr>
        <w:t xml:space="preserve">jego </w:t>
      </w:r>
      <w:r>
        <w:rPr>
          <w:lang w:eastAsia="pl-PL"/>
        </w:rPr>
        <w:t xml:space="preserve">otoczeniu dynamicznie się </w:t>
      </w:r>
      <w:r w:rsidR="416AC848" w:rsidRPr="416AC848">
        <w:rPr>
          <w:lang w:eastAsia="pl-PL"/>
        </w:rPr>
        <w:t>zmieniała</w:t>
      </w:r>
      <w:r>
        <w:rPr>
          <w:lang w:eastAsia="pl-PL"/>
        </w:rPr>
        <w:t xml:space="preserve">, w efekcie czego konieczne jest zweryfikowanie, które elementy wskazane w analizie SWOT są nadal aktualne, a które na tej aktualności straciły. </w:t>
      </w:r>
      <w:r w:rsidRPr="416AC848">
        <w:rPr>
          <w:lang w:eastAsia="pl-PL"/>
        </w:rPr>
        <w:t>W tym miejscu koncentr</w:t>
      </w:r>
      <w:r w:rsidR="000F3F30" w:rsidRPr="416AC848">
        <w:rPr>
          <w:lang w:eastAsia="pl-PL"/>
        </w:rPr>
        <w:t xml:space="preserve">owano </w:t>
      </w:r>
      <w:r w:rsidRPr="416AC848">
        <w:rPr>
          <w:lang w:eastAsia="pl-PL"/>
        </w:rPr>
        <w:t xml:space="preserve">się wyłącznie na elementach, które </w:t>
      </w:r>
      <w:r w:rsidRPr="00004321">
        <w:rPr>
          <w:b/>
        </w:rPr>
        <w:t>przestały być aktualne</w:t>
      </w:r>
      <w:r>
        <w:t xml:space="preserve"> (np. z uwagi na poprawę lub pogorszenie sytuacji w danym zakresie), a nie na elementach, które z uwagi na zastrzeżenia o charakterze metodycznym (sygnalizowane w poprzednim podrozdziale) zostały pominięte w dalszej dyskusji nad kształtem analizy SWOT. </w:t>
      </w:r>
    </w:p>
    <w:p w14:paraId="0E12FCBC" w14:textId="2BEC507C" w:rsidR="002477F4" w:rsidRDefault="002477F4" w:rsidP="002477F4">
      <w:pPr>
        <w:rPr>
          <w:lang w:eastAsia="pl-PL"/>
        </w:rPr>
      </w:pPr>
      <w:r>
        <w:rPr>
          <w:lang w:eastAsia="pl-PL"/>
        </w:rPr>
        <w:t xml:space="preserve">Przyczyny, dla których elementy zawarte w analizie SWOT </w:t>
      </w:r>
      <w:r w:rsidR="416AC848" w:rsidRPr="416AC848">
        <w:rPr>
          <w:lang w:eastAsia="pl-PL"/>
        </w:rPr>
        <w:t>tracą na aktualności</w:t>
      </w:r>
      <w:r>
        <w:rPr>
          <w:lang w:eastAsia="pl-PL"/>
        </w:rPr>
        <w:t xml:space="preserve">, mogą być zasadniczo dwojakiego rodzaju: (1) </w:t>
      </w:r>
      <w:r w:rsidRPr="005267A0">
        <w:rPr>
          <w:b/>
          <w:lang w:eastAsia="pl-PL"/>
        </w:rPr>
        <w:t>wewnętrzne</w:t>
      </w:r>
      <w:r>
        <w:rPr>
          <w:lang w:eastAsia="pl-PL"/>
        </w:rPr>
        <w:t xml:space="preserve">, czyli związane ze zmianą sytuacji w województwie lub (2) </w:t>
      </w:r>
      <w:r w:rsidRPr="005267A0">
        <w:rPr>
          <w:b/>
          <w:lang w:eastAsia="pl-PL"/>
        </w:rPr>
        <w:t>zewnętrzne</w:t>
      </w:r>
      <w:r>
        <w:rPr>
          <w:lang w:eastAsia="pl-PL"/>
        </w:rPr>
        <w:t xml:space="preserve">, czyli związane ze zmianami w naszym otoczeniu zewnętrznym. W przypadku </w:t>
      </w:r>
      <w:r w:rsidRPr="00AE221E">
        <w:rPr>
          <w:b/>
          <w:lang w:eastAsia="pl-PL"/>
        </w:rPr>
        <w:t>uwarunkowań wewnętrznych</w:t>
      </w:r>
      <w:r>
        <w:rPr>
          <w:lang w:eastAsia="pl-PL"/>
        </w:rPr>
        <w:t xml:space="preserve"> warto zwrócić uwagę między innymi na fakt oddziaływania strategii. Skoro strategia ma służyć najogólniej wzmocnieniu silnych stron</w:t>
      </w:r>
      <w:r w:rsidR="416AC848" w:rsidRPr="416AC848">
        <w:rPr>
          <w:lang w:eastAsia="pl-PL"/>
        </w:rPr>
        <w:t xml:space="preserve"> i</w:t>
      </w:r>
      <w:r>
        <w:rPr>
          <w:lang w:eastAsia="pl-PL"/>
        </w:rPr>
        <w:t xml:space="preserve"> osłabieniu słabych</w:t>
      </w:r>
      <w:r w:rsidR="416AC848" w:rsidRPr="416AC848">
        <w:rPr>
          <w:lang w:eastAsia="pl-PL"/>
        </w:rPr>
        <w:t>,</w:t>
      </w:r>
      <w:r>
        <w:rPr>
          <w:lang w:eastAsia="pl-PL"/>
        </w:rPr>
        <w:t xml:space="preserve"> to należałoby się spodziewać, że niektóre słabe strony powinny stracić na aktualności (</w:t>
      </w:r>
      <w:r w:rsidR="416AC848" w:rsidRPr="416AC848">
        <w:rPr>
          <w:lang w:eastAsia="pl-PL"/>
        </w:rPr>
        <w:t>czyli przestałyby</w:t>
      </w:r>
      <w:r>
        <w:rPr>
          <w:lang w:eastAsia="pl-PL"/>
        </w:rPr>
        <w:t xml:space="preserve"> być słabymi stronami). Być może jednak zaniechanie pewnych działań lub konkurencyjne działania innych regionów spowodowały, że nasze silne strony przestały być </w:t>
      </w:r>
      <w:r w:rsidR="002051AE">
        <w:rPr>
          <w:lang w:eastAsia="pl-PL"/>
        </w:rPr>
        <w:t>na tyle</w:t>
      </w:r>
      <w:r>
        <w:rPr>
          <w:lang w:eastAsia="pl-PL"/>
        </w:rPr>
        <w:t xml:space="preserve"> unikalnymi cechami, </w:t>
      </w:r>
      <w:r w:rsidR="002051AE">
        <w:rPr>
          <w:lang w:eastAsia="pl-PL"/>
        </w:rPr>
        <w:t xml:space="preserve">aby warto było je wyróżniać w analizie SWOT. </w:t>
      </w:r>
      <w:r w:rsidRPr="009922AC">
        <w:rPr>
          <w:b/>
          <w:lang w:eastAsia="pl-PL"/>
        </w:rPr>
        <w:t>Otoczenie zewnętrzne</w:t>
      </w:r>
      <w:r>
        <w:rPr>
          <w:lang w:eastAsia="pl-PL"/>
        </w:rPr>
        <w:t xml:space="preserve"> – zarówno to bliższe (na poziomie krajowym), jak i to dalsze (europejskie, światowe) – także może podlegać pewnym zmianom. Przykładowo, na arenie krajowej finalizowane są prace nad Krajową Strategią Rozwoju Regionalnego 2030, </w:t>
      </w:r>
      <w:r w:rsidR="416AC848" w:rsidRPr="416AC848">
        <w:rPr>
          <w:lang w:eastAsia="pl-PL"/>
        </w:rPr>
        <w:t xml:space="preserve">a </w:t>
      </w:r>
      <w:r>
        <w:rPr>
          <w:lang w:eastAsia="pl-PL"/>
        </w:rPr>
        <w:t xml:space="preserve">w Europie trwają prace nad budżetem Unii Europejskiej na lata 2021-2027. To wszystko sprawia, </w:t>
      </w:r>
      <w:r w:rsidR="00A966E2">
        <w:rPr>
          <w:lang w:eastAsia="pl-PL"/>
        </w:rPr>
        <w:t>ż</w:t>
      </w:r>
      <w:r>
        <w:rPr>
          <w:lang w:eastAsia="pl-PL"/>
        </w:rPr>
        <w:t xml:space="preserve">e nie tylko sformułowane wcześniej szanse i </w:t>
      </w:r>
      <w:r w:rsidR="416AC848" w:rsidRPr="416AC848">
        <w:rPr>
          <w:lang w:eastAsia="pl-PL"/>
        </w:rPr>
        <w:t>zagrożenia</w:t>
      </w:r>
      <w:r>
        <w:rPr>
          <w:lang w:eastAsia="pl-PL"/>
        </w:rPr>
        <w:t xml:space="preserve"> powinny ulec weryfikacji, ale także silne i słabe strony – w kontekście obserwowanych trendów.</w:t>
      </w:r>
    </w:p>
    <w:p w14:paraId="09767E95" w14:textId="3764A3D6" w:rsidR="002477F4" w:rsidRDefault="002477F4" w:rsidP="002477F4">
      <w:pPr>
        <w:rPr>
          <w:lang w:eastAsia="pl-PL"/>
        </w:rPr>
      </w:pPr>
      <w:r>
        <w:rPr>
          <w:lang w:eastAsia="pl-PL"/>
        </w:rPr>
        <w:t>Poniżej przedstawi</w:t>
      </w:r>
      <w:r w:rsidR="000F3F30">
        <w:rPr>
          <w:lang w:eastAsia="pl-PL"/>
        </w:rPr>
        <w:t>ono</w:t>
      </w:r>
      <w:r>
        <w:rPr>
          <w:lang w:eastAsia="pl-PL"/>
        </w:rPr>
        <w:t xml:space="preserve"> główne elementy, które z różnych względów straciły na swojej aktualności (</w:t>
      </w:r>
      <w:r>
        <w:rPr>
          <w:lang w:eastAsia="pl-PL"/>
        </w:rPr>
        <w:fldChar w:fldCharType="begin"/>
      </w:r>
      <w:r>
        <w:rPr>
          <w:lang w:eastAsia="pl-PL"/>
        </w:rPr>
        <w:instrText xml:space="preserve"> REF _Ref536637932 \h </w:instrText>
      </w:r>
      <w:r>
        <w:rPr>
          <w:lang w:eastAsia="pl-PL"/>
        </w:rPr>
      </w:r>
      <w:r>
        <w:rPr>
          <w:lang w:eastAsia="pl-PL"/>
        </w:rPr>
        <w:fldChar w:fldCharType="separate"/>
      </w:r>
      <w:r w:rsidR="007F4FA2">
        <w:t xml:space="preserve">Tabela </w:t>
      </w:r>
      <w:r w:rsidR="007F4FA2">
        <w:rPr>
          <w:noProof/>
        </w:rPr>
        <w:t>6</w:t>
      </w:r>
      <w:r>
        <w:rPr>
          <w:lang w:eastAsia="pl-PL"/>
        </w:rPr>
        <w:fldChar w:fldCharType="end"/>
      </w:r>
      <w:r>
        <w:rPr>
          <w:lang w:eastAsia="pl-PL"/>
        </w:rPr>
        <w:t>). Z uwagi na fakt, że wiele szans oraz zagrożeń zawartych w analizie SWOT SRWW 2020 nie spełnia proponowanego w ewaluacji założenia (czynników zewnętrznych wobec województwa), w ograniczonym zakresie są one oceniane pod kątem aktualności (większość z nich została bowiem wyeliminowana bądź zmodyfikowana na etapie poprawek metodycznych). Poniższe zestawienie siłą rzeczy koncentruje się więc na czynnikach wewnętrznych, czyli silnych i słabych s</w:t>
      </w:r>
      <w:r w:rsidR="00631503">
        <w:rPr>
          <w:lang w:eastAsia="pl-PL"/>
        </w:rPr>
        <w:t>tronach.</w:t>
      </w:r>
    </w:p>
    <w:p w14:paraId="3E575500" w14:textId="77777777" w:rsidR="00631503" w:rsidRPr="00B44A47" w:rsidRDefault="00631503" w:rsidP="002477F4">
      <w:pPr>
        <w:rPr>
          <w:lang w:eastAsia="pl-PL"/>
        </w:rPr>
      </w:pPr>
    </w:p>
    <w:p w14:paraId="21E2DC25" w14:textId="33F640DF" w:rsidR="002477F4" w:rsidRDefault="002477F4" w:rsidP="002477F4">
      <w:pPr>
        <w:pStyle w:val="Legenda"/>
        <w:keepNext/>
      </w:pPr>
      <w:bookmarkStart w:id="58" w:name="_Ref536637932"/>
      <w:bookmarkStart w:id="59" w:name="_Toc5699539"/>
      <w:r>
        <w:lastRenderedPageBreak/>
        <w:t xml:space="preserve">Tabela </w:t>
      </w:r>
      <w:r w:rsidRPr="69901DB0">
        <w:fldChar w:fldCharType="begin"/>
      </w:r>
      <w:r>
        <w:rPr>
          <w:noProof/>
        </w:rPr>
        <w:instrText xml:space="preserve"> SEQ Tabela \* ARABIC </w:instrText>
      </w:r>
      <w:r w:rsidRPr="69901DB0">
        <w:rPr>
          <w:noProof/>
        </w:rPr>
        <w:fldChar w:fldCharType="separate"/>
      </w:r>
      <w:r w:rsidR="007F4FA2">
        <w:rPr>
          <w:noProof/>
        </w:rPr>
        <w:t>6</w:t>
      </w:r>
      <w:r w:rsidRPr="69901DB0">
        <w:fldChar w:fldCharType="end"/>
      </w:r>
      <w:bookmarkEnd w:id="58"/>
      <w:r>
        <w:t xml:space="preserve">. </w:t>
      </w:r>
      <w:r w:rsidR="001A1BC1">
        <w:t xml:space="preserve">Elementy </w:t>
      </w:r>
      <w:r>
        <w:t>nieaktualne w analizie SWOT SRWW 2020</w:t>
      </w:r>
      <w:bookmarkEnd w:id="59"/>
      <w:r>
        <w:t xml:space="preserve"> </w:t>
      </w:r>
    </w:p>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ela 5. Wybrane elementy nieaktualne w analizie SWOT SRWW 2020 "/>
        <w:tblDescription w:val="Tabela przedstawia elementy analizy SWOT, które nie są już aktualne wraz z komentarzem do każdego z nich."/>
      </w:tblPr>
      <w:tblGrid>
        <w:gridCol w:w="2694"/>
        <w:gridCol w:w="6378"/>
      </w:tblGrid>
      <w:tr w:rsidR="002477F4" w14:paraId="6AD21EF6" w14:textId="77777777" w:rsidTr="00D50036">
        <w:tc>
          <w:tcPr>
            <w:tcW w:w="2694" w:type="dxa"/>
            <w:tcBorders>
              <w:bottom w:val="single" w:sz="2" w:space="0" w:color="F6BB00"/>
            </w:tcBorders>
            <w:shd w:val="clear" w:color="auto" w:fill="F6BB00"/>
          </w:tcPr>
          <w:p w14:paraId="17242BE5" w14:textId="77777777" w:rsidR="002477F4" w:rsidRDefault="002477F4" w:rsidP="002477F4">
            <w:pPr>
              <w:spacing w:after="0" w:line="240" w:lineRule="auto"/>
              <w:jc w:val="center"/>
              <w:rPr>
                <w:b/>
                <w:sz w:val="18"/>
                <w:szCs w:val="18"/>
                <w:lang w:eastAsia="pl-PL"/>
              </w:rPr>
            </w:pPr>
            <w:r>
              <w:rPr>
                <w:b/>
                <w:sz w:val="18"/>
                <w:szCs w:val="18"/>
                <w:lang w:eastAsia="pl-PL"/>
              </w:rPr>
              <w:t>Element nieaktualny</w:t>
            </w:r>
          </w:p>
        </w:tc>
        <w:tc>
          <w:tcPr>
            <w:tcW w:w="6378" w:type="dxa"/>
            <w:tcBorders>
              <w:bottom w:val="single" w:sz="2" w:space="0" w:color="F6BB00"/>
            </w:tcBorders>
            <w:shd w:val="clear" w:color="auto" w:fill="F6BB00"/>
          </w:tcPr>
          <w:p w14:paraId="61B4A95C" w14:textId="77777777" w:rsidR="002477F4" w:rsidRDefault="002477F4" w:rsidP="002477F4">
            <w:pPr>
              <w:spacing w:after="0" w:line="240" w:lineRule="auto"/>
              <w:jc w:val="center"/>
              <w:rPr>
                <w:b/>
                <w:sz w:val="18"/>
                <w:szCs w:val="18"/>
                <w:lang w:eastAsia="pl-PL"/>
              </w:rPr>
            </w:pPr>
            <w:r>
              <w:rPr>
                <w:b/>
                <w:sz w:val="18"/>
                <w:szCs w:val="18"/>
                <w:lang w:eastAsia="pl-PL"/>
              </w:rPr>
              <w:t>Komentarz</w:t>
            </w:r>
          </w:p>
        </w:tc>
      </w:tr>
      <w:tr w:rsidR="002477F4" w:rsidRPr="00942877" w14:paraId="5D4A8A37" w14:textId="77777777" w:rsidTr="00D50036">
        <w:trPr>
          <w:trHeight w:val="311"/>
        </w:trPr>
        <w:tc>
          <w:tcPr>
            <w:tcW w:w="2694" w:type="dxa"/>
            <w:tcBorders>
              <w:top w:val="single" w:sz="2" w:space="0" w:color="F6BB00"/>
              <w:bottom w:val="single" w:sz="2" w:space="0" w:color="F6BB00"/>
            </w:tcBorders>
            <w:vAlign w:val="center"/>
          </w:tcPr>
          <w:p w14:paraId="19FABCD4" w14:textId="77777777" w:rsidR="002477F4" w:rsidRPr="00EB1427" w:rsidRDefault="002477F4" w:rsidP="002477F4">
            <w:pPr>
              <w:spacing w:after="0" w:line="240" w:lineRule="auto"/>
              <w:jc w:val="left"/>
              <w:rPr>
                <w:sz w:val="18"/>
                <w:szCs w:val="18"/>
                <w:lang w:eastAsia="pl-PL"/>
              </w:rPr>
            </w:pPr>
            <w:r>
              <w:rPr>
                <w:sz w:val="18"/>
                <w:szCs w:val="18"/>
                <w:lang w:eastAsia="pl-PL"/>
              </w:rPr>
              <w:t>(S) duże zasoby węgla brunatnego</w:t>
            </w:r>
          </w:p>
        </w:tc>
        <w:tc>
          <w:tcPr>
            <w:tcW w:w="6378" w:type="dxa"/>
            <w:tcBorders>
              <w:top w:val="single" w:sz="2" w:space="0" w:color="F6BB00"/>
              <w:bottom w:val="single" w:sz="2" w:space="0" w:color="F6BB00"/>
            </w:tcBorders>
            <w:vAlign w:val="center"/>
          </w:tcPr>
          <w:p w14:paraId="432AD56D" w14:textId="77777777" w:rsidR="002477F4" w:rsidRPr="002F65F1" w:rsidRDefault="002477F4" w:rsidP="002477F4">
            <w:pPr>
              <w:spacing w:after="0" w:line="240" w:lineRule="auto"/>
              <w:rPr>
                <w:sz w:val="18"/>
                <w:szCs w:val="18"/>
                <w:lang w:eastAsia="pl-PL"/>
              </w:rPr>
            </w:pPr>
            <w:r w:rsidRPr="002F65F1">
              <w:rPr>
                <w:sz w:val="18"/>
                <w:szCs w:val="18"/>
                <w:lang w:eastAsia="pl-PL"/>
              </w:rPr>
              <w:t>W kontekście</w:t>
            </w:r>
            <w:r>
              <w:rPr>
                <w:sz w:val="18"/>
                <w:szCs w:val="18"/>
                <w:lang w:eastAsia="pl-PL"/>
              </w:rPr>
              <w:t xml:space="preserve"> obserwowanych trendów europejskich w zakresie polityki energetycznej trudno nadal traktować „zasoby węgla brunatnego” jako istotną silną stronę. Ponadto, analizy waloryzacji ekonomicznej rankingu złóż w Polsce nie wskazują zasobów węgla brunatnego w Wielkopolsce jako złóż najbardziej strategicznych w skali krajowej.</w:t>
            </w:r>
          </w:p>
        </w:tc>
      </w:tr>
      <w:tr w:rsidR="002477F4" w:rsidRPr="00942877" w14:paraId="240B8CF6" w14:textId="77777777" w:rsidTr="00D50036">
        <w:trPr>
          <w:trHeight w:val="273"/>
        </w:trPr>
        <w:tc>
          <w:tcPr>
            <w:tcW w:w="2694" w:type="dxa"/>
            <w:tcBorders>
              <w:top w:val="single" w:sz="2" w:space="0" w:color="F6BB00"/>
              <w:bottom w:val="single" w:sz="2" w:space="0" w:color="F6BB00"/>
            </w:tcBorders>
            <w:vAlign w:val="center"/>
          </w:tcPr>
          <w:p w14:paraId="0FA55519" w14:textId="77777777" w:rsidR="002477F4" w:rsidRPr="0052667C" w:rsidRDefault="002477F4" w:rsidP="002477F4">
            <w:pPr>
              <w:spacing w:after="0" w:line="240" w:lineRule="auto"/>
              <w:jc w:val="left"/>
              <w:rPr>
                <w:sz w:val="18"/>
                <w:szCs w:val="18"/>
                <w:lang w:eastAsia="pl-PL"/>
              </w:rPr>
            </w:pPr>
            <w:r>
              <w:rPr>
                <w:sz w:val="18"/>
                <w:szCs w:val="18"/>
                <w:lang w:eastAsia="pl-PL"/>
              </w:rPr>
              <w:t>(S) Międzynarodowe Targi Poznańskie</w:t>
            </w:r>
          </w:p>
        </w:tc>
        <w:tc>
          <w:tcPr>
            <w:tcW w:w="6378" w:type="dxa"/>
            <w:tcBorders>
              <w:top w:val="single" w:sz="2" w:space="0" w:color="F6BB00"/>
              <w:bottom w:val="single" w:sz="2" w:space="0" w:color="F6BB00"/>
            </w:tcBorders>
            <w:vAlign w:val="center"/>
          </w:tcPr>
          <w:p w14:paraId="54BE4FE3" w14:textId="77777777" w:rsidR="002477F4" w:rsidRPr="00942877" w:rsidRDefault="002477F4" w:rsidP="002477F4">
            <w:pPr>
              <w:spacing w:after="0" w:line="240" w:lineRule="auto"/>
              <w:rPr>
                <w:sz w:val="18"/>
                <w:szCs w:val="18"/>
                <w:lang w:eastAsia="pl-PL"/>
              </w:rPr>
            </w:pPr>
            <w:r>
              <w:rPr>
                <w:sz w:val="18"/>
                <w:szCs w:val="18"/>
                <w:lang w:eastAsia="pl-PL"/>
              </w:rPr>
              <w:t>Podczas wywiadów pogłębionych zwracano uwagę na zmniejszenie znaczenia targów i w efekcie utratę strategicznego charakteru tego zasobu. Ponadto, w dobie globalizacji i dynamicznego rozwoju internetu uczestnictwo w targach przestaje być postrzegane jako główne narzędzie marketingowe oraz kluczowa możliwość nawiązania kontaktów biznesowych.</w:t>
            </w:r>
          </w:p>
        </w:tc>
      </w:tr>
      <w:tr w:rsidR="002477F4" w:rsidRPr="00942877" w14:paraId="3FEBD65D" w14:textId="77777777" w:rsidTr="00D50036">
        <w:trPr>
          <w:trHeight w:val="273"/>
        </w:trPr>
        <w:tc>
          <w:tcPr>
            <w:tcW w:w="2694" w:type="dxa"/>
            <w:tcBorders>
              <w:top w:val="single" w:sz="2" w:space="0" w:color="F6BB00"/>
              <w:bottom w:val="single" w:sz="2" w:space="0" w:color="F6BB00"/>
            </w:tcBorders>
            <w:vAlign w:val="center"/>
          </w:tcPr>
          <w:p w14:paraId="6A2B7682" w14:textId="446BEB57" w:rsidR="002477F4" w:rsidRDefault="002477F4" w:rsidP="002477F4">
            <w:pPr>
              <w:spacing w:after="0" w:line="240" w:lineRule="auto"/>
              <w:jc w:val="left"/>
              <w:rPr>
                <w:sz w:val="18"/>
                <w:szCs w:val="18"/>
                <w:lang w:eastAsia="pl-PL"/>
              </w:rPr>
            </w:pPr>
            <w:r>
              <w:rPr>
                <w:sz w:val="18"/>
                <w:szCs w:val="18"/>
                <w:lang w:eastAsia="pl-PL"/>
              </w:rPr>
              <w:t xml:space="preserve">(S) Port Lotniczy Poznań-Ławica i </w:t>
            </w:r>
            <w:r w:rsidR="416AC848" w:rsidRPr="416AC848">
              <w:rPr>
                <w:sz w:val="18"/>
                <w:szCs w:val="18"/>
                <w:lang w:eastAsia="pl-PL"/>
              </w:rPr>
              <w:t>inna</w:t>
            </w:r>
            <w:r>
              <w:rPr>
                <w:sz w:val="18"/>
                <w:szCs w:val="18"/>
                <w:lang w:eastAsia="pl-PL"/>
              </w:rPr>
              <w:t xml:space="preserve"> infrastruktura lotniskowa regionu</w:t>
            </w:r>
          </w:p>
        </w:tc>
        <w:tc>
          <w:tcPr>
            <w:tcW w:w="6378" w:type="dxa"/>
            <w:tcBorders>
              <w:top w:val="single" w:sz="2" w:space="0" w:color="F6BB00"/>
              <w:bottom w:val="single" w:sz="2" w:space="0" w:color="F6BB00"/>
            </w:tcBorders>
            <w:vAlign w:val="center"/>
          </w:tcPr>
          <w:p w14:paraId="206E3B76" w14:textId="77777777" w:rsidR="002477F4" w:rsidRDefault="002477F4" w:rsidP="002477F4">
            <w:pPr>
              <w:spacing w:after="0" w:line="240" w:lineRule="auto"/>
              <w:rPr>
                <w:sz w:val="18"/>
                <w:szCs w:val="18"/>
                <w:lang w:eastAsia="pl-PL"/>
              </w:rPr>
            </w:pPr>
            <w:r>
              <w:rPr>
                <w:sz w:val="18"/>
                <w:szCs w:val="18"/>
                <w:lang w:eastAsia="pl-PL"/>
              </w:rPr>
              <w:t xml:space="preserve">W wywiadach kwestionowana była strategiczna rola Portu Lotniczego Poznań-Ławica. Zwracano między innymi uwagę na trudności w jego dalszym rozwoju (kwestia lokalizacji i presji społecznej). </w:t>
            </w:r>
          </w:p>
        </w:tc>
      </w:tr>
      <w:tr w:rsidR="002477F4" w:rsidRPr="00942877" w14:paraId="59D60FE7" w14:textId="77777777" w:rsidTr="00D50036">
        <w:trPr>
          <w:trHeight w:val="273"/>
        </w:trPr>
        <w:tc>
          <w:tcPr>
            <w:tcW w:w="2694" w:type="dxa"/>
            <w:tcBorders>
              <w:top w:val="single" w:sz="2" w:space="0" w:color="F6BB00"/>
              <w:bottom w:val="single" w:sz="2" w:space="0" w:color="F6BB00"/>
            </w:tcBorders>
            <w:vAlign w:val="center"/>
          </w:tcPr>
          <w:p w14:paraId="558B85FA" w14:textId="77777777" w:rsidR="002477F4" w:rsidRDefault="002477F4" w:rsidP="002477F4">
            <w:pPr>
              <w:spacing w:after="0" w:line="240" w:lineRule="auto"/>
              <w:jc w:val="left"/>
              <w:rPr>
                <w:sz w:val="18"/>
                <w:szCs w:val="18"/>
                <w:lang w:eastAsia="pl-PL"/>
              </w:rPr>
            </w:pPr>
            <w:r>
              <w:rPr>
                <w:sz w:val="18"/>
                <w:szCs w:val="18"/>
                <w:lang w:eastAsia="pl-PL"/>
              </w:rPr>
              <w:t>(S) duży potencjał biomasy do produkcji energii</w:t>
            </w:r>
          </w:p>
        </w:tc>
        <w:tc>
          <w:tcPr>
            <w:tcW w:w="6378" w:type="dxa"/>
            <w:tcBorders>
              <w:top w:val="single" w:sz="2" w:space="0" w:color="F6BB00"/>
              <w:bottom w:val="single" w:sz="2" w:space="0" w:color="F6BB00"/>
            </w:tcBorders>
            <w:vAlign w:val="center"/>
          </w:tcPr>
          <w:p w14:paraId="649F99A4" w14:textId="77777777" w:rsidR="002477F4" w:rsidRDefault="002477F4" w:rsidP="002477F4">
            <w:pPr>
              <w:spacing w:after="0" w:line="240" w:lineRule="auto"/>
              <w:rPr>
                <w:sz w:val="18"/>
                <w:szCs w:val="18"/>
                <w:lang w:eastAsia="pl-PL"/>
              </w:rPr>
            </w:pPr>
            <w:r>
              <w:rPr>
                <w:sz w:val="18"/>
                <w:szCs w:val="18"/>
                <w:lang w:eastAsia="pl-PL"/>
              </w:rPr>
              <w:t xml:space="preserve">W wywiadach wskazywano na dezaktualizację tego elementu, głównie z uwagi na spadek opłacalności produkcji roślin energetycznych, a także na stosunkowo małe zasoby regionu w tym zakresie (ledwo starczające na pokrycie zapotrzebowania w produkcji zwierzęcej). </w:t>
            </w:r>
          </w:p>
        </w:tc>
      </w:tr>
      <w:tr w:rsidR="002477F4" w:rsidRPr="00942877" w14:paraId="1D184431" w14:textId="77777777" w:rsidTr="00D50036">
        <w:trPr>
          <w:trHeight w:val="273"/>
        </w:trPr>
        <w:tc>
          <w:tcPr>
            <w:tcW w:w="2694" w:type="dxa"/>
            <w:tcBorders>
              <w:top w:val="single" w:sz="2" w:space="0" w:color="F6BB00"/>
              <w:bottom w:val="single" w:sz="2" w:space="0" w:color="F6BB00"/>
            </w:tcBorders>
            <w:vAlign w:val="center"/>
          </w:tcPr>
          <w:p w14:paraId="042CFD45" w14:textId="77777777" w:rsidR="002477F4" w:rsidRDefault="002477F4" w:rsidP="002477F4">
            <w:pPr>
              <w:spacing w:after="0" w:line="240" w:lineRule="auto"/>
              <w:jc w:val="left"/>
              <w:rPr>
                <w:sz w:val="18"/>
                <w:szCs w:val="18"/>
                <w:lang w:eastAsia="pl-PL"/>
              </w:rPr>
            </w:pPr>
            <w:r>
              <w:rPr>
                <w:sz w:val="18"/>
                <w:szCs w:val="18"/>
                <w:lang w:eastAsia="pl-PL"/>
              </w:rPr>
              <w:t>(S) układ dróg wodnych sprzyjający rozwojowi transportu rzecznego i turystki i (W) niewystarczające wykorzystanie dróg wodnych</w:t>
            </w:r>
          </w:p>
        </w:tc>
        <w:tc>
          <w:tcPr>
            <w:tcW w:w="6378" w:type="dxa"/>
            <w:tcBorders>
              <w:top w:val="single" w:sz="2" w:space="0" w:color="F6BB00"/>
              <w:bottom w:val="single" w:sz="2" w:space="0" w:color="F6BB00"/>
            </w:tcBorders>
            <w:vAlign w:val="center"/>
          </w:tcPr>
          <w:p w14:paraId="4CFCE634" w14:textId="77777777" w:rsidR="002477F4" w:rsidRDefault="002477F4" w:rsidP="002477F4">
            <w:pPr>
              <w:spacing w:after="0" w:line="240" w:lineRule="auto"/>
              <w:rPr>
                <w:sz w:val="18"/>
                <w:szCs w:val="18"/>
                <w:lang w:eastAsia="pl-PL"/>
              </w:rPr>
            </w:pPr>
            <w:r>
              <w:rPr>
                <w:sz w:val="18"/>
                <w:szCs w:val="18"/>
                <w:lang w:eastAsia="pl-PL"/>
              </w:rPr>
              <w:t>W wywiadach wskazywano, że o ile sam układ dróg wodnych z geograficznego punktu widzenia jest korzystny, o tyle jego znaczenie w praktyce – w tym dla rozwoju transportu rzecznego i turystyki – jest znikome, a inwestycje w tym zakresie nieopłacalne.</w:t>
            </w:r>
          </w:p>
        </w:tc>
      </w:tr>
      <w:tr w:rsidR="002477F4" w:rsidRPr="00942877" w14:paraId="63DE507F" w14:textId="77777777" w:rsidTr="00D50036">
        <w:trPr>
          <w:trHeight w:val="273"/>
        </w:trPr>
        <w:tc>
          <w:tcPr>
            <w:tcW w:w="2694" w:type="dxa"/>
            <w:tcBorders>
              <w:top w:val="single" w:sz="2" w:space="0" w:color="F6BB00"/>
              <w:bottom w:val="single" w:sz="2" w:space="0" w:color="F6BB00"/>
            </w:tcBorders>
            <w:vAlign w:val="center"/>
          </w:tcPr>
          <w:p w14:paraId="46FCC379" w14:textId="77777777" w:rsidR="002477F4" w:rsidRDefault="002477F4" w:rsidP="002477F4">
            <w:pPr>
              <w:spacing w:after="0" w:line="240" w:lineRule="auto"/>
              <w:jc w:val="left"/>
              <w:rPr>
                <w:sz w:val="18"/>
                <w:szCs w:val="18"/>
                <w:lang w:eastAsia="pl-PL"/>
              </w:rPr>
            </w:pPr>
            <w:r>
              <w:rPr>
                <w:sz w:val="18"/>
                <w:szCs w:val="18"/>
                <w:lang w:eastAsia="pl-PL"/>
              </w:rPr>
              <w:t>(W) ograniczona oferta instrumentów finansowych</w:t>
            </w:r>
          </w:p>
        </w:tc>
        <w:tc>
          <w:tcPr>
            <w:tcW w:w="6378" w:type="dxa"/>
            <w:tcBorders>
              <w:top w:val="single" w:sz="2" w:space="0" w:color="F6BB00"/>
              <w:bottom w:val="single" w:sz="2" w:space="0" w:color="F6BB00"/>
            </w:tcBorders>
            <w:vAlign w:val="center"/>
          </w:tcPr>
          <w:p w14:paraId="69E3D138" w14:textId="77777777" w:rsidR="002477F4" w:rsidRDefault="002477F4" w:rsidP="002477F4">
            <w:pPr>
              <w:spacing w:after="0" w:line="240" w:lineRule="auto"/>
              <w:rPr>
                <w:sz w:val="18"/>
                <w:szCs w:val="18"/>
                <w:lang w:eastAsia="pl-PL"/>
              </w:rPr>
            </w:pPr>
            <w:r>
              <w:rPr>
                <w:sz w:val="18"/>
                <w:szCs w:val="18"/>
                <w:lang w:eastAsia="pl-PL"/>
              </w:rPr>
              <w:t>W</w:t>
            </w:r>
            <w:r>
              <w:rPr>
                <w:sz w:val="18"/>
                <w:szCs w:val="18"/>
              </w:rPr>
              <w:t xml:space="preserve"> wywiadach zwracano uwagę na </w:t>
            </w:r>
            <w:r>
              <w:rPr>
                <w:sz w:val="18"/>
                <w:szCs w:val="18"/>
                <w:lang w:eastAsia="pl-PL"/>
              </w:rPr>
              <w:t xml:space="preserve">poprawę sytuacji w tym zakresie wskutek prowadzonych działań, w związku z czym dany element przestał być „negatywnym” wyróżnikiem województwa. </w:t>
            </w:r>
          </w:p>
        </w:tc>
      </w:tr>
      <w:tr w:rsidR="002477F4" w:rsidRPr="00942877" w14:paraId="1171D080" w14:textId="77777777" w:rsidTr="00D50036">
        <w:trPr>
          <w:trHeight w:val="273"/>
        </w:trPr>
        <w:tc>
          <w:tcPr>
            <w:tcW w:w="2694" w:type="dxa"/>
            <w:tcBorders>
              <w:top w:val="single" w:sz="2" w:space="0" w:color="F6BB00"/>
              <w:bottom w:val="single" w:sz="2" w:space="0" w:color="F6BB00"/>
            </w:tcBorders>
            <w:vAlign w:val="center"/>
          </w:tcPr>
          <w:p w14:paraId="62C2FB57" w14:textId="77777777" w:rsidR="002477F4" w:rsidRDefault="002477F4" w:rsidP="002477F4">
            <w:pPr>
              <w:spacing w:after="0" w:line="240" w:lineRule="auto"/>
              <w:jc w:val="left"/>
              <w:rPr>
                <w:sz w:val="18"/>
                <w:szCs w:val="18"/>
                <w:lang w:eastAsia="pl-PL"/>
              </w:rPr>
            </w:pPr>
            <w:r>
              <w:rPr>
                <w:sz w:val="18"/>
                <w:szCs w:val="18"/>
                <w:lang w:eastAsia="pl-PL"/>
              </w:rPr>
              <w:t>(W) niewystarczająca infrastruktura badawcza</w:t>
            </w:r>
          </w:p>
        </w:tc>
        <w:tc>
          <w:tcPr>
            <w:tcW w:w="6378" w:type="dxa"/>
            <w:tcBorders>
              <w:top w:val="single" w:sz="2" w:space="0" w:color="F6BB00"/>
              <w:bottom w:val="single" w:sz="2" w:space="0" w:color="F6BB00"/>
            </w:tcBorders>
            <w:vAlign w:val="center"/>
          </w:tcPr>
          <w:p w14:paraId="6D312553" w14:textId="77777777" w:rsidR="002477F4" w:rsidRDefault="002477F4" w:rsidP="002477F4">
            <w:pPr>
              <w:spacing w:after="0" w:line="240" w:lineRule="auto"/>
              <w:rPr>
                <w:sz w:val="18"/>
                <w:szCs w:val="18"/>
                <w:lang w:eastAsia="pl-PL"/>
              </w:rPr>
            </w:pPr>
            <w:r>
              <w:rPr>
                <w:sz w:val="18"/>
                <w:szCs w:val="18"/>
                <w:lang w:eastAsia="pl-PL"/>
              </w:rPr>
              <w:t>Potencjał naukowo-badawczy regionu (na który składają się zarówno istniejące zasoby ludzkie, jak i istniejąca infrastruktura badawcza) stanowi silną stronę regionu. Ewentualnym problemem może być kwestia nierównomiernego rozmieszczenia tej infrastruktury (choć z natury infrastruktura B+R wykazuje dużą koncentrację) oraz niewystarczające wykorzystywanie tej infrastruktury.</w:t>
            </w:r>
          </w:p>
        </w:tc>
      </w:tr>
      <w:tr w:rsidR="002477F4" w:rsidRPr="00942877" w14:paraId="1DF1108A" w14:textId="77777777" w:rsidTr="00D50036">
        <w:trPr>
          <w:trHeight w:val="273"/>
        </w:trPr>
        <w:tc>
          <w:tcPr>
            <w:tcW w:w="2694" w:type="dxa"/>
            <w:tcBorders>
              <w:top w:val="single" w:sz="2" w:space="0" w:color="F6BB00"/>
              <w:bottom w:val="single" w:sz="2" w:space="0" w:color="F6BB00"/>
            </w:tcBorders>
            <w:vAlign w:val="center"/>
          </w:tcPr>
          <w:p w14:paraId="56586EFA" w14:textId="77777777" w:rsidR="002477F4" w:rsidRDefault="002477F4" w:rsidP="002477F4">
            <w:pPr>
              <w:spacing w:after="0" w:line="240" w:lineRule="auto"/>
              <w:jc w:val="left"/>
              <w:rPr>
                <w:sz w:val="18"/>
                <w:szCs w:val="18"/>
                <w:lang w:eastAsia="pl-PL"/>
              </w:rPr>
            </w:pPr>
            <w:r>
              <w:rPr>
                <w:sz w:val="18"/>
                <w:szCs w:val="18"/>
                <w:lang w:eastAsia="pl-PL"/>
              </w:rPr>
              <w:t>(W) niewystarczający rozwój infrastruktury społeczeństwa informacyjnego i (W) ograniczony dostęp do infrastruktury społeczeństwa informacyjnego</w:t>
            </w:r>
          </w:p>
        </w:tc>
        <w:tc>
          <w:tcPr>
            <w:tcW w:w="6378" w:type="dxa"/>
            <w:tcBorders>
              <w:top w:val="single" w:sz="2" w:space="0" w:color="F6BB00"/>
              <w:bottom w:val="single" w:sz="2" w:space="0" w:color="F6BB00"/>
            </w:tcBorders>
            <w:vAlign w:val="center"/>
          </w:tcPr>
          <w:p w14:paraId="19A65AAB" w14:textId="2A354C3B" w:rsidR="002477F4" w:rsidRDefault="002477F4" w:rsidP="00016FDC">
            <w:pPr>
              <w:spacing w:after="0" w:line="240" w:lineRule="auto"/>
              <w:rPr>
                <w:sz w:val="18"/>
                <w:szCs w:val="18"/>
                <w:lang w:eastAsia="pl-PL"/>
              </w:rPr>
            </w:pPr>
            <w:r>
              <w:rPr>
                <w:sz w:val="18"/>
                <w:szCs w:val="18"/>
                <w:lang w:eastAsia="pl-PL"/>
              </w:rPr>
              <w:t xml:space="preserve">Zdaniem ekspertów oraz pracowników UMWW sytuacja w tym zakresie uległa znaczącej poprawie dzięki </w:t>
            </w:r>
            <w:r w:rsidR="00016FDC">
              <w:rPr>
                <w:sz w:val="18"/>
                <w:szCs w:val="18"/>
                <w:lang w:eastAsia="pl-PL"/>
              </w:rPr>
              <w:t xml:space="preserve">podejmowanym </w:t>
            </w:r>
            <w:r>
              <w:rPr>
                <w:sz w:val="18"/>
                <w:szCs w:val="18"/>
                <w:lang w:eastAsia="pl-PL"/>
              </w:rPr>
              <w:t>działaniom. Wskaźniki statystyczne wskazują zarówno na zwiększenie wyposażenia gospodarstw domowych w komputer osobisty z dostępem do Internetu, jak i zwiększenie dostępu przedsiębiorstw do Internetu, choć jednocześnie dynamika tych zmian nie jest w Wielkopolsce tak duża, jak w innych województwach. W wypowiedziach respondentów pojawiały się nawet sugestie przeniesienia tego elementu do „silnych stron”.</w:t>
            </w:r>
          </w:p>
        </w:tc>
      </w:tr>
      <w:tr w:rsidR="002477F4" w:rsidRPr="00942877" w14:paraId="62E29D31" w14:textId="77777777" w:rsidTr="00D50036">
        <w:trPr>
          <w:trHeight w:val="273"/>
        </w:trPr>
        <w:tc>
          <w:tcPr>
            <w:tcW w:w="2694" w:type="dxa"/>
            <w:tcBorders>
              <w:top w:val="single" w:sz="2" w:space="0" w:color="F6BB00"/>
              <w:bottom w:val="single" w:sz="2" w:space="0" w:color="F6BB00"/>
            </w:tcBorders>
            <w:vAlign w:val="center"/>
          </w:tcPr>
          <w:p w14:paraId="44143D5F" w14:textId="77777777" w:rsidR="002477F4" w:rsidRDefault="002477F4" w:rsidP="002477F4">
            <w:pPr>
              <w:spacing w:after="0" w:line="240" w:lineRule="auto"/>
              <w:jc w:val="left"/>
              <w:rPr>
                <w:sz w:val="18"/>
                <w:szCs w:val="18"/>
                <w:lang w:eastAsia="pl-PL"/>
              </w:rPr>
            </w:pPr>
            <w:r>
              <w:rPr>
                <w:sz w:val="18"/>
                <w:szCs w:val="18"/>
                <w:lang w:eastAsia="pl-PL"/>
              </w:rPr>
              <w:t>(W) bariery dla niepełnosprawnych (infrastruktura komunikacyjna i wymiany towarowej)</w:t>
            </w:r>
          </w:p>
        </w:tc>
        <w:tc>
          <w:tcPr>
            <w:tcW w:w="6378" w:type="dxa"/>
            <w:tcBorders>
              <w:top w:val="single" w:sz="2" w:space="0" w:color="F6BB00"/>
              <w:bottom w:val="single" w:sz="2" w:space="0" w:color="F6BB00"/>
            </w:tcBorders>
            <w:vAlign w:val="center"/>
          </w:tcPr>
          <w:p w14:paraId="57834B0A" w14:textId="54EB4C0A" w:rsidR="002477F4" w:rsidRDefault="002477F4" w:rsidP="002477F4">
            <w:pPr>
              <w:spacing w:after="0" w:line="240" w:lineRule="auto"/>
              <w:rPr>
                <w:sz w:val="18"/>
                <w:szCs w:val="18"/>
                <w:lang w:eastAsia="pl-PL"/>
              </w:rPr>
            </w:pPr>
            <w:r>
              <w:rPr>
                <w:sz w:val="18"/>
                <w:szCs w:val="18"/>
                <w:lang w:eastAsia="pl-PL"/>
              </w:rPr>
              <w:t xml:space="preserve">W wywiadach zwracano uwagę na istotną poprawę sytuacji w zakresie likwidowania barier dla osób niepełnosprawnych w województwie. Intensyfikacja działań w tym zakresie obserwowana jest w całej Polsce i </w:t>
            </w:r>
            <w:r w:rsidR="416AC848" w:rsidRPr="416AC848">
              <w:rPr>
                <w:sz w:val="18"/>
                <w:szCs w:val="18"/>
                <w:lang w:eastAsia="pl-PL"/>
              </w:rPr>
              <w:t>wiąże się</w:t>
            </w:r>
            <w:r>
              <w:rPr>
                <w:sz w:val="18"/>
                <w:szCs w:val="18"/>
                <w:lang w:eastAsia="pl-PL"/>
              </w:rPr>
              <w:t xml:space="preserve"> między innymi z rosnącymi wymogami dotyczącymi udogodnień dla osób niepełnosprawnych zawieranymi w regulacjach prawnych, np. w zakresie prawa budowlanego.</w:t>
            </w:r>
          </w:p>
        </w:tc>
      </w:tr>
      <w:tr w:rsidR="002477F4" w:rsidRPr="00942877" w14:paraId="733B7ABC" w14:textId="77777777" w:rsidTr="00D50036">
        <w:trPr>
          <w:trHeight w:val="273"/>
        </w:trPr>
        <w:tc>
          <w:tcPr>
            <w:tcW w:w="2694" w:type="dxa"/>
            <w:tcBorders>
              <w:top w:val="single" w:sz="2" w:space="0" w:color="F6BB00"/>
              <w:bottom w:val="single" w:sz="2" w:space="0" w:color="F6BB00"/>
            </w:tcBorders>
            <w:vAlign w:val="center"/>
          </w:tcPr>
          <w:p w14:paraId="2AB5437C" w14:textId="77777777" w:rsidR="002477F4" w:rsidRDefault="002477F4" w:rsidP="002477F4">
            <w:pPr>
              <w:spacing w:after="0" w:line="240" w:lineRule="auto"/>
              <w:jc w:val="left"/>
              <w:rPr>
                <w:sz w:val="18"/>
                <w:szCs w:val="18"/>
                <w:lang w:eastAsia="pl-PL"/>
              </w:rPr>
            </w:pPr>
            <w:r>
              <w:rPr>
                <w:sz w:val="18"/>
                <w:szCs w:val="18"/>
                <w:lang w:eastAsia="pl-PL"/>
              </w:rPr>
              <w:t>(W) słabo rozwinięte funkcje pozarolnicze</w:t>
            </w:r>
          </w:p>
        </w:tc>
        <w:tc>
          <w:tcPr>
            <w:tcW w:w="6378" w:type="dxa"/>
            <w:tcBorders>
              <w:top w:val="single" w:sz="2" w:space="0" w:color="F6BB00"/>
              <w:bottom w:val="single" w:sz="2" w:space="0" w:color="F6BB00"/>
            </w:tcBorders>
            <w:vAlign w:val="center"/>
          </w:tcPr>
          <w:p w14:paraId="06EAA7FE" w14:textId="77777777" w:rsidR="002477F4" w:rsidRDefault="002477F4" w:rsidP="002477F4">
            <w:pPr>
              <w:spacing w:after="0" w:line="240" w:lineRule="auto"/>
              <w:rPr>
                <w:sz w:val="18"/>
                <w:szCs w:val="18"/>
                <w:lang w:eastAsia="pl-PL"/>
              </w:rPr>
            </w:pPr>
            <w:r>
              <w:rPr>
                <w:sz w:val="18"/>
                <w:szCs w:val="18"/>
                <w:lang w:eastAsia="pl-PL"/>
              </w:rPr>
              <w:t>W</w:t>
            </w:r>
            <w:r>
              <w:rPr>
                <w:sz w:val="18"/>
                <w:szCs w:val="18"/>
              </w:rPr>
              <w:t xml:space="preserve"> wywiadach zwracano uwagę na </w:t>
            </w:r>
            <w:r>
              <w:rPr>
                <w:sz w:val="18"/>
                <w:szCs w:val="18"/>
                <w:lang w:eastAsia="pl-PL"/>
              </w:rPr>
              <w:t xml:space="preserve">poprawę sytuacji w tym zakresie wskutek prowadzonych działań, czego efektem są między innymi zmiany obserwowane we wskaźnikach statystycznych (odsetek osób pracujących poza sektorem rolniczym). </w:t>
            </w:r>
          </w:p>
        </w:tc>
      </w:tr>
      <w:tr w:rsidR="002477F4" w:rsidRPr="00942877" w14:paraId="5CD44588" w14:textId="77777777" w:rsidTr="00D50036">
        <w:trPr>
          <w:trHeight w:val="273"/>
        </w:trPr>
        <w:tc>
          <w:tcPr>
            <w:tcW w:w="2694" w:type="dxa"/>
            <w:tcBorders>
              <w:top w:val="single" w:sz="2" w:space="0" w:color="F6BB00"/>
              <w:bottom w:val="single" w:sz="2" w:space="0" w:color="F6BB00"/>
            </w:tcBorders>
            <w:vAlign w:val="center"/>
          </w:tcPr>
          <w:p w14:paraId="4BE078BB" w14:textId="77777777" w:rsidR="002477F4" w:rsidRDefault="002477F4" w:rsidP="002477F4">
            <w:pPr>
              <w:spacing w:after="0" w:line="240" w:lineRule="auto"/>
              <w:jc w:val="left"/>
              <w:rPr>
                <w:sz w:val="18"/>
                <w:szCs w:val="18"/>
                <w:lang w:eastAsia="pl-PL"/>
              </w:rPr>
            </w:pPr>
            <w:r>
              <w:rPr>
                <w:sz w:val="18"/>
                <w:szCs w:val="18"/>
                <w:lang w:eastAsia="pl-PL"/>
              </w:rPr>
              <w:t>(W) niska świadomość zasad funkcjonowania infrastruktury OZE</w:t>
            </w:r>
          </w:p>
        </w:tc>
        <w:tc>
          <w:tcPr>
            <w:tcW w:w="6378" w:type="dxa"/>
            <w:tcBorders>
              <w:top w:val="single" w:sz="2" w:space="0" w:color="F6BB00"/>
              <w:bottom w:val="single" w:sz="2" w:space="0" w:color="F6BB00"/>
            </w:tcBorders>
            <w:vAlign w:val="center"/>
          </w:tcPr>
          <w:p w14:paraId="7D847047" w14:textId="77777777" w:rsidR="002477F4" w:rsidRDefault="002477F4" w:rsidP="002477F4">
            <w:pPr>
              <w:spacing w:after="0" w:line="240" w:lineRule="auto"/>
              <w:rPr>
                <w:sz w:val="18"/>
                <w:szCs w:val="18"/>
                <w:lang w:eastAsia="pl-PL"/>
              </w:rPr>
            </w:pPr>
            <w:r>
              <w:rPr>
                <w:sz w:val="18"/>
                <w:szCs w:val="18"/>
                <w:lang w:eastAsia="pl-PL"/>
              </w:rPr>
              <w:t>W tym zakresie nastąpiła zdecydowana zmiana, będąca efektem coraz większej dostępności infrastruktury OZE, jak i bardzo silnego akcentowania tego zagadnienia w debacie publicznej (związane jest to przede wszystkim z polityką energetyczną UE promującą OZE).</w:t>
            </w:r>
          </w:p>
        </w:tc>
      </w:tr>
      <w:tr w:rsidR="002477F4" w:rsidRPr="00942877" w14:paraId="1723743B" w14:textId="77777777" w:rsidTr="00D50036">
        <w:trPr>
          <w:trHeight w:val="273"/>
        </w:trPr>
        <w:tc>
          <w:tcPr>
            <w:tcW w:w="2694" w:type="dxa"/>
            <w:tcBorders>
              <w:top w:val="single" w:sz="2" w:space="0" w:color="F6BB00"/>
              <w:bottom w:val="single" w:sz="2" w:space="0" w:color="F6BB00"/>
            </w:tcBorders>
            <w:vAlign w:val="center"/>
          </w:tcPr>
          <w:p w14:paraId="567C686B" w14:textId="77777777" w:rsidR="002477F4" w:rsidRDefault="002477F4" w:rsidP="002477F4">
            <w:pPr>
              <w:spacing w:after="0" w:line="240" w:lineRule="auto"/>
              <w:jc w:val="left"/>
              <w:rPr>
                <w:sz w:val="18"/>
                <w:szCs w:val="18"/>
                <w:lang w:eastAsia="pl-PL"/>
              </w:rPr>
            </w:pPr>
            <w:r>
              <w:rPr>
                <w:sz w:val="18"/>
                <w:szCs w:val="18"/>
                <w:lang w:eastAsia="pl-PL"/>
              </w:rPr>
              <w:t>(W) niekorzystna pozycja niepełnosprawnych i absolwentów na rynku pracy</w:t>
            </w:r>
          </w:p>
        </w:tc>
        <w:tc>
          <w:tcPr>
            <w:tcW w:w="6378" w:type="dxa"/>
            <w:tcBorders>
              <w:top w:val="single" w:sz="2" w:space="0" w:color="F6BB00"/>
              <w:bottom w:val="single" w:sz="2" w:space="0" w:color="F6BB00"/>
            </w:tcBorders>
            <w:vAlign w:val="center"/>
          </w:tcPr>
          <w:p w14:paraId="7DBEADEE" w14:textId="77777777" w:rsidR="002477F4" w:rsidRDefault="002477F4" w:rsidP="002477F4">
            <w:pPr>
              <w:spacing w:after="0" w:line="240" w:lineRule="auto"/>
              <w:rPr>
                <w:sz w:val="18"/>
                <w:szCs w:val="18"/>
                <w:lang w:eastAsia="pl-PL"/>
              </w:rPr>
            </w:pPr>
            <w:r>
              <w:rPr>
                <w:sz w:val="18"/>
                <w:szCs w:val="18"/>
                <w:lang w:eastAsia="pl-PL"/>
              </w:rPr>
              <w:t>W</w:t>
            </w:r>
            <w:r>
              <w:rPr>
                <w:sz w:val="18"/>
                <w:szCs w:val="18"/>
              </w:rPr>
              <w:t xml:space="preserve"> wywiadach zwracano uwagę, że wskutek prowadzonych w województwie działań sytuacja ulegała znaczącej poprawie. Jednak o ile pozytywne zmiany w zakresie sytuacji osób niepełnosprawnych oraz absolwentów na rynku pracy potwierdzają wskaźniki statystyczne (między innymi rosnący wskaźnik zatrudnienia osób niepełnosprawnych oraz zmniejszająca się liczba bezrobotnych absolwentów), o tyle sytuacja kobiet na rynku pracy nadal przedstawia się w wielu aspektach niekorzystnie.</w:t>
            </w:r>
          </w:p>
        </w:tc>
      </w:tr>
    </w:tbl>
    <w:p w14:paraId="462EBD25" w14:textId="77777777" w:rsidR="002477F4" w:rsidRPr="0048580B" w:rsidRDefault="002477F4" w:rsidP="002477F4">
      <w:pPr>
        <w:rPr>
          <w:sz w:val="16"/>
          <w:szCs w:val="16"/>
        </w:rPr>
      </w:pPr>
      <w:r w:rsidRPr="0048580B">
        <w:rPr>
          <w:sz w:val="16"/>
          <w:szCs w:val="16"/>
        </w:rPr>
        <w:t>Źródło: opracowanie własne.</w:t>
      </w:r>
    </w:p>
    <w:p w14:paraId="0A1B19C0" w14:textId="77777777" w:rsidR="000F3F30" w:rsidRPr="000F3F30" w:rsidRDefault="000F3F30" w:rsidP="00BF08D5">
      <w:pPr>
        <w:ind w:left="4536"/>
        <w:jc w:val="left"/>
        <w:rPr>
          <w:b/>
          <w:i/>
          <w:color w:val="001E50"/>
        </w:rPr>
      </w:pPr>
      <w:bookmarkStart w:id="60" w:name="_Toc536653105"/>
      <w:bookmarkStart w:id="61" w:name="_Toc1904777"/>
      <w:r>
        <w:rPr>
          <w:b/>
          <w:i/>
          <w:color w:val="001E50"/>
        </w:rPr>
        <w:lastRenderedPageBreak/>
        <w:t>Polityczne otoczenie Strategii wymaga również weryfikacji zapisów dotyc</w:t>
      </w:r>
      <w:r w:rsidR="006828EB">
        <w:rPr>
          <w:b/>
          <w:i/>
          <w:color w:val="001E50"/>
        </w:rPr>
        <w:t>zących uwarunkowań zewnętrznych</w:t>
      </w:r>
      <w:r w:rsidRPr="000F3F30">
        <w:rPr>
          <w:b/>
          <w:i/>
          <w:color w:val="001E50"/>
        </w:rPr>
        <w:t xml:space="preserve"> </w:t>
      </w:r>
    </w:p>
    <w:bookmarkEnd w:id="60"/>
    <w:bookmarkEnd w:id="61"/>
    <w:p w14:paraId="4CB77E0A" w14:textId="02B66064" w:rsidR="002477F4" w:rsidRDefault="002477F4" w:rsidP="002477F4">
      <w:pPr>
        <w:rPr>
          <w:lang w:eastAsia="pl-PL"/>
        </w:rPr>
      </w:pPr>
      <w:r w:rsidRPr="00C51C3A">
        <w:rPr>
          <w:lang w:eastAsia="pl-PL"/>
        </w:rPr>
        <w:t xml:space="preserve">Polityczne otoczenie </w:t>
      </w:r>
      <w:r w:rsidR="416AC848" w:rsidRPr="416AC848">
        <w:rPr>
          <w:lang w:eastAsia="pl-PL"/>
        </w:rPr>
        <w:t>Strategii</w:t>
      </w:r>
      <w:r w:rsidRPr="00C51C3A">
        <w:rPr>
          <w:lang w:eastAsia="pl-PL"/>
        </w:rPr>
        <w:t xml:space="preserve"> uchwalonej w 2012 roku </w:t>
      </w:r>
      <w:r>
        <w:rPr>
          <w:lang w:eastAsia="pl-PL"/>
        </w:rPr>
        <w:t xml:space="preserve">wyznaczały częściowo dokumenty, które </w:t>
      </w:r>
      <w:r w:rsidR="416AC848" w:rsidRPr="416AC848">
        <w:rPr>
          <w:lang w:eastAsia="pl-PL"/>
        </w:rPr>
        <w:t xml:space="preserve">zostały </w:t>
      </w:r>
      <w:r>
        <w:rPr>
          <w:lang w:eastAsia="pl-PL"/>
        </w:rPr>
        <w:t xml:space="preserve">poddane (lub </w:t>
      </w:r>
      <w:r w:rsidR="416AC848" w:rsidRPr="416AC848">
        <w:rPr>
          <w:lang w:eastAsia="pl-PL"/>
        </w:rPr>
        <w:t>w najbliższym czasie</w:t>
      </w:r>
      <w:r>
        <w:rPr>
          <w:lang w:eastAsia="pl-PL"/>
        </w:rPr>
        <w:t xml:space="preserve"> poddane będą) aktualizacji. W lutym 2017 roku Rząd RP przyjął Strategię Odpowiedzialnego Rozwoju, obecnie zaś toczą się dyskusj</w:t>
      </w:r>
      <w:r w:rsidR="00A966E2">
        <w:rPr>
          <w:lang w:eastAsia="pl-PL"/>
        </w:rPr>
        <w:t>e</w:t>
      </w:r>
      <w:r>
        <w:rPr>
          <w:lang w:eastAsia="pl-PL"/>
        </w:rPr>
        <w:t xml:space="preserve"> nad projektem </w:t>
      </w:r>
      <w:r w:rsidRPr="009C5898">
        <w:rPr>
          <w:i/>
          <w:lang w:eastAsia="pl-PL"/>
        </w:rPr>
        <w:t>KSRR</w:t>
      </w:r>
      <w:r>
        <w:rPr>
          <w:lang w:eastAsia="pl-PL"/>
        </w:rPr>
        <w:t>. Na arenie europejskiej trwają natomiast rozmowy na temat kształtu przyszłego budżetu UE.</w:t>
      </w:r>
    </w:p>
    <w:p w14:paraId="366B34AD" w14:textId="77777777" w:rsidR="002477F4" w:rsidRDefault="002477F4" w:rsidP="002477F4">
      <w:pPr>
        <w:rPr>
          <w:rFonts w:eastAsia="Calibri"/>
        </w:rPr>
      </w:pPr>
      <w:r w:rsidRPr="3545B57E">
        <w:rPr>
          <w:rFonts w:eastAsia="Calibri"/>
        </w:rPr>
        <w:t xml:space="preserve">O ile w przypadku aktualnie obowiązujących polityk takich jak </w:t>
      </w:r>
      <w:r w:rsidRPr="3545B57E">
        <w:rPr>
          <w:rFonts w:eastAsia="Calibri"/>
          <w:i/>
          <w:iCs/>
        </w:rPr>
        <w:t>Strategia Europa2020, Strategia na rzecz Odpowiedzialnego Rozwoju 2030</w:t>
      </w:r>
      <w:r>
        <w:rPr>
          <w:rFonts w:eastAsia="Calibri"/>
          <w:i/>
          <w:iCs/>
        </w:rPr>
        <w:t xml:space="preserve"> </w:t>
      </w:r>
      <w:r w:rsidRPr="00BB6728">
        <w:rPr>
          <w:rFonts w:eastAsia="Calibri"/>
          <w:iCs/>
        </w:rPr>
        <w:t>czy</w:t>
      </w:r>
      <w:r w:rsidRPr="3545B57E">
        <w:rPr>
          <w:rFonts w:eastAsia="Calibri"/>
          <w:i/>
          <w:iCs/>
        </w:rPr>
        <w:t xml:space="preserve"> </w:t>
      </w:r>
      <w:r w:rsidRPr="3545B57E">
        <w:rPr>
          <w:rFonts w:eastAsia="Calibri"/>
        </w:rPr>
        <w:t>strategii sektorowych stosunkowo łatwo przewidzieć ich wpływ na sytuację społeczno</w:t>
      </w:r>
      <w:r>
        <w:rPr>
          <w:rFonts w:eastAsia="Calibri"/>
        </w:rPr>
        <w:t>-</w:t>
      </w:r>
      <w:r w:rsidRPr="3545B57E">
        <w:rPr>
          <w:rFonts w:eastAsia="Calibri"/>
        </w:rPr>
        <w:t xml:space="preserve">gospodarczą, o tyle w przypadku planowanych polityk zarówno na poziomie krajowym (projekt </w:t>
      </w:r>
      <w:r w:rsidRPr="3545B57E">
        <w:rPr>
          <w:rFonts w:eastAsia="Calibri"/>
          <w:i/>
          <w:iCs/>
        </w:rPr>
        <w:t>KSRR</w:t>
      </w:r>
      <w:r w:rsidRPr="3545B57E">
        <w:rPr>
          <w:rFonts w:eastAsia="Calibri"/>
        </w:rPr>
        <w:t>)</w:t>
      </w:r>
      <w:r>
        <w:rPr>
          <w:rFonts w:eastAsia="Calibri"/>
        </w:rPr>
        <w:t>,</w:t>
      </w:r>
      <w:r w:rsidRPr="3545B57E">
        <w:rPr>
          <w:rFonts w:eastAsia="Calibri"/>
        </w:rPr>
        <w:t xml:space="preserve"> jak i Unii Europejskiej (toczące się dyskusje na temat kształtu UE i jej finansów po 2020 roku) – trudniej jest mówić o kierunkach wpływu.</w:t>
      </w:r>
    </w:p>
    <w:p w14:paraId="49D0B208" w14:textId="77777777" w:rsidR="002477F4" w:rsidRPr="00611AC3" w:rsidRDefault="002477F4" w:rsidP="002477F4">
      <w:pPr>
        <w:rPr>
          <w:rFonts w:eastAsia="Calibri"/>
        </w:rPr>
      </w:pPr>
      <w:r w:rsidRPr="3545B57E">
        <w:rPr>
          <w:rFonts w:eastAsia="Calibri"/>
        </w:rPr>
        <w:t xml:space="preserve">Przy </w:t>
      </w:r>
      <w:r>
        <w:rPr>
          <w:rFonts w:eastAsia="Calibri"/>
        </w:rPr>
        <w:t>analizie politycznego otoczenia strategii</w:t>
      </w:r>
      <w:r w:rsidRPr="3545B57E">
        <w:rPr>
          <w:rFonts w:eastAsia="Calibri"/>
        </w:rPr>
        <w:t xml:space="preserve"> </w:t>
      </w:r>
      <w:r>
        <w:rPr>
          <w:rFonts w:eastAsia="Calibri"/>
        </w:rPr>
        <w:t xml:space="preserve">Wielkopolski </w:t>
      </w:r>
      <w:r w:rsidRPr="3545B57E">
        <w:rPr>
          <w:rFonts w:eastAsia="Calibri"/>
        </w:rPr>
        <w:t xml:space="preserve">należy uwzględnić jednocześnie kończącą się po 2020 roku perspektywę wielu dokumentów strategicznych na poziomie krajowym lub ponadregionalnym (m.in. </w:t>
      </w:r>
      <w:r w:rsidRPr="3545B57E">
        <w:rPr>
          <w:rFonts w:eastAsia="Calibri"/>
          <w:i/>
          <w:iCs/>
        </w:rPr>
        <w:t>Strategii Innowacyjności i Efektywności Gospodarki, Strategii Rozwoju Polski Zachodniej</w:t>
      </w:r>
      <w:r w:rsidRPr="3545B57E">
        <w:rPr>
          <w:rFonts w:eastAsia="Calibri"/>
        </w:rPr>
        <w:t xml:space="preserve">), co utrudnia przewidzenie zakresu możliwego wpływu na sytuację województwa wielkopolskiego. W obliczu aktualnie trwających konsultacji projektu </w:t>
      </w:r>
      <w:r w:rsidRPr="3545B57E">
        <w:rPr>
          <w:rFonts w:eastAsia="Calibri"/>
          <w:i/>
          <w:iCs/>
        </w:rPr>
        <w:t>KSRR</w:t>
      </w:r>
      <w:r w:rsidRPr="3545B57E">
        <w:rPr>
          <w:rFonts w:eastAsia="Calibri"/>
        </w:rPr>
        <w:t xml:space="preserve"> można przewidywać, że wprowadzone zostaną zmiany do samego projektu, zaś zaktualizowane dokumenty sektorowe będą wspierać zapisy strategiczne wypracowane w </w:t>
      </w:r>
      <w:r w:rsidRPr="3545B57E">
        <w:rPr>
          <w:rFonts w:eastAsia="Calibri"/>
          <w:i/>
          <w:iCs/>
        </w:rPr>
        <w:t>KSRR</w:t>
      </w:r>
      <w:r w:rsidRPr="3545B57E">
        <w:rPr>
          <w:rFonts w:eastAsia="Calibri"/>
        </w:rPr>
        <w:t>. Obszarami, na które będą wpływać krajowe polityki rozwojowe będą: odpowiedzialność i włączenie społeczne, rozwój współpracy międzysektorowej, innowacyjność i konkurencyjność, ochrona środowiska i zmiany klimatyczne, przeciwdziałanie marginalizacji i utratom funkcji społeczno</w:t>
      </w:r>
      <w:r>
        <w:rPr>
          <w:rFonts w:eastAsia="Calibri"/>
        </w:rPr>
        <w:t>-</w:t>
      </w:r>
      <w:r w:rsidRPr="3545B57E">
        <w:rPr>
          <w:rFonts w:eastAsia="Calibri"/>
        </w:rPr>
        <w:t xml:space="preserve">gospodarczych jednostek czy spójność terytorialna, gospodarcza i przestrzenna. </w:t>
      </w:r>
      <w:r w:rsidRPr="00F6092F">
        <w:rPr>
          <w:lang w:eastAsia="pl-PL"/>
        </w:rPr>
        <w:t xml:space="preserve">Opierając się </w:t>
      </w:r>
      <w:r>
        <w:rPr>
          <w:lang w:eastAsia="pl-PL"/>
        </w:rPr>
        <w:t xml:space="preserve">jednak </w:t>
      </w:r>
      <w:r w:rsidRPr="00F6092F">
        <w:rPr>
          <w:lang w:eastAsia="pl-PL"/>
        </w:rPr>
        <w:t xml:space="preserve">na projekcie </w:t>
      </w:r>
      <w:r w:rsidRPr="009C5898">
        <w:rPr>
          <w:i/>
          <w:lang w:eastAsia="pl-PL"/>
        </w:rPr>
        <w:t>KSRR</w:t>
      </w:r>
      <w:r>
        <w:rPr>
          <w:lang w:eastAsia="pl-PL"/>
        </w:rPr>
        <w:t xml:space="preserve"> </w:t>
      </w:r>
      <w:r w:rsidRPr="00F6092F">
        <w:rPr>
          <w:lang w:eastAsia="pl-PL"/>
        </w:rPr>
        <w:t>można powiedzieć, że rząd RP będzie stawiał przede wszystkim na „regiony problemowe”, do których Wielkopolska nie należy.</w:t>
      </w:r>
    </w:p>
    <w:p w14:paraId="58F30A58" w14:textId="26CE8D2A" w:rsidR="002477F4" w:rsidRDefault="002477F4" w:rsidP="002477F4">
      <w:pPr>
        <w:rPr>
          <w:rFonts w:eastAsia="Calibri"/>
        </w:rPr>
      </w:pPr>
      <w:r w:rsidRPr="3545B57E">
        <w:rPr>
          <w:rFonts w:eastAsia="Calibri"/>
        </w:rPr>
        <w:t xml:space="preserve">Aktualnie toczące się dyskusje nad </w:t>
      </w:r>
      <w:r w:rsidRPr="00C62ECD">
        <w:rPr>
          <w:rFonts w:eastAsia="Calibri"/>
        </w:rPr>
        <w:t>przyszłością Unii Europejskiej,</w:t>
      </w:r>
      <w:r w:rsidRPr="3545B57E">
        <w:rPr>
          <w:rFonts w:eastAsia="Calibri"/>
        </w:rPr>
        <w:t xml:space="preserve"> jej kształtem i wielkością budżetu, to czynniki, które mają niebagatelne znaczenie dla rozwoju polityki regionalnej</w:t>
      </w:r>
      <w:r w:rsidR="004D75DF">
        <w:rPr>
          <w:rFonts w:eastAsia="Calibri"/>
        </w:rPr>
        <w:t>. Przewiduje</w:t>
      </w:r>
      <w:r w:rsidRPr="3545B57E">
        <w:rPr>
          <w:rFonts w:eastAsia="Calibri"/>
        </w:rPr>
        <w:t xml:space="preserve"> się, że poziom finansowania ze źródeł funduszy unijnych będzie dla Polski wyraźnie mniejszy w stosunku do ubiegłych lat. Ma to szczególne znaczenie dla polskich regionów, które dzięki funduszom unijnym realizowały dużą część inwestycji (szczególnie infrastrukturalnych). Przewiduje się, że środki w kolejnej perspektywie 2021-2027 będą przeznaczone w dużej mierze na rozwój projektów innowacyjnych. </w:t>
      </w:r>
      <w:r>
        <w:rPr>
          <w:rFonts w:eastAsia="Calibri"/>
        </w:rPr>
        <w:t>W tym ujęciu struktura i wysokość finansowania województwa wielkopolskiego jako przynależącego do grupy regionów przejściowych</w:t>
      </w:r>
      <w:r>
        <w:rPr>
          <w:rStyle w:val="Odwoanieprzypisudolnego"/>
          <w:rFonts w:eastAsia="Calibri"/>
        </w:rPr>
        <w:footnoteReference w:id="9"/>
      </w:r>
      <w:r w:rsidR="000F3F30">
        <w:rPr>
          <w:rFonts w:eastAsia="Calibri"/>
        </w:rPr>
        <w:t>, może ulec znaczącej zmianie.</w:t>
      </w:r>
    </w:p>
    <w:p w14:paraId="7EE0C4E8" w14:textId="77777777" w:rsidR="000F3F30" w:rsidRPr="000F3F30" w:rsidRDefault="000F3F30" w:rsidP="00BF08D5">
      <w:pPr>
        <w:ind w:left="4536"/>
        <w:jc w:val="left"/>
        <w:rPr>
          <w:b/>
          <w:i/>
          <w:color w:val="001E50"/>
        </w:rPr>
      </w:pPr>
      <w:r>
        <w:rPr>
          <w:b/>
          <w:i/>
          <w:color w:val="001E50"/>
        </w:rPr>
        <w:t>Przyjęte w dokumentach wyższego rzędu obszary tematyczne, jak i zasady realizacji różnych strategii wymagają rozważenia na poziomie regionu</w:t>
      </w:r>
      <w:r w:rsidRPr="000F3F30">
        <w:rPr>
          <w:b/>
          <w:i/>
          <w:color w:val="001E50"/>
        </w:rPr>
        <w:t xml:space="preserve"> </w:t>
      </w:r>
    </w:p>
    <w:p w14:paraId="0FEEEA8D" w14:textId="77777777" w:rsidR="002477F4" w:rsidRDefault="002477F4" w:rsidP="002477F4">
      <w:pPr>
        <w:rPr>
          <w:rFonts w:eastAsia="Calibri"/>
        </w:rPr>
      </w:pPr>
      <w:r w:rsidRPr="6755C16E">
        <w:rPr>
          <w:rFonts w:eastAsia="Calibri"/>
        </w:rPr>
        <w:lastRenderedPageBreak/>
        <w:t xml:space="preserve">Mimo niepewnej sytuacji co do kolejnej perspektywy na poziomie europejskim </w:t>
      </w:r>
      <w:r w:rsidRPr="28FD4A74">
        <w:rPr>
          <w:rFonts w:eastAsia="Calibri"/>
        </w:rPr>
        <w:t xml:space="preserve">i przewidywanych aktualizacji perspektyw dokumentów strategicznych na poziomie krajowym </w:t>
      </w:r>
      <w:r w:rsidRPr="6755C16E">
        <w:rPr>
          <w:rFonts w:eastAsia="Calibri"/>
        </w:rPr>
        <w:t xml:space="preserve">można dostrzec pewne trendy, które </w:t>
      </w:r>
      <w:r>
        <w:rPr>
          <w:rFonts w:eastAsia="Calibri"/>
        </w:rPr>
        <w:t xml:space="preserve">prawdopodobnie </w:t>
      </w:r>
      <w:r w:rsidRPr="6755C16E">
        <w:rPr>
          <w:rFonts w:eastAsia="Calibri"/>
        </w:rPr>
        <w:t>determinować będą kształt polityk rozwojowych po 2020 roku</w:t>
      </w:r>
      <w:r>
        <w:rPr>
          <w:rStyle w:val="Odwoanieprzypisudolnego"/>
          <w:rFonts w:eastAsia="Calibri"/>
        </w:rPr>
        <w:footnoteReference w:id="10"/>
      </w:r>
      <w:r w:rsidR="00562AF8">
        <w:rPr>
          <w:rFonts w:eastAsia="Calibri"/>
        </w:rPr>
        <w:t>:</w:t>
      </w:r>
    </w:p>
    <w:p w14:paraId="5BA8D6D9" w14:textId="77777777" w:rsidR="00562AF8" w:rsidRPr="00562AF8" w:rsidRDefault="00562AF8" w:rsidP="00E96968">
      <w:pPr>
        <w:pStyle w:val="Akapitzlist"/>
        <w:numPr>
          <w:ilvl w:val="0"/>
          <w:numId w:val="31"/>
        </w:numPr>
        <w:ind w:left="426"/>
        <w:rPr>
          <w:rFonts w:eastAsia="Calibri"/>
        </w:rPr>
      </w:pPr>
      <w:r>
        <w:rPr>
          <w:rFonts w:eastAsia="Calibri"/>
        </w:rPr>
        <w:t>Trendy w zakresie obszarów tematycznych:</w:t>
      </w:r>
    </w:p>
    <w:p w14:paraId="77472270" w14:textId="3C7534A7" w:rsidR="002477F4" w:rsidRDefault="002477F4" w:rsidP="00512544">
      <w:pPr>
        <w:pStyle w:val="Akapitzlist"/>
        <w:numPr>
          <w:ilvl w:val="0"/>
          <w:numId w:val="24"/>
        </w:numPr>
      </w:pPr>
      <w:r w:rsidRPr="2CD63631">
        <w:rPr>
          <w:rFonts w:eastAsia="Calibri"/>
          <w:b/>
        </w:rPr>
        <w:t>Wsparcie postaw i umiejętności przedsiębiorczych</w:t>
      </w:r>
      <w:r w:rsidRPr="2CD63631">
        <w:rPr>
          <w:rFonts w:eastAsia="Calibri"/>
        </w:rPr>
        <w:t xml:space="preserve"> – w oparciu o system edukacyjny nastawiony na kreowanie postaw przedsiębiorczych, w</w:t>
      </w:r>
      <w:r w:rsidR="00052210" w:rsidRPr="2CD63631">
        <w:rPr>
          <w:rFonts w:eastAsia="Calibri"/>
        </w:rPr>
        <w:t>s</w:t>
      </w:r>
      <w:r w:rsidRPr="2CD63631">
        <w:rPr>
          <w:rFonts w:eastAsia="Calibri"/>
        </w:rPr>
        <w:t>parcie w nabywaniu umiejętności i kompetencji potrzebnych na rynku pracy, dostosowanie systemów nauczania do potrzeb rynkowych;</w:t>
      </w:r>
    </w:p>
    <w:p w14:paraId="7F011A32" w14:textId="77777777" w:rsidR="002477F4" w:rsidRDefault="002477F4" w:rsidP="00512544">
      <w:pPr>
        <w:pStyle w:val="Akapitzlist"/>
        <w:numPr>
          <w:ilvl w:val="0"/>
          <w:numId w:val="24"/>
        </w:numPr>
      </w:pPr>
      <w:r w:rsidRPr="2CD63631">
        <w:rPr>
          <w:rFonts w:eastAsia="Calibri"/>
          <w:b/>
        </w:rPr>
        <w:t>Rozwój innowacyjności</w:t>
      </w:r>
      <w:r w:rsidRPr="2CD63631">
        <w:rPr>
          <w:rFonts w:eastAsia="Calibri"/>
        </w:rPr>
        <w:t xml:space="preserve"> – rozwój sektora badawczo-rozwojowego, współpraca interdyscyplinarna i międzysektorowa, generowanie innowacji technologicznych i społecznych, komercjalizacja badań;</w:t>
      </w:r>
    </w:p>
    <w:p w14:paraId="6856E593" w14:textId="77777777" w:rsidR="002477F4" w:rsidRDefault="002477F4" w:rsidP="00512544">
      <w:pPr>
        <w:pStyle w:val="Akapitzlist"/>
        <w:numPr>
          <w:ilvl w:val="0"/>
          <w:numId w:val="24"/>
        </w:numPr>
      </w:pPr>
      <w:r w:rsidRPr="2CD63631">
        <w:rPr>
          <w:rFonts w:eastAsia="Calibri"/>
          <w:b/>
        </w:rPr>
        <w:t>Cyfryzacja gospodarki (Przemysł 4.0.)</w:t>
      </w:r>
      <w:r w:rsidRPr="2CD63631">
        <w:rPr>
          <w:rFonts w:eastAsia="Calibri"/>
        </w:rPr>
        <w:t xml:space="preserve"> – uprzemysłowienie, dynamiczne zmiany technologiczne, rozwój społeczeństwa informacyjnego i technologii informacyjnych, wzrost znaczenia sztucznej inteligencji w codziennym funkcjonowaniu, robotyzacja, dominacja sieci, systemy inteligentne, personalizacja;</w:t>
      </w:r>
    </w:p>
    <w:p w14:paraId="68B22A84" w14:textId="4F263BE9" w:rsidR="002477F4" w:rsidRPr="0060168A" w:rsidRDefault="002477F4" w:rsidP="00512544">
      <w:pPr>
        <w:pStyle w:val="Akapitzlist"/>
        <w:numPr>
          <w:ilvl w:val="0"/>
          <w:numId w:val="24"/>
        </w:numPr>
      </w:pPr>
      <w:r w:rsidRPr="2CD63631">
        <w:rPr>
          <w:rFonts w:eastAsia="Calibri"/>
          <w:b/>
        </w:rPr>
        <w:t>Polityki klimatyczne i ochrona środowiska</w:t>
      </w:r>
      <w:r w:rsidRPr="2CD63631">
        <w:rPr>
          <w:rFonts w:eastAsia="Calibri"/>
        </w:rPr>
        <w:t xml:space="preserve"> – uwzględniające przeciwdziałanie zmianom klimatycznym, adaptację do zmian klimatu, wdrożenie rozwiązań przyjaznych środowisku, racjonalne wykorzystanie zasobów, zastosowanie niskoemisyjnych i efektywnych energetycznie (OZE) rozwiązań w gospodarce, odpowiedzialność społeczna;</w:t>
      </w:r>
    </w:p>
    <w:p w14:paraId="08D54791" w14:textId="29EFDAF1" w:rsidR="0060168A" w:rsidRDefault="00C70C11" w:rsidP="00512544">
      <w:pPr>
        <w:pStyle w:val="Akapitzlist"/>
        <w:numPr>
          <w:ilvl w:val="0"/>
          <w:numId w:val="24"/>
        </w:numPr>
      </w:pPr>
      <w:r w:rsidRPr="0084238C">
        <w:rPr>
          <w:b/>
        </w:rPr>
        <w:t xml:space="preserve">Polityka </w:t>
      </w:r>
      <w:r w:rsidR="00C77D00" w:rsidRPr="0084238C">
        <w:rPr>
          <w:b/>
        </w:rPr>
        <w:t>demograficzna</w:t>
      </w:r>
      <w:r w:rsidR="00C77D00">
        <w:t xml:space="preserve"> – stanowiąca odpowiedź na obserwowane w całej Europie negatywne trendy demograficzne, w tym przede wszystkim proces starzenia się społeczeństwa oraz niski przyrost naturalny</w:t>
      </w:r>
      <w:r w:rsidR="00D00A18">
        <w:t xml:space="preserve">. </w:t>
      </w:r>
      <w:r w:rsidR="005615E7">
        <w:t xml:space="preserve">Skuteczne radzenie sobie z wyzwaniami </w:t>
      </w:r>
      <w:r w:rsidR="00F11325">
        <w:t xml:space="preserve">demograficznymi </w:t>
      </w:r>
      <w:r w:rsidR="000F2C71">
        <w:t xml:space="preserve">ma opierać się nie tylko na </w:t>
      </w:r>
      <w:r w:rsidR="0097704C">
        <w:t>zwiększaniu efektywności opieki zdrowotnej</w:t>
      </w:r>
      <w:r w:rsidR="005263DD">
        <w:t xml:space="preserve"> dla osób starszych, ale także na większe</w:t>
      </w:r>
      <w:r w:rsidR="00265571">
        <w:t>j</w:t>
      </w:r>
      <w:r w:rsidR="005263DD">
        <w:t xml:space="preserve"> </w:t>
      </w:r>
      <w:r w:rsidR="00265571">
        <w:t xml:space="preserve">ich </w:t>
      </w:r>
      <w:r w:rsidR="005263DD">
        <w:t>aktywności zawodowej i otwartości na wymianę międzygeneracyjną w duchu solidarności pokoleń</w:t>
      </w:r>
      <w:r w:rsidR="001D18FA">
        <w:t xml:space="preserve"> (</w:t>
      </w:r>
      <w:r w:rsidR="001D18FA" w:rsidRPr="00C46FDD">
        <w:rPr>
          <w:i/>
        </w:rPr>
        <w:t>silver economy</w:t>
      </w:r>
      <w:r w:rsidR="001D18FA">
        <w:t xml:space="preserve">). </w:t>
      </w:r>
    </w:p>
    <w:p w14:paraId="1615FC4C" w14:textId="01BAF8D4" w:rsidR="002477F4" w:rsidRDefault="002477F4" w:rsidP="0024604D">
      <w:pPr>
        <w:pStyle w:val="Akapitzlist"/>
        <w:numPr>
          <w:ilvl w:val="0"/>
          <w:numId w:val="24"/>
        </w:numPr>
      </w:pPr>
      <w:r w:rsidRPr="2CD63631">
        <w:rPr>
          <w:rFonts w:eastAsia="Calibri"/>
          <w:b/>
        </w:rPr>
        <w:t>Ekonomia społeczna</w:t>
      </w:r>
      <w:r w:rsidRPr="2CD63631">
        <w:rPr>
          <w:rFonts w:eastAsia="Calibri"/>
        </w:rPr>
        <w:t xml:space="preserve"> – </w:t>
      </w:r>
      <w:r w:rsidR="00C8748C">
        <w:rPr>
          <w:rFonts w:eastAsia="Calibri"/>
        </w:rPr>
        <w:t xml:space="preserve">koncentrująca się przede wszystkim na </w:t>
      </w:r>
      <w:r w:rsidR="0024604D">
        <w:rPr>
          <w:rFonts w:eastAsia="Calibri"/>
        </w:rPr>
        <w:t>przeciwdziałani</w:t>
      </w:r>
      <w:r w:rsidR="0098762E">
        <w:rPr>
          <w:rFonts w:eastAsia="Calibri"/>
        </w:rPr>
        <w:t>u</w:t>
      </w:r>
      <w:r w:rsidRPr="2CD63631">
        <w:rPr>
          <w:rFonts w:eastAsia="Calibri"/>
        </w:rPr>
        <w:t xml:space="preserve"> wykluczeniu społecznemu (</w:t>
      </w:r>
      <w:r w:rsidR="00D70868">
        <w:rPr>
          <w:rFonts w:eastAsia="Calibri"/>
        </w:rPr>
        <w:t>poprzez aktywizację</w:t>
      </w:r>
      <w:r w:rsidRPr="2CD63631">
        <w:rPr>
          <w:rFonts w:eastAsia="Calibri"/>
        </w:rPr>
        <w:t xml:space="preserve"> os</w:t>
      </w:r>
      <w:r w:rsidR="00D70868">
        <w:rPr>
          <w:rFonts w:eastAsia="Calibri"/>
        </w:rPr>
        <w:t>ób młodych, osób</w:t>
      </w:r>
      <w:r w:rsidRPr="2CD63631">
        <w:rPr>
          <w:rFonts w:eastAsia="Calibri"/>
        </w:rPr>
        <w:t xml:space="preserve"> z niepełnosprawnościami, </w:t>
      </w:r>
      <w:r w:rsidR="008978DB">
        <w:rPr>
          <w:rFonts w:eastAsia="Calibri"/>
        </w:rPr>
        <w:t>długotrwale bezrobotn</w:t>
      </w:r>
      <w:r w:rsidR="00D70868">
        <w:rPr>
          <w:rFonts w:eastAsia="Calibri"/>
        </w:rPr>
        <w:t>ych czy uzależnionych)</w:t>
      </w:r>
      <w:r w:rsidR="000776C3">
        <w:rPr>
          <w:rFonts w:eastAsia="Calibri"/>
        </w:rPr>
        <w:t xml:space="preserve"> i </w:t>
      </w:r>
      <w:r w:rsidRPr="2CD63631">
        <w:rPr>
          <w:rFonts w:eastAsia="Calibri"/>
        </w:rPr>
        <w:t>zaangażowani</w:t>
      </w:r>
      <w:r w:rsidR="00615B33">
        <w:rPr>
          <w:rFonts w:eastAsia="Calibri"/>
        </w:rPr>
        <w:t>u</w:t>
      </w:r>
      <w:r w:rsidRPr="2CD63631">
        <w:rPr>
          <w:rFonts w:eastAsia="Calibri"/>
        </w:rPr>
        <w:t xml:space="preserve"> społeczności w polityki publiczne</w:t>
      </w:r>
      <w:r w:rsidR="00102E2E">
        <w:rPr>
          <w:rFonts w:eastAsia="Calibri"/>
        </w:rPr>
        <w:t xml:space="preserve">, w efekcie </w:t>
      </w:r>
      <w:r w:rsidR="00DF769F">
        <w:rPr>
          <w:rFonts w:eastAsia="Calibri"/>
        </w:rPr>
        <w:t xml:space="preserve">zaś </w:t>
      </w:r>
      <w:r w:rsidR="00102E2E">
        <w:rPr>
          <w:rFonts w:eastAsia="Calibri"/>
        </w:rPr>
        <w:t>prowadząc</w:t>
      </w:r>
      <w:r w:rsidR="00DF769F">
        <w:rPr>
          <w:rFonts w:eastAsia="Calibri"/>
        </w:rPr>
        <w:t>a</w:t>
      </w:r>
      <w:r w:rsidR="00102E2E">
        <w:rPr>
          <w:rFonts w:eastAsia="Calibri"/>
        </w:rPr>
        <w:t xml:space="preserve"> do reintegracji społecznej i zawodowej. </w:t>
      </w:r>
    </w:p>
    <w:p w14:paraId="647CAA20" w14:textId="77777777" w:rsidR="002477F4" w:rsidRDefault="002477F4" w:rsidP="00512544">
      <w:pPr>
        <w:pStyle w:val="Akapitzlist"/>
        <w:numPr>
          <w:ilvl w:val="0"/>
          <w:numId w:val="24"/>
        </w:numPr>
      </w:pPr>
      <w:r w:rsidRPr="2CD63631">
        <w:rPr>
          <w:rFonts w:eastAsia="Calibri"/>
          <w:b/>
        </w:rPr>
        <w:t>Polityka migracyjna</w:t>
      </w:r>
      <w:r w:rsidRPr="2CD63631">
        <w:rPr>
          <w:rFonts w:eastAsia="Calibri"/>
        </w:rPr>
        <w:t xml:space="preserve"> – systemy wsparcia socjalnego, zapewnienie podstawowej infrastruktury, szkolenia i kursy wspierające budowanie konkurencyjności na rynku pracy;</w:t>
      </w:r>
    </w:p>
    <w:p w14:paraId="1D978883" w14:textId="77777777" w:rsidR="002477F4" w:rsidRDefault="002477F4" w:rsidP="00512544">
      <w:pPr>
        <w:pStyle w:val="Akapitzlist"/>
        <w:numPr>
          <w:ilvl w:val="0"/>
          <w:numId w:val="24"/>
        </w:numPr>
      </w:pPr>
      <w:r w:rsidRPr="2CD63631">
        <w:rPr>
          <w:rFonts w:eastAsia="Calibri"/>
          <w:b/>
        </w:rPr>
        <w:t>Efektywność zarządzania</w:t>
      </w:r>
      <w:r w:rsidRPr="2CD63631">
        <w:rPr>
          <w:rFonts w:eastAsia="Calibri"/>
        </w:rPr>
        <w:t xml:space="preserve"> – przejście od „twardego zarządzania” ku odmianie nastawionej na zmiany jakościowe, uzależnienie realizacji interwencji publicznych od efektywności (nakłady vs koszty).</w:t>
      </w:r>
    </w:p>
    <w:p w14:paraId="595CB8DE" w14:textId="77777777" w:rsidR="002477F4" w:rsidRDefault="00562AF8" w:rsidP="00E96968">
      <w:pPr>
        <w:pStyle w:val="Akapitzlist"/>
        <w:numPr>
          <w:ilvl w:val="0"/>
          <w:numId w:val="31"/>
        </w:numPr>
        <w:ind w:left="426"/>
      </w:pPr>
      <w:r>
        <w:rPr>
          <w:rFonts w:eastAsia="Calibri"/>
        </w:rPr>
        <w:t>Trendy w zakresie zasad realizacji polityki:</w:t>
      </w:r>
    </w:p>
    <w:p w14:paraId="552D0E17" w14:textId="77777777" w:rsidR="002477F4" w:rsidRPr="002657E2" w:rsidRDefault="002477F4" w:rsidP="00512544">
      <w:pPr>
        <w:pStyle w:val="Akapitzlist"/>
        <w:numPr>
          <w:ilvl w:val="0"/>
          <w:numId w:val="24"/>
        </w:numPr>
      </w:pPr>
      <w:r w:rsidRPr="2CD63631">
        <w:rPr>
          <w:rFonts w:eastAsia="Calibri"/>
          <w:b/>
        </w:rPr>
        <w:t>Sieciowość, relacje i powiązania</w:t>
      </w:r>
      <w:r w:rsidRPr="2CD63631">
        <w:rPr>
          <w:rFonts w:eastAsia="Calibri"/>
        </w:rPr>
        <w:t xml:space="preserve"> – nastawienie na współpracę i relacje różnych podmiotów życia publicznego, realizacja koncepcji </w:t>
      </w:r>
      <w:r w:rsidRPr="2CD63631">
        <w:rPr>
          <w:rFonts w:eastAsia="Calibri"/>
          <w:i/>
        </w:rPr>
        <w:t>multilevel governance</w:t>
      </w:r>
      <w:r w:rsidRPr="2CD63631">
        <w:rPr>
          <w:rFonts w:eastAsia="Calibri"/>
        </w:rPr>
        <w:t>, rozwijanie współpracy międzysektorowej, transfer wiedzy i technologii, gospodarka oparta na wiedzy;</w:t>
      </w:r>
    </w:p>
    <w:p w14:paraId="3C826258" w14:textId="77777777" w:rsidR="002477F4" w:rsidRPr="002657E2" w:rsidRDefault="002477F4" w:rsidP="00512544">
      <w:pPr>
        <w:pStyle w:val="Akapitzlist"/>
        <w:numPr>
          <w:ilvl w:val="0"/>
          <w:numId w:val="24"/>
        </w:numPr>
      </w:pPr>
      <w:r w:rsidRPr="2CD63631">
        <w:rPr>
          <w:rFonts w:eastAsia="Calibri"/>
          <w:b/>
        </w:rPr>
        <w:t>Ujęcie terytorialne i funkcjonalne</w:t>
      </w:r>
      <w:r w:rsidRPr="2CD63631">
        <w:rPr>
          <w:rFonts w:eastAsia="Calibri"/>
        </w:rPr>
        <w:t xml:space="preserve"> – nastawienie na wykorzystanie lokalnych potencjałów i niwelowanie różnic rozwojowych, elastyczny dobór instrumentów do potrzeb danego terytorium, obszary strategicznej interwencji;</w:t>
      </w:r>
    </w:p>
    <w:p w14:paraId="7103A993" w14:textId="77777777" w:rsidR="002477F4" w:rsidRPr="006961B3" w:rsidRDefault="002477F4" w:rsidP="00512544">
      <w:pPr>
        <w:pStyle w:val="Akapitzlist"/>
        <w:numPr>
          <w:ilvl w:val="0"/>
          <w:numId w:val="24"/>
        </w:numPr>
      </w:pPr>
      <w:r w:rsidRPr="2CD63631">
        <w:rPr>
          <w:rFonts w:eastAsia="Calibri"/>
          <w:b/>
        </w:rPr>
        <w:lastRenderedPageBreak/>
        <w:t>Spójność społeczna, gospodarcza i</w:t>
      </w:r>
      <w:r w:rsidRPr="2CD63631">
        <w:rPr>
          <w:rFonts w:eastAsia="Calibri"/>
        </w:rPr>
        <w:t xml:space="preserve"> </w:t>
      </w:r>
      <w:r w:rsidRPr="2CD63631">
        <w:rPr>
          <w:rFonts w:eastAsia="Calibri"/>
          <w:b/>
        </w:rPr>
        <w:t>przestrzenna</w:t>
      </w:r>
      <w:r w:rsidRPr="2CD63631">
        <w:rPr>
          <w:rFonts w:eastAsia="Calibri"/>
        </w:rPr>
        <w:t xml:space="preserve"> – zapewnienie dostępności do usług takiej samej jakości, rozwój integrujący wszystkie obszary życia społeczno-gospodarczego, interdyscyplinarne podejście. </w:t>
      </w:r>
    </w:p>
    <w:p w14:paraId="348D63EA" w14:textId="19290CF3" w:rsidR="002477F4" w:rsidRPr="00F9682C" w:rsidRDefault="002477F4" w:rsidP="002477F4">
      <w:pPr>
        <w:rPr>
          <w:szCs w:val="22"/>
        </w:rPr>
      </w:pPr>
      <w:r>
        <w:t xml:space="preserve">Realizacja powyższych zasad powinna odbywać się w szczególności </w:t>
      </w:r>
      <w:r w:rsidR="00976A54">
        <w:t>w</w:t>
      </w:r>
      <w:r>
        <w:t xml:space="preserve"> oparciu o podejście terytorialne uwzględniające k</w:t>
      </w:r>
      <w:r w:rsidRPr="00864F4A">
        <w:t xml:space="preserve">oncepcję </w:t>
      </w:r>
      <w:r w:rsidRPr="00864F4A">
        <w:rPr>
          <w:i/>
        </w:rPr>
        <w:t xml:space="preserve">multilevel governance </w:t>
      </w:r>
      <w:r w:rsidRPr="00864F4A">
        <w:t>(szczególnie uwzględniając instrumenty takie jak ZIT czy OSI).</w:t>
      </w:r>
      <w:r w:rsidRPr="00864F4A">
        <w:rPr>
          <w:i/>
        </w:rPr>
        <w:t xml:space="preserve"> </w:t>
      </w:r>
      <w:r w:rsidRPr="00864F4A">
        <w:t>Należy przez to</w:t>
      </w:r>
      <w:r w:rsidRPr="00864F4A">
        <w:rPr>
          <w:i/>
        </w:rPr>
        <w:t xml:space="preserve"> </w:t>
      </w:r>
      <w:r w:rsidRPr="00864F4A">
        <w:t>rozumieć wypracowanie mechanizmów i podejmowanie działań mających na celu zaangażowanie w tworzenie i realizacje polityk rozwojowych różnych środowisk (instytucje rządowe i samorządowe wszystkich szczebli</w:t>
      </w:r>
      <w:r w:rsidR="416AC848">
        <w:t>), a także</w:t>
      </w:r>
      <w:r w:rsidRPr="00864F4A">
        <w:t xml:space="preserve"> aktorów życia publicznego (administracja publiczna, przedsiębiorcy, naukowcy i społeczność lokalna). Proces powinien zachodzić na różnych poziomach zarządzania, z poszanowaniem współzależności wertykalnych i horyzontalnych interakcji, przy jednoczesnym zachowaniu zasady policentryzmu decyzyjnego. Wskazane jest zachowanie elastyczności i swobody w kształtowaniu procesu (z uwzględnieniem specyfiki otoczenia, potrzeb i interesów podmiotów powiązanych z danym terytorium).</w:t>
      </w:r>
      <w:r>
        <w:t xml:space="preserve"> </w:t>
      </w:r>
    </w:p>
    <w:p w14:paraId="2F3ED70F" w14:textId="77777777" w:rsidR="002477F4" w:rsidRDefault="00562AF8" w:rsidP="00562AF8">
      <w:pPr>
        <w:pStyle w:val="Nagwek3"/>
      </w:pPr>
      <w:bookmarkStart w:id="62" w:name="_Toc536653106"/>
      <w:bookmarkStart w:id="63" w:name="_Toc1904778"/>
      <w:bookmarkStart w:id="64" w:name="_Toc5699450"/>
      <w:r>
        <w:t>Zmodyfikowana analiza SWOT</w:t>
      </w:r>
      <w:bookmarkEnd w:id="62"/>
      <w:bookmarkEnd w:id="63"/>
      <w:bookmarkEnd w:id="64"/>
    </w:p>
    <w:p w14:paraId="18CD2621" w14:textId="11B11974" w:rsidR="002477F4" w:rsidRDefault="002477F4" w:rsidP="002477F4">
      <w:pPr>
        <w:rPr>
          <w:lang w:eastAsia="pl-PL"/>
        </w:rPr>
      </w:pPr>
      <w:r w:rsidRPr="0048457A">
        <w:rPr>
          <w:lang w:eastAsia="pl-PL"/>
        </w:rPr>
        <w:t xml:space="preserve">Efektem analizy czynników wewnętrznych oraz zewnętrznych kształtujących sytuację w województwie wielkopolskim jest </w:t>
      </w:r>
      <w:r w:rsidR="00562AF8">
        <w:rPr>
          <w:lang w:eastAsia="pl-PL"/>
        </w:rPr>
        <w:t xml:space="preserve">zmodyfikowana </w:t>
      </w:r>
      <w:r>
        <w:rPr>
          <w:lang w:eastAsia="pl-PL"/>
        </w:rPr>
        <w:t>anal</w:t>
      </w:r>
      <w:r w:rsidR="00562AF8">
        <w:rPr>
          <w:lang w:eastAsia="pl-PL"/>
        </w:rPr>
        <w:t>iza SWOT (</w:t>
      </w:r>
      <w:r w:rsidR="00562AF8" w:rsidRPr="416AC848">
        <w:fldChar w:fldCharType="begin"/>
      </w:r>
      <w:r w:rsidR="00562AF8">
        <w:rPr>
          <w:lang w:eastAsia="pl-PL"/>
        </w:rPr>
        <w:instrText xml:space="preserve"> REF _Ref2023701 \h </w:instrText>
      </w:r>
      <w:r w:rsidR="00562AF8" w:rsidRPr="416AC848">
        <w:rPr>
          <w:lang w:eastAsia="pl-PL"/>
        </w:rPr>
        <w:fldChar w:fldCharType="separate"/>
      </w:r>
      <w:r w:rsidR="007F4FA2">
        <w:t xml:space="preserve">Tabela </w:t>
      </w:r>
      <w:r w:rsidR="007F4FA2">
        <w:rPr>
          <w:noProof/>
        </w:rPr>
        <w:t>7</w:t>
      </w:r>
      <w:r w:rsidR="00562AF8" w:rsidRPr="416AC848">
        <w:fldChar w:fldCharType="end"/>
      </w:r>
      <w:r w:rsidR="00562AF8">
        <w:rPr>
          <w:lang w:eastAsia="pl-PL"/>
        </w:rPr>
        <w:t xml:space="preserve">). Powstała propozycja analizy SWOT zgodnie z założeniami została poważnie „odchudzona”. Zawiera obecnie </w:t>
      </w:r>
      <w:r w:rsidR="00562AF8" w:rsidRPr="00D971FB">
        <w:rPr>
          <w:b/>
          <w:lang w:eastAsia="pl-PL"/>
        </w:rPr>
        <w:t>32 elementy</w:t>
      </w:r>
      <w:r w:rsidR="00562AF8">
        <w:rPr>
          <w:lang w:eastAsia="pl-PL"/>
        </w:rPr>
        <w:t xml:space="preserve">, co oznacza, że pod względem obszerności stanowi nieco ponad </w:t>
      </w:r>
      <w:r w:rsidR="00562AF8" w:rsidRPr="00D971FB">
        <w:rPr>
          <w:b/>
          <w:lang w:eastAsia="pl-PL"/>
        </w:rPr>
        <w:t>16% analizy SWOT</w:t>
      </w:r>
      <w:r w:rsidR="00562AF8">
        <w:rPr>
          <w:lang w:eastAsia="pl-PL"/>
        </w:rPr>
        <w:t xml:space="preserve"> z SRWW 2020. Było to możliwe między innymi dzięki rezygnacji z podziału na obszary tematyczne oraz koncentracji na najważniejszych czynnikach.</w:t>
      </w:r>
    </w:p>
    <w:p w14:paraId="113C8500" w14:textId="102C5334" w:rsidR="00562AF8" w:rsidRPr="00562AF8" w:rsidRDefault="002477F4" w:rsidP="00562AF8">
      <w:pPr>
        <w:pStyle w:val="Legenda"/>
        <w:keepNext/>
      </w:pPr>
      <w:bookmarkStart w:id="65" w:name="_Ref2023701"/>
      <w:bookmarkStart w:id="66" w:name="_Toc5699540"/>
      <w:r>
        <w:t xml:space="preserve">Tabela </w:t>
      </w:r>
      <w:r w:rsidRPr="69901DB0">
        <w:fldChar w:fldCharType="begin"/>
      </w:r>
      <w:r>
        <w:rPr>
          <w:noProof/>
        </w:rPr>
        <w:instrText xml:space="preserve"> SEQ Tabela \* ARABIC </w:instrText>
      </w:r>
      <w:r w:rsidRPr="69901DB0">
        <w:rPr>
          <w:noProof/>
        </w:rPr>
        <w:fldChar w:fldCharType="separate"/>
      </w:r>
      <w:r w:rsidR="007F4FA2">
        <w:rPr>
          <w:noProof/>
        </w:rPr>
        <w:t>7</w:t>
      </w:r>
      <w:r w:rsidRPr="69901DB0">
        <w:fldChar w:fldCharType="end"/>
      </w:r>
      <w:bookmarkEnd w:id="65"/>
      <w:r>
        <w:t>. Propozycja analizy SWOT</w:t>
      </w:r>
      <w:bookmarkStart w:id="67" w:name="_Hlk1912499"/>
      <w:bookmarkEnd w:id="66"/>
    </w:p>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ela 6. Propozycja analizy SWOT"/>
        <w:tblDescription w:val="Tabela przedstawia propozycję analizy SWOT, czyli silne i słabe strony oraz szanse i zagrożenia dla rozwoju Wielkopolski."/>
      </w:tblPr>
      <w:tblGrid>
        <w:gridCol w:w="4678"/>
        <w:gridCol w:w="4394"/>
      </w:tblGrid>
      <w:tr w:rsidR="00562AF8" w14:paraId="2966C460" w14:textId="77777777" w:rsidTr="3A105AF1">
        <w:tc>
          <w:tcPr>
            <w:tcW w:w="4678" w:type="dxa"/>
            <w:tcBorders>
              <w:bottom w:val="single" w:sz="2" w:space="0" w:color="F6BB00"/>
            </w:tcBorders>
            <w:shd w:val="clear" w:color="auto" w:fill="F6BB00"/>
            <w:vAlign w:val="center"/>
          </w:tcPr>
          <w:p w14:paraId="59C70FA4" w14:textId="77777777" w:rsidR="00562AF8" w:rsidRDefault="00562AF8" w:rsidP="00562AF8">
            <w:pPr>
              <w:spacing w:after="0" w:line="240" w:lineRule="auto"/>
              <w:jc w:val="center"/>
              <w:rPr>
                <w:b/>
                <w:sz w:val="18"/>
                <w:szCs w:val="18"/>
              </w:rPr>
            </w:pPr>
            <w:r>
              <w:rPr>
                <w:b/>
                <w:sz w:val="18"/>
                <w:szCs w:val="18"/>
              </w:rPr>
              <w:t>SILNE STRONY</w:t>
            </w:r>
          </w:p>
        </w:tc>
        <w:tc>
          <w:tcPr>
            <w:tcW w:w="4394" w:type="dxa"/>
            <w:tcBorders>
              <w:bottom w:val="single" w:sz="2" w:space="0" w:color="F6BB00"/>
            </w:tcBorders>
            <w:shd w:val="clear" w:color="auto" w:fill="F6BB00"/>
            <w:vAlign w:val="center"/>
          </w:tcPr>
          <w:p w14:paraId="44AFDAB9" w14:textId="77777777" w:rsidR="00562AF8" w:rsidRDefault="00562AF8" w:rsidP="00562AF8">
            <w:pPr>
              <w:spacing w:after="0" w:line="240" w:lineRule="auto"/>
              <w:jc w:val="center"/>
              <w:rPr>
                <w:b/>
                <w:sz w:val="18"/>
                <w:szCs w:val="18"/>
              </w:rPr>
            </w:pPr>
            <w:r>
              <w:rPr>
                <w:b/>
                <w:sz w:val="18"/>
                <w:szCs w:val="18"/>
              </w:rPr>
              <w:t>SŁABE STRONY</w:t>
            </w:r>
          </w:p>
        </w:tc>
      </w:tr>
      <w:tr w:rsidR="00562AF8" w:rsidRPr="00971C93" w14:paraId="1BF7C788" w14:textId="77777777" w:rsidTr="3A105AF1">
        <w:tc>
          <w:tcPr>
            <w:tcW w:w="4678" w:type="dxa"/>
            <w:tcBorders>
              <w:top w:val="single" w:sz="2" w:space="0" w:color="F6BB00"/>
              <w:bottom w:val="single" w:sz="2" w:space="0" w:color="F6BB00"/>
            </w:tcBorders>
            <w:vAlign w:val="center"/>
          </w:tcPr>
          <w:p w14:paraId="66885031" w14:textId="77777777" w:rsidR="00562AF8" w:rsidRDefault="00562AF8" w:rsidP="00512544">
            <w:pPr>
              <w:pStyle w:val="Akapitzlist"/>
              <w:numPr>
                <w:ilvl w:val="0"/>
                <w:numId w:val="12"/>
              </w:numPr>
              <w:spacing w:after="0" w:line="240" w:lineRule="auto"/>
              <w:ind w:left="459"/>
              <w:jc w:val="left"/>
              <w:rPr>
                <w:sz w:val="18"/>
                <w:szCs w:val="18"/>
              </w:rPr>
            </w:pPr>
            <w:r>
              <w:rPr>
                <w:sz w:val="18"/>
                <w:szCs w:val="18"/>
              </w:rPr>
              <w:t>korzystne położenie w przestrzeni europejskiej i krajowej, na skrzyżowaniu ważnych szlaków komunikacyjnych (Berlin-Moskwa, Praga-wybrzeże Bałtyku)</w:t>
            </w:r>
          </w:p>
          <w:p w14:paraId="16796648" w14:textId="77777777" w:rsidR="00562AF8" w:rsidRDefault="00562AF8" w:rsidP="00512544">
            <w:pPr>
              <w:pStyle w:val="Akapitzlist"/>
              <w:numPr>
                <w:ilvl w:val="0"/>
                <w:numId w:val="12"/>
              </w:numPr>
              <w:spacing w:after="0" w:line="240" w:lineRule="auto"/>
              <w:ind w:left="459"/>
              <w:jc w:val="left"/>
              <w:rPr>
                <w:sz w:val="18"/>
                <w:szCs w:val="18"/>
              </w:rPr>
            </w:pPr>
            <w:r>
              <w:rPr>
                <w:sz w:val="18"/>
                <w:szCs w:val="18"/>
              </w:rPr>
              <w:t xml:space="preserve">silna i rosnąca gospodarka zmniejszająca </w:t>
            </w:r>
            <w:r w:rsidRPr="003852FE">
              <w:rPr>
                <w:sz w:val="18"/>
                <w:szCs w:val="18"/>
              </w:rPr>
              <w:t>dystans do regionów europejskich</w:t>
            </w:r>
            <w:r>
              <w:rPr>
                <w:sz w:val="18"/>
                <w:szCs w:val="18"/>
              </w:rPr>
              <w:t xml:space="preserve"> (w tym przemysł rolno-spożywczy)</w:t>
            </w:r>
          </w:p>
          <w:p w14:paraId="4A55A302" w14:textId="77777777" w:rsidR="00562AF8" w:rsidRDefault="00562AF8" w:rsidP="00512544">
            <w:pPr>
              <w:pStyle w:val="Akapitzlist"/>
              <w:numPr>
                <w:ilvl w:val="0"/>
                <w:numId w:val="12"/>
              </w:numPr>
              <w:spacing w:after="0" w:line="240" w:lineRule="auto"/>
              <w:ind w:left="459"/>
              <w:jc w:val="left"/>
              <w:rPr>
                <w:sz w:val="18"/>
                <w:szCs w:val="18"/>
              </w:rPr>
            </w:pPr>
            <w:r>
              <w:rPr>
                <w:sz w:val="18"/>
                <w:szCs w:val="18"/>
              </w:rPr>
              <w:t>silna i wielofunkcyjna metropolia poznańska stanowiąca motor rozwoju dla całego regionu</w:t>
            </w:r>
          </w:p>
          <w:p w14:paraId="525B6F2C" w14:textId="77777777" w:rsidR="00562AF8" w:rsidRDefault="00562AF8" w:rsidP="00512544">
            <w:pPr>
              <w:pStyle w:val="Akapitzlist"/>
              <w:numPr>
                <w:ilvl w:val="0"/>
                <w:numId w:val="12"/>
              </w:numPr>
              <w:spacing w:after="0" w:line="240" w:lineRule="auto"/>
              <w:ind w:left="459"/>
              <w:jc w:val="left"/>
              <w:rPr>
                <w:sz w:val="18"/>
                <w:szCs w:val="18"/>
              </w:rPr>
            </w:pPr>
            <w:r>
              <w:rPr>
                <w:sz w:val="18"/>
                <w:szCs w:val="18"/>
              </w:rPr>
              <w:t>dobrze wykształcona hierarchiczna sieć osadnicza z ośrodkami subregionalnymi z dużym potencjałem</w:t>
            </w:r>
          </w:p>
          <w:p w14:paraId="18C4D6F5" w14:textId="77777777" w:rsidR="00562AF8" w:rsidRDefault="00562AF8" w:rsidP="00512544">
            <w:pPr>
              <w:pStyle w:val="Akapitzlist"/>
              <w:numPr>
                <w:ilvl w:val="0"/>
                <w:numId w:val="12"/>
              </w:numPr>
              <w:spacing w:after="0" w:line="240" w:lineRule="auto"/>
              <w:ind w:left="459"/>
              <w:jc w:val="left"/>
              <w:rPr>
                <w:sz w:val="18"/>
                <w:szCs w:val="18"/>
              </w:rPr>
            </w:pPr>
            <w:r>
              <w:rPr>
                <w:sz w:val="18"/>
                <w:szCs w:val="18"/>
              </w:rPr>
              <w:t>wysoka atrakcyjność inwestycyjna regionu skutkująca napływem inwestycji zagranicznych</w:t>
            </w:r>
          </w:p>
          <w:p w14:paraId="52774507" w14:textId="77777777" w:rsidR="00562AF8" w:rsidRDefault="00562AF8" w:rsidP="00512544">
            <w:pPr>
              <w:pStyle w:val="Akapitzlist"/>
              <w:numPr>
                <w:ilvl w:val="0"/>
                <w:numId w:val="12"/>
              </w:numPr>
              <w:spacing w:after="0" w:line="240" w:lineRule="auto"/>
              <w:ind w:left="459"/>
              <w:jc w:val="left"/>
              <w:rPr>
                <w:sz w:val="18"/>
                <w:szCs w:val="18"/>
              </w:rPr>
            </w:pPr>
            <w:r>
              <w:rPr>
                <w:sz w:val="18"/>
                <w:szCs w:val="18"/>
              </w:rPr>
              <w:t>silny potencjał naukowo-badawczy, w szczególności dobrze rozwinięte szkolnictwo wyższe</w:t>
            </w:r>
          </w:p>
          <w:p w14:paraId="449FF715" w14:textId="77777777" w:rsidR="00562AF8" w:rsidRDefault="00562AF8" w:rsidP="00512544">
            <w:pPr>
              <w:pStyle w:val="Akapitzlist"/>
              <w:numPr>
                <w:ilvl w:val="0"/>
                <w:numId w:val="12"/>
              </w:numPr>
              <w:spacing w:after="0" w:line="240" w:lineRule="auto"/>
              <w:ind w:left="459"/>
              <w:jc w:val="left"/>
              <w:rPr>
                <w:sz w:val="18"/>
                <w:szCs w:val="18"/>
              </w:rPr>
            </w:pPr>
            <w:r>
              <w:rPr>
                <w:sz w:val="18"/>
                <w:szCs w:val="18"/>
              </w:rPr>
              <w:t>korzystne warunki do rozwoju energetyki opartej o źródła odnawialne</w:t>
            </w:r>
          </w:p>
          <w:p w14:paraId="47D6BCCA" w14:textId="77777777" w:rsidR="00562AF8" w:rsidRDefault="00562AF8" w:rsidP="00512544">
            <w:pPr>
              <w:pStyle w:val="Akapitzlist"/>
              <w:numPr>
                <w:ilvl w:val="0"/>
                <w:numId w:val="12"/>
              </w:numPr>
              <w:spacing w:after="0" w:line="240" w:lineRule="auto"/>
              <w:ind w:left="459"/>
              <w:jc w:val="left"/>
              <w:rPr>
                <w:sz w:val="18"/>
                <w:szCs w:val="18"/>
              </w:rPr>
            </w:pPr>
            <w:r w:rsidRPr="00E205A6">
              <w:rPr>
                <w:sz w:val="18"/>
                <w:szCs w:val="18"/>
              </w:rPr>
              <w:t>gospodarstwa rolne charakteryzujące się wysoką wydajnością</w:t>
            </w:r>
          </w:p>
          <w:p w14:paraId="14157B42" w14:textId="77777777" w:rsidR="00562AF8" w:rsidRPr="000504C4" w:rsidRDefault="00562AF8" w:rsidP="00512544">
            <w:pPr>
              <w:pStyle w:val="Akapitzlist"/>
              <w:numPr>
                <w:ilvl w:val="0"/>
                <w:numId w:val="12"/>
              </w:numPr>
              <w:spacing w:after="0" w:line="240" w:lineRule="auto"/>
              <w:ind w:left="459"/>
              <w:jc w:val="left"/>
              <w:rPr>
                <w:sz w:val="18"/>
                <w:szCs w:val="18"/>
              </w:rPr>
            </w:pPr>
            <w:r w:rsidRPr="000504C4">
              <w:rPr>
                <w:sz w:val="18"/>
                <w:szCs w:val="18"/>
              </w:rPr>
              <w:t>wysoki poziom rozwoju społeczeństwa obywatelskiego w skali kraju, szczególnie w zakresie aktywności organizacji pozarządowych</w:t>
            </w:r>
          </w:p>
          <w:p w14:paraId="17265FB5" w14:textId="77777777" w:rsidR="00562AF8" w:rsidRPr="00DD17F6" w:rsidRDefault="00562AF8" w:rsidP="00512544">
            <w:pPr>
              <w:pStyle w:val="Akapitzlist"/>
              <w:numPr>
                <w:ilvl w:val="0"/>
                <w:numId w:val="12"/>
              </w:numPr>
              <w:spacing w:after="0" w:line="240" w:lineRule="auto"/>
              <w:ind w:left="459"/>
              <w:jc w:val="left"/>
              <w:rPr>
                <w:sz w:val="18"/>
                <w:szCs w:val="18"/>
              </w:rPr>
            </w:pPr>
            <w:r w:rsidRPr="00DD17F6">
              <w:rPr>
                <w:sz w:val="18"/>
                <w:szCs w:val="18"/>
              </w:rPr>
              <w:t xml:space="preserve">duża różnorodność i wartość dziedzictwa kulturowego </w:t>
            </w:r>
          </w:p>
          <w:p w14:paraId="3632563B" w14:textId="77777777" w:rsidR="00562AF8" w:rsidRPr="00016B11" w:rsidRDefault="00562AF8" w:rsidP="00512544">
            <w:pPr>
              <w:pStyle w:val="Akapitzlist"/>
              <w:numPr>
                <w:ilvl w:val="0"/>
                <w:numId w:val="12"/>
              </w:numPr>
              <w:spacing w:after="0" w:line="240" w:lineRule="auto"/>
              <w:ind w:left="459"/>
              <w:jc w:val="left"/>
              <w:rPr>
                <w:sz w:val="18"/>
                <w:szCs w:val="18"/>
              </w:rPr>
            </w:pPr>
            <w:r w:rsidRPr="000504C4">
              <w:rPr>
                <w:sz w:val="18"/>
                <w:szCs w:val="18"/>
              </w:rPr>
              <w:t>względnie korzystna sytuacja demograficzna w skali kraju, szczególnie pod kątem gęstości zaludnienia, przyrostu naturalnego i salda migracji</w:t>
            </w:r>
          </w:p>
        </w:tc>
        <w:tc>
          <w:tcPr>
            <w:tcW w:w="4394" w:type="dxa"/>
            <w:tcBorders>
              <w:top w:val="single" w:sz="2" w:space="0" w:color="F6BB00"/>
              <w:bottom w:val="single" w:sz="2" w:space="0" w:color="F6BB00"/>
            </w:tcBorders>
            <w:vAlign w:val="center"/>
          </w:tcPr>
          <w:p w14:paraId="4422E71B" w14:textId="5B00B049" w:rsidR="00562AF8" w:rsidRDefault="003A0616" w:rsidP="00512544">
            <w:pPr>
              <w:pStyle w:val="Akapitzlist"/>
              <w:numPr>
                <w:ilvl w:val="0"/>
                <w:numId w:val="14"/>
              </w:numPr>
              <w:spacing w:after="0" w:line="240" w:lineRule="auto"/>
              <w:ind w:left="316"/>
              <w:jc w:val="left"/>
              <w:rPr>
                <w:sz w:val="18"/>
                <w:szCs w:val="18"/>
              </w:rPr>
            </w:pPr>
            <w:r>
              <w:rPr>
                <w:sz w:val="18"/>
                <w:szCs w:val="18"/>
              </w:rPr>
              <w:t xml:space="preserve">silne </w:t>
            </w:r>
            <w:r w:rsidR="00562AF8" w:rsidRPr="00080792">
              <w:rPr>
                <w:sz w:val="18"/>
                <w:szCs w:val="18"/>
              </w:rPr>
              <w:t>wewnętrzne zróżnicowanie województwa (pod względem rozwoju gospodarczego, rynku pracy, dostępu do usług, dostępności komunikacyjnej, infrastruktury)</w:t>
            </w:r>
          </w:p>
          <w:p w14:paraId="0A08D034" w14:textId="77777777" w:rsidR="00562AF8" w:rsidRPr="000504C4" w:rsidRDefault="00562AF8" w:rsidP="00512544">
            <w:pPr>
              <w:pStyle w:val="Akapitzlist"/>
              <w:numPr>
                <w:ilvl w:val="0"/>
                <w:numId w:val="14"/>
              </w:numPr>
              <w:spacing w:after="0" w:line="240" w:lineRule="auto"/>
              <w:ind w:left="316"/>
              <w:jc w:val="left"/>
              <w:rPr>
                <w:sz w:val="18"/>
                <w:szCs w:val="18"/>
              </w:rPr>
            </w:pPr>
            <w:r>
              <w:rPr>
                <w:sz w:val="18"/>
                <w:szCs w:val="18"/>
              </w:rPr>
              <w:t>niewystarczające</w:t>
            </w:r>
            <w:r w:rsidRPr="000504C4">
              <w:rPr>
                <w:sz w:val="18"/>
                <w:szCs w:val="18"/>
              </w:rPr>
              <w:t xml:space="preserve"> powiązania funkcjonalne z obszarami przygranicznymi województwa, szczególnie położonymi w północnej i południowo-wschodniej części Wielkopolski (-&gt; wzrost ryzyka marginalizacji i wzmacnianie procesu utraty funkcji społeczno-gospodarczych)</w:t>
            </w:r>
          </w:p>
          <w:p w14:paraId="0F2802C1" w14:textId="4477BC28" w:rsidR="00562AF8" w:rsidRDefault="00BA1E55" w:rsidP="00512544">
            <w:pPr>
              <w:pStyle w:val="Akapitzlist"/>
              <w:numPr>
                <w:ilvl w:val="0"/>
                <w:numId w:val="14"/>
              </w:numPr>
              <w:spacing w:after="0" w:line="240" w:lineRule="auto"/>
              <w:ind w:left="316"/>
              <w:jc w:val="left"/>
              <w:rPr>
                <w:sz w:val="18"/>
                <w:szCs w:val="18"/>
              </w:rPr>
            </w:pPr>
            <w:r>
              <w:rPr>
                <w:sz w:val="18"/>
                <w:szCs w:val="18"/>
              </w:rPr>
              <w:t>niewystarczający</w:t>
            </w:r>
            <w:r w:rsidR="00562AF8" w:rsidRPr="00080792">
              <w:rPr>
                <w:sz w:val="18"/>
                <w:szCs w:val="18"/>
              </w:rPr>
              <w:t xml:space="preserve"> stopień powiązań</w:t>
            </w:r>
            <w:r w:rsidR="00562AF8">
              <w:rPr>
                <w:sz w:val="18"/>
                <w:szCs w:val="18"/>
              </w:rPr>
              <w:t xml:space="preserve"> kooperacyjnych oraz powiązań nauki z gospodarką mający swoje odzwierciedlenie w relatywnie niskim poziomie innowacyjności województwa</w:t>
            </w:r>
          </w:p>
          <w:p w14:paraId="0CFE71DF" w14:textId="407A29FD" w:rsidR="00562AF8" w:rsidRDefault="00BA1E55" w:rsidP="00512544">
            <w:pPr>
              <w:pStyle w:val="Akapitzlist"/>
              <w:numPr>
                <w:ilvl w:val="0"/>
                <w:numId w:val="14"/>
              </w:numPr>
              <w:spacing w:after="0" w:line="240" w:lineRule="auto"/>
              <w:ind w:left="316"/>
              <w:jc w:val="left"/>
              <w:rPr>
                <w:sz w:val="18"/>
                <w:szCs w:val="18"/>
              </w:rPr>
            </w:pPr>
            <w:r>
              <w:rPr>
                <w:sz w:val="18"/>
                <w:szCs w:val="18"/>
              </w:rPr>
              <w:t>niewystarczający</w:t>
            </w:r>
            <w:r w:rsidR="00562AF8">
              <w:rPr>
                <w:sz w:val="18"/>
                <w:szCs w:val="18"/>
              </w:rPr>
              <w:t xml:space="preserve"> poziom nakładów na działalność badawczo-rozwojową</w:t>
            </w:r>
          </w:p>
          <w:p w14:paraId="18631DA1" w14:textId="7D2D5201" w:rsidR="00562AF8" w:rsidRDefault="003A0616" w:rsidP="00512544">
            <w:pPr>
              <w:pStyle w:val="Akapitzlist"/>
              <w:numPr>
                <w:ilvl w:val="0"/>
                <w:numId w:val="14"/>
              </w:numPr>
              <w:spacing w:after="0" w:line="240" w:lineRule="auto"/>
              <w:ind w:left="316"/>
              <w:jc w:val="left"/>
              <w:rPr>
                <w:sz w:val="18"/>
                <w:szCs w:val="18"/>
              </w:rPr>
            </w:pPr>
            <w:r>
              <w:rPr>
                <w:sz w:val="18"/>
                <w:szCs w:val="18"/>
              </w:rPr>
              <w:t>niewystarczająca</w:t>
            </w:r>
            <w:r w:rsidR="00562AF8">
              <w:rPr>
                <w:sz w:val="18"/>
                <w:szCs w:val="18"/>
              </w:rPr>
              <w:t xml:space="preserve"> podaż opieki zdrowotnej, w szczególności tej specjalistycznej (słaba dostępność personelu medycznego oraz infrastruktury szpitalnej) </w:t>
            </w:r>
          </w:p>
          <w:p w14:paraId="2D746402" w14:textId="77777777" w:rsidR="00562AF8" w:rsidRPr="000504C4" w:rsidRDefault="00562AF8" w:rsidP="00512544">
            <w:pPr>
              <w:pStyle w:val="Akapitzlist"/>
              <w:numPr>
                <w:ilvl w:val="0"/>
                <w:numId w:val="14"/>
              </w:numPr>
              <w:spacing w:after="0" w:line="240" w:lineRule="auto"/>
              <w:ind w:left="316"/>
              <w:jc w:val="left"/>
              <w:rPr>
                <w:sz w:val="18"/>
                <w:szCs w:val="18"/>
              </w:rPr>
            </w:pPr>
            <w:r w:rsidRPr="000504C4">
              <w:rPr>
                <w:sz w:val="18"/>
                <w:szCs w:val="18"/>
              </w:rPr>
              <w:t>znaczny deficyt wodny oraz ograniczone możliwości retencji naturalnej, szczególnie w zasięgu oddziaływania kopalni węgla brunatnego oraz w północno-środkowej części województwa</w:t>
            </w:r>
          </w:p>
          <w:p w14:paraId="652D753E" w14:textId="77777777" w:rsidR="00562AF8" w:rsidRPr="00942877" w:rsidRDefault="00562AF8" w:rsidP="00512544">
            <w:pPr>
              <w:pStyle w:val="Akapitzlist"/>
              <w:numPr>
                <w:ilvl w:val="0"/>
                <w:numId w:val="14"/>
              </w:numPr>
              <w:spacing w:after="0" w:line="240" w:lineRule="auto"/>
              <w:ind w:left="316"/>
              <w:jc w:val="left"/>
              <w:rPr>
                <w:sz w:val="18"/>
                <w:szCs w:val="18"/>
              </w:rPr>
            </w:pPr>
            <w:r w:rsidRPr="000504C4">
              <w:rPr>
                <w:sz w:val="18"/>
                <w:szCs w:val="18"/>
              </w:rPr>
              <w:t>największa w skali kraju powierzchnia gruntów zdewastowanych i zdegradowanych</w:t>
            </w:r>
          </w:p>
        </w:tc>
      </w:tr>
      <w:tr w:rsidR="00562AF8" w14:paraId="62C9FAE0" w14:textId="77777777" w:rsidTr="00631503">
        <w:tc>
          <w:tcPr>
            <w:tcW w:w="4678" w:type="dxa"/>
            <w:tcBorders>
              <w:bottom w:val="single" w:sz="2" w:space="0" w:color="F6BB00"/>
            </w:tcBorders>
            <w:shd w:val="clear" w:color="auto" w:fill="F6BB00"/>
            <w:vAlign w:val="center"/>
          </w:tcPr>
          <w:p w14:paraId="0BAE777D" w14:textId="0D3528C6" w:rsidR="00562AF8" w:rsidRDefault="00562AF8" w:rsidP="00631503">
            <w:pPr>
              <w:spacing w:after="0" w:line="240" w:lineRule="auto"/>
              <w:jc w:val="center"/>
              <w:rPr>
                <w:b/>
                <w:sz w:val="18"/>
                <w:szCs w:val="18"/>
              </w:rPr>
            </w:pPr>
            <w:r>
              <w:rPr>
                <w:b/>
                <w:sz w:val="18"/>
                <w:szCs w:val="18"/>
              </w:rPr>
              <w:t>SZANSE</w:t>
            </w:r>
          </w:p>
        </w:tc>
        <w:tc>
          <w:tcPr>
            <w:tcW w:w="4394" w:type="dxa"/>
            <w:tcBorders>
              <w:bottom w:val="single" w:sz="2" w:space="0" w:color="F6BB00"/>
            </w:tcBorders>
            <w:shd w:val="clear" w:color="auto" w:fill="F6BB00"/>
            <w:vAlign w:val="center"/>
          </w:tcPr>
          <w:p w14:paraId="3F2AAA09" w14:textId="77777777" w:rsidR="00562AF8" w:rsidRDefault="00562AF8" w:rsidP="00631503">
            <w:pPr>
              <w:spacing w:after="0" w:line="240" w:lineRule="auto"/>
              <w:jc w:val="center"/>
              <w:rPr>
                <w:b/>
                <w:sz w:val="18"/>
                <w:szCs w:val="18"/>
              </w:rPr>
            </w:pPr>
            <w:r>
              <w:rPr>
                <w:b/>
                <w:sz w:val="18"/>
                <w:szCs w:val="18"/>
              </w:rPr>
              <w:t>ZAGROŻENIA</w:t>
            </w:r>
          </w:p>
        </w:tc>
      </w:tr>
      <w:tr w:rsidR="00562AF8" w:rsidRPr="00971C93" w14:paraId="4044100E" w14:textId="77777777" w:rsidTr="3A105AF1">
        <w:tc>
          <w:tcPr>
            <w:tcW w:w="4678" w:type="dxa"/>
            <w:tcBorders>
              <w:top w:val="single" w:sz="2" w:space="0" w:color="F6BB00"/>
              <w:bottom w:val="single" w:sz="2" w:space="0" w:color="F6BB00"/>
            </w:tcBorders>
            <w:vAlign w:val="center"/>
          </w:tcPr>
          <w:p w14:paraId="79AA5AE2" w14:textId="77777777" w:rsidR="00562AF8" w:rsidRDefault="00562AF8" w:rsidP="00512544">
            <w:pPr>
              <w:pStyle w:val="Akapitzlist"/>
              <w:numPr>
                <w:ilvl w:val="0"/>
                <w:numId w:val="13"/>
              </w:numPr>
              <w:spacing w:after="0" w:line="240" w:lineRule="auto"/>
              <w:ind w:left="461"/>
              <w:jc w:val="left"/>
              <w:rPr>
                <w:sz w:val="18"/>
                <w:szCs w:val="18"/>
              </w:rPr>
            </w:pPr>
            <w:r w:rsidRPr="00D5583B">
              <w:rPr>
                <w:sz w:val="18"/>
                <w:szCs w:val="18"/>
              </w:rPr>
              <w:t xml:space="preserve">zintegrowane podejście terytorialne, pozwalające na elastyczność w doborze instrumentów rozwojowych </w:t>
            </w:r>
            <w:r w:rsidRPr="00D5583B">
              <w:rPr>
                <w:sz w:val="18"/>
                <w:szCs w:val="18"/>
              </w:rPr>
              <w:lastRenderedPageBreak/>
              <w:t>oraz dopasowanie do potrzeb danego terytorium</w:t>
            </w:r>
            <w:r>
              <w:rPr>
                <w:sz w:val="18"/>
                <w:szCs w:val="18"/>
              </w:rPr>
              <w:t xml:space="preserve"> (-&gt; szansą na </w:t>
            </w:r>
            <w:r w:rsidRPr="00D5583B">
              <w:rPr>
                <w:sz w:val="18"/>
                <w:szCs w:val="18"/>
              </w:rPr>
              <w:t>zwiększoną spójnoś</w:t>
            </w:r>
            <w:r>
              <w:rPr>
                <w:sz w:val="18"/>
                <w:szCs w:val="18"/>
              </w:rPr>
              <w:t>ć</w:t>
            </w:r>
            <w:r w:rsidRPr="00D5583B">
              <w:rPr>
                <w:sz w:val="18"/>
                <w:szCs w:val="18"/>
              </w:rPr>
              <w:t xml:space="preserve"> w wymiarze społecznym, gospodarczym i przestrzennym</w:t>
            </w:r>
            <w:r>
              <w:rPr>
                <w:sz w:val="18"/>
                <w:szCs w:val="18"/>
              </w:rPr>
              <w:t>)</w:t>
            </w:r>
          </w:p>
          <w:p w14:paraId="176D8571" w14:textId="77777777" w:rsidR="00562AF8" w:rsidRDefault="00562AF8" w:rsidP="00512544">
            <w:pPr>
              <w:pStyle w:val="Akapitzlist"/>
              <w:numPr>
                <w:ilvl w:val="0"/>
                <w:numId w:val="13"/>
              </w:numPr>
              <w:spacing w:after="0" w:line="240" w:lineRule="auto"/>
              <w:ind w:left="461"/>
              <w:jc w:val="left"/>
              <w:rPr>
                <w:sz w:val="18"/>
                <w:szCs w:val="18"/>
              </w:rPr>
            </w:pPr>
            <w:r w:rsidRPr="00E205A6">
              <w:rPr>
                <w:sz w:val="18"/>
                <w:szCs w:val="18"/>
              </w:rPr>
              <w:t>krajowe i europejskie instrumenty rozwoju, których pozyskanie będzie wymagało konkurowania na arenie krajowej i międzynarodowej (w tym środki na rozwój inteligentnych specjalizacji</w:t>
            </w:r>
            <w:r>
              <w:rPr>
                <w:sz w:val="18"/>
                <w:szCs w:val="18"/>
              </w:rPr>
              <w:t>)</w:t>
            </w:r>
          </w:p>
          <w:p w14:paraId="5FA504E9" w14:textId="77777777" w:rsidR="00562AF8" w:rsidRPr="00E53138" w:rsidRDefault="00562AF8" w:rsidP="00512544">
            <w:pPr>
              <w:pStyle w:val="Akapitzlist"/>
              <w:numPr>
                <w:ilvl w:val="0"/>
                <w:numId w:val="13"/>
              </w:numPr>
              <w:spacing w:after="0" w:line="240" w:lineRule="auto"/>
              <w:ind w:left="461"/>
              <w:jc w:val="left"/>
              <w:rPr>
                <w:sz w:val="18"/>
                <w:szCs w:val="18"/>
              </w:rPr>
            </w:pPr>
            <w:r w:rsidRPr="00E53138">
              <w:rPr>
                <w:sz w:val="18"/>
                <w:szCs w:val="18"/>
              </w:rPr>
              <w:t>migracje zarobkowe do Polski (głównie z kierunku wschodniego)</w:t>
            </w:r>
          </w:p>
          <w:p w14:paraId="58BA35B6" w14:textId="77777777" w:rsidR="00562AF8" w:rsidRDefault="00562AF8" w:rsidP="00512544">
            <w:pPr>
              <w:pStyle w:val="Akapitzlist"/>
              <w:numPr>
                <w:ilvl w:val="0"/>
                <w:numId w:val="13"/>
              </w:numPr>
              <w:spacing w:after="0" w:line="240" w:lineRule="auto"/>
              <w:ind w:left="461"/>
              <w:jc w:val="left"/>
              <w:rPr>
                <w:sz w:val="18"/>
                <w:szCs w:val="18"/>
              </w:rPr>
            </w:pPr>
            <w:r>
              <w:rPr>
                <w:sz w:val="18"/>
                <w:szCs w:val="18"/>
              </w:rPr>
              <w:t xml:space="preserve">wysoka </w:t>
            </w:r>
            <w:r w:rsidRPr="00E205A6">
              <w:rPr>
                <w:sz w:val="18"/>
                <w:szCs w:val="18"/>
              </w:rPr>
              <w:t>świadomość ekologiczna Europejczyków kształtująca polityki europejskie ukierunkowane na wyższą jakość życia</w:t>
            </w:r>
          </w:p>
          <w:p w14:paraId="7AAB6380" w14:textId="77777777" w:rsidR="00562AF8" w:rsidRDefault="00562AF8" w:rsidP="00512544">
            <w:pPr>
              <w:pStyle w:val="Akapitzlist"/>
              <w:numPr>
                <w:ilvl w:val="0"/>
                <w:numId w:val="13"/>
              </w:numPr>
              <w:spacing w:after="0" w:line="240" w:lineRule="auto"/>
              <w:ind w:left="461"/>
              <w:jc w:val="left"/>
              <w:rPr>
                <w:sz w:val="18"/>
                <w:szCs w:val="18"/>
              </w:rPr>
            </w:pPr>
            <w:r>
              <w:rPr>
                <w:sz w:val="18"/>
                <w:szCs w:val="18"/>
              </w:rPr>
              <w:t>rosnące znaczenie ekonomii społecznej stwarzającej możliwości przeciwdziałania wykluczeniu społecznemu oraz negatywnym skutkom procesów demograficznych</w:t>
            </w:r>
          </w:p>
          <w:p w14:paraId="1C152448" w14:textId="77777777" w:rsidR="00562AF8" w:rsidRPr="005071B4" w:rsidRDefault="00562AF8" w:rsidP="00512544">
            <w:pPr>
              <w:pStyle w:val="Akapitzlist"/>
              <w:numPr>
                <w:ilvl w:val="0"/>
                <w:numId w:val="13"/>
              </w:numPr>
              <w:spacing w:after="0" w:line="240" w:lineRule="auto"/>
              <w:ind w:left="461"/>
              <w:jc w:val="left"/>
              <w:rPr>
                <w:sz w:val="18"/>
                <w:szCs w:val="18"/>
              </w:rPr>
            </w:pPr>
            <w:r w:rsidRPr="00B563C2">
              <w:rPr>
                <w:sz w:val="18"/>
                <w:szCs w:val="18"/>
              </w:rPr>
              <w:t>postępujący proces globalizacji wspierający rozwój technologii i społeczeństwa sieciowego (-&gt; sprawny przepływ informacji i wiedzy umożliwiający wykorzystanie wysokiego potencjału naukowo-badawczego województwa oraz budowanie pozycji konkurencyjnej)</w:t>
            </w:r>
          </w:p>
        </w:tc>
        <w:tc>
          <w:tcPr>
            <w:tcW w:w="4394" w:type="dxa"/>
            <w:tcBorders>
              <w:top w:val="single" w:sz="2" w:space="0" w:color="F6BB00"/>
              <w:bottom w:val="single" w:sz="2" w:space="0" w:color="F6BB00"/>
            </w:tcBorders>
            <w:vAlign w:val="center"/>
          </w:tcPr>
          <w:p w14:paraId="721D9E84" w14:textId="77777777" w:rsidR="00562AF8" w:rsidRDefault="00562AF8" w:rsidP="00512544">
            <w:pPr>
              <w:pStyle w:val="Akapitzlist"/>
              <w:numPr>
                <w:ilvl w:val="0"/>
                <w:numId w:val="18"/>
              </w:numPr>
              <w:spacing w:after="0" w:line="240" w:lineRule="auto"/>
              <w:ind w:left="315"/>
              <w:jc w:val="left"/>
              <w:rPr>
                <w:sz w:val="18"/>
                <w:szCs w:val="18"/>
              </w:rPr>
            </w:pPr>
            <w:r>
              <w:rPr>
                <w:sz w:val="18"/>
                <w:szCs w:val="18"/>
              </w:rPr>
              <w:lastRenderedPageBreak/>
              <w:t xml:space="preserve">rozbieżności między polityką wspólnotową UE a polityką krajową, w szczególności w zakresie: </w:t>
            </w:r>
            <w:r>
              <w:rPr>
                <w:sz w:val="18"/>
                <w:szCs w:val="18"/>
              </w:rPr>
              <w:lastRenderedPageBreak/>
              <w:t>polityki regionalnej, energetyki czy polityki senioralnej</w:t>
            </w:r>
          </w:p>
          <w:p w14:paraId="75572F47" w14:textId="77777777" w:rsidR="00562AF8" w:rsidRDefault="00562AF8" w:rsidP="00512544">
            <w:pPr>
              <w:pStyle w:val="Akapitzlist"/>
              <w:numPr>
                <w:ilvl w:val="0"/>
                <w:numId w:val="18"/>
              </w:numPr>
              <w:spacing w:after="0" w:line="240" w:lineRule="auto"/>
              <w:ind w:left="315"/>
              <w:jc w:val="left"/>
              <w:rPr>
                <w:sz w:val="18"/>
                <w:szCs w:val="18"/>
              </w:rPr>
            </w:pPr>
            <w:r>
              <w:rPr>
                <w:sz w:val="18"/>
                <w:szCs w:val="18"/>
              </w:rPr>
              <w:t>planowane zmiany w polityce krajowej (</w:t>
            </w:r>
            <w:r w:rsidRPr="00315F3C">
              <w:rPr>
                <w:i/>
                <w:sz w:val="18"/>
                <w:szCs w:val="18"/>
              </w:rPr>
              <w:t>KSRR</w:t>
            </w:r>
            <w:r>
              <w:rPr>
                <w:sz w:val="18"/>
                <w:szCs w:val="18"/>
              </w:rPr>
              <w:t>) polegające na odejściu od modelu polaryzacyjno-dyfuzyjnego i koncentracji na „regionach problemowych” (do których WLKP nie należy)</w:t>
            </w:r>
          </w:p>
          <w:p w14:paraId="2CBDA46A" w14:textId="77777777" w:rsidR="00562AF8" w:rsidRDefault="00562AF8" w:rsidP="00512544">
            <w:pPr>
              <w:pStyle w:val="Akapitzlist"/>
              <w:numPr>
                <w:ilvl w:val="0"/>
                <w:numId w:val="18"/>
              </w:numPr>
              <w:spacing w:after="0" w:line="240" w:lineRule="auto"/>
              <w:ind w:left="315"/>
              <w:jc w:val="left"/>
              <w:rPr>
                <w:sz w:val="18"/>
                <w:szCs w:val="18"/>
              </w:rPr>
            </w:pPr>
            <w:r>
              <w:rPr>
                <w:sz w:val="18"/>
                <w:szCs w:val="18"/>
              </w:rPr>
              <w:t>ograniczenie wpływów finansowych z polityki spójności (-&gt; konieczność większej mobilizacji środków własnych samorządu)</w:t>
            </w:r>
          </w:p>
          <w:p w14:paraId="02594676" w14:textId="77777777" w:rsidR="00562AF8" w:rsidRDefault="00562AF8" w:rsidP="00512544">
            <w:pPr>
              <w:pStyle w:val="Akapitzlist"/>
              <w:numPr>
                <w:ilvl w:val="0"/>
                <w:numId w:val="18"/>
              </w:numPr>
              <w:spacing w:after="0" w:line="240" w:lineRule="auto"/>
              <w:ind w:left="315"/>
              <w:jc w:val="left"/>
              <w:rPr>
                <w:sz w:val="18"/>
                <w:szCs w:val="18"/>
              </w:rPr>
            </w:pPr>
            <w:r>
              <w:rPr>
                <w:sz w:val="18"/>
                <w:szCs w:val="18"/>
              </w:rPr>
              <w:t xml:space="preserve">upolitycznienie instrumentów rozwoju stosowanych przez administrację rządową, np. w ramach realizacji </w:t>
            </w:r>
            <w:r w:rsidRPr="001A464B">
              <w:rPr>
                <w:i/>
                <w:sz w:val="18"/>
                <w:szCs w:val="18"/>
              </w:rPr>
              <w:t>KSRR</w:t>
            </w:r>
            <w:r>
              <w:rPr>
                <w:sz w:val="18"/>
                <w:szCs w:val="18"/>
              </w:rPr>
              <w:t xml:space="preserve"> i innych strategii horyzontalnych</w:t>
            </w:r>
          </w:p>
          <w:p w14:paraId="35F0C913" w14:textId="77777777" w:rsidR="00562AF8" w:rsidRDefault="00562AF8" w:rsidP="00512544">
            <w:pPr>
              <w:pStyle w:val="Akapitzlist"/>
              <w:numPr>
                <w:ilvl w:val="0"/>
                <w:numId w:val="18"/>
              </w:numPr>
              <w:spacing w:after="0" w:line="240" w:lineRule="auto"/>
              <w:ind w:left="315"/>
              <w:jc w:val="left"/>
              <w:rPr>
                <w:sz w:val="18"/>
                <w:szCs w:val="18"/>
              </w:rPr>
            </w:pPr>
            <w:r>
              <w:rPr>
                <w:sz w:val="18"/>
                <w:szCs w:val="18"/>
              </w:rPr>
              <w:t>dominacja podejścia sektorowego nad podejściem zintegrowanym w politykach poszczególnych ministerstw</w:t>
            </w:r>
          </w:p>
          <w:p w14:paraId="715EBE2F" w14:textId="77777777" w:rsidR="00562AF8" w:rsidRPr="00690438" w:rsidRDefault="00562AF8" w:rsidP="00512544">
            <w:pPr>
              <w:pStyle w:val="Akapitzlist"/>
              <w:numPr>
                <w:ilvl w:val="0"/>
                <w:numId w:val="18"/>
              </w:numPr>
              <w:spacing w:after="0" w:line="240" w:lineRule="auto"/>
              <w:ind w:left="315"/>
              <w:jc w:val="left"/>
              <w:rPr>
                <w:sz w:val="18"/>
                <w:szCs w:val="18"/>
              </w:rPr>
            </w:pPr>
            <w:r w:rsidRPr="00690438">
              <w:rPr>
                <w:sz w:val="18"/>
                <w:szCs w:val="18"/>
              </w:rPr>
              <w:t>rosnące znaczenie miast i obszarów funkcjonalnych na poziomie ponadregionalnym (-&gt; stopniowe zmniejszanie roli regionów na szczeblu krajowym i europejskim)</w:t>
            </w:r>
          </w:p>
          <w:p w14:paraId="5AB31193" w14:textId="77777777" w:rsidR="00562AF8" w:rsidRDefault="00562AF8" w:rsidP="00512544">
            <w:pPr>
              <w:pStyle w:val="Akapitzlist"/>
              <w:numPr>
                <w:ilvl w:val="0"/>
                <w:numId w:val="18"/>
              </w:numPr>
              <w:spacing w:after="0" w:line="240" w:lineRule="auto"/>
              <w:ind w:left="315"/>
              <w:jc w:val="left"/>
              <w:rPr>
                <w:sz w:val="18"/>
                <w:szCs w:val="18"/>
              </w:rPr>
            </w:pPr>
            <w:r w:rsidRPr="00863377">
              <w:rPr>
                <w:sz w:val="18"/>
                <w:szCs w:val="18"/>
              </w:rPr>
              <w:t>zaniechanie inwestycji w infrastrukturę</w:t>
            </w:r>
            <w:r>
              <w:rPr>
                <w:sz w:val="18"/>
                <w:szCs w:val="18"/>
              </w:rPr>
              <w:t xml:space="preserve"> </w:t>
            </w:r>
            <w:r w:rsidRPr="00863377">
              <w:rPr>
                <w:sz w:val="18"/>
                <w:szCs w:val="18"/>
              </w:rPr>
              <w:t>komunikacyjną zarządzaną na poziomie krajowym (północ-południe S11)</w:t>
            </w:r>
            <w:r>
              <w:rPr>
                <w:sz w:val="18"/>
                <w:szCs w:val="18"/>
              </w:rPr>
              <w:t xml:space="preserve"> w perspektywie do 2030 roku</w:t>
            </w:r>
          </w:p>
          <w:p w14:paraId="22B62206" w14:textId="77777777" w:rsidR="00562AF8" w:rsidRPr="00690438" w:rsidRDefault="00562AF8" w:rsidP="00512544">
            <w:pPr>
              <w:pStyle w:val="Akapitzlist"/>
              <w:numPr>
                <w:ilvl w:val="0"/>
                <w:numId w:val="18"/>
              </w:numPr>
              <w:spacing w:after="0" w:line="240" w:lineRule="auto"/>
              <w:ind w:left="315"/>
              <w:jc w:val="left"/>
              <w:rPr>
                <w:sz w:val="18"/>
                <w:szCs w:val="18"/>
              </w:rPr>
            </w:pPr>
            <w:r w:rsidRPr="005A2FC3">
              <w:rPr>
                <w:sz w:val="18"/>
                <w:szCs w:val="18"/>
              </w:rPr>
              <w:t>otwarcie niemieckiego rynku na obywateli Ukrainy i związany z tym odpływ ukraińskich pracowników poza granicę kraju</w:t>
            </w:r>
            <w:r>
              <w:rPr>
                <w:sz w:val="18"/>
                <w:szCs w:val="18"/>
              </w:rPr>
              <w:t xml:space="preserve"> </w:t>
            </w:r>
          </w:p>
        </w:tc>
      </w:tr>
    </w:tbl>
    <w:p w14:paraId="0E28B4B1" w14:textId="3179F9B5" w:rsidR="00562AF8" w:rsidRPr="0048580B" w:rsidRDefault="00562AF8" w:rsidP="00562AF8">
      <w:pPr>
        <w:rPr>
          <w:sz w:val="16"/>
          <w:szCs w:val="16"/>
        </w:rPr>
      </w:pPr>
      <w:r w:rsidRPr="0048580B">
        <w:rPr>
          <w:sz w:val="16"/>
          <w:szCs w:val="16"/>
        </w:rPr>
        <w:lastRenderedPageBreak/>
        <w:t>Źródło: opracowanie własne.</w:t>
      </w:r>
      <w:bookmarkEnd w:id="67"/>
    </w:p>
    <w:p w14:paraId="4AA8A857" w14:textId="77777777" w:rsidR="00562AF8" w:rsidRPr="00562AF8" w:rsidRDefault="00562AF8" w:rsidP="00BF08D5">
      <w:pPr>
        <w:ind w:left="4536"/>
        <w:jc w:val="left"/>
        <w:rPr>
          <w:b/>
          <w:i/>
          <w:color w:val="001E50"/>
        </w:rPr>
      </w:pPr>
      <w:r w:rsidRPr="00562AF8">
        <w:rPr>
          <w:b/>
          <w:i/>
          <w:color w:val="001E50"/>
        </w:rPr>
        <w:t>Dominują silne strony nad słabymi, podczas gdy w analizie SWOT w SRWW 2020 przeważały słabe strony</w:t>
      </w:r>
    </w:p>
    <w:p w14:paraId="434EFABB" w14:textId="10FC3ABE" w:rsidR="00562AF8" w:rsidRPr="000114F2" w:rsidRDefault="00562AF8" w:rsidP="000114F2">
      <w:pPr>
        <w:tabs>
          <w:tab w:val="left" w:pos="5387"/>
        </w:tabs>
        <w:spacing w:after="0"/>
        <w:rPr>
          <w:lang w:eastAsia="pl-PL"/>
        </w:rPr>
      </w:pPr>
      <w:r>
        <w:rPr>
          <w:lang w:eastAsia="pl-PL"/>
        </w:rPr>
        <w:t>Zmianie uległa nie tylko obszerność analizy SWOT, ale także jej kształt, determinowany relacjami między liczbą poszczególnych elementów: silnych stron, słabych stron, szans oraz zagrożeń (</w:t>
      </w:r>
      <w:r w:rsidRPr="416AC848">
        <w:fldChar w:fldCharType="begin"/>
      </w:r>
      <w:r>
        <w:rPr>
          <w:lang w:eastAsia="pl-PL"/>
        </w:rPr>
        <w:instrText xml:space="preserve"> REF _Ref1900093 \h  \* MERGEFORMAT </w:instrText>
      </w:r>
      <w:r w:rsidRPr="416AC848">
        <w:rPr>
          <w:lang w:eastAsia="pl-PL"/>
        </w:rPr>
        <w:fldChar w:fldCharType="separate"/>
      </w:r>
      <w:r w:rsidR="007F4FA2" w:rsidRPr="0048580B">
        <w:rPr>
          <w:lang w:eastAsia="pl-PL"/>
        </w:rPr>
        <w:t xml:space="preserve">Wykres </w:t>
      </w:r>
      <w:r w:rsidR="007F4FA2">
        <w:rPr>
          <w:lang w:eastAsia="pl-PL"/>
        </w:rPr>
        <w:t>2</w:t>
      </w:r>
      <w:r w:rsidRPr="416AC848">
        <w:fldChar w:fldCharType="end"/>
      </w:r>
      <w:r>
        <w:rPr>
          <w:lang w:eastAsia="pl-PL"/>
        </w:rPr>
        <w:t xml:space="preserve">). Wyraźnie widać, że </w:t>
      </w:r>
      <w:r w:rsidRPr="00D971FB">
        <w:rPr>
          <w:b/>
          <w:lang w:eastAsia="pl-PL"/>
        </w:rPr>
        <w:t>analiza SWOT w SRWW 2020 „ciążyła” ku słabym stronom</w:t>
      </w:r>
      <w:r w:rsidRPr="416AC848">
        <w:rPr>
          <w:b/>
          <w:bCs/>
          <w:lang w:eastAsia="pl-PL"/>
        </w:rPr>
        <w:t>,</w:t>
      </w:r>
      <w:r w:rsidRPr="00D971FB">
        <w:rPr>
          <w:b/>
          <w:lang w:eastAsia="pl-PL"/>
        </w:rPr>
        <w:t xml:space="preserve"> podczas gdy w nowej propozycji zdecydowanie na plan pierwszy „wybijają się” silne strony</w:t>
      </w:r>
      <w:r>
        <w:rPr>
          <w:lang w:eastAsia="pl-PL"/>
        </w:rPr>
        <w:t>.</w:t>
      </w:r>
      <w:r>
        <w:rPr>
          <w:rStyle w:val="Odwoanieprzypisudolnego"/>
          <w:lang w:eastAsia="pl-PL"/>
        </w:rPr>
        <w:footnoteReference w:id="11"/>
      </w:r>
      <w:r>
        <w:rPr>
          <w:lang w:eastAsia="pl-PL"/>
        </w:rPr>
        <w:t xml:space="preserve"> Śmiało można zaryzykować twierdzenie, że jest to </w:t>
      </w:r>
      <w:r w:rsidR="004A6111">
        <w:rPr>
          <w:lang w:eastAsia="pl-PL"/>
        </w:rPr>
        <w:t xml:space="preserve">po części </w:t>
      </w:r>
      <w:r>
        <w:rPr>
          <w:lang w:eastAsia="pl-PL"/>
        </w:rPr>
        <w:t>efektem prowadzonych w regionie działań</w:t>
      </w:r>
      <w:r w:rsidR="004A6111">
        <w:rPr>
          <w:lang w:eastAsia="pl-PL"/>
        </w:rPr>
        <w:t xml:space="preserve"> strategicznych</w:t>
      </w:r>
      <w:r>
        <w:rPr>
          <w:lang w:eastAsia="pl-PL"/>
        </w:rPr>
        <w:t>, które najogólniej mają prowadzić do niwelowania słabyc</w:t>
      </w:r>
      <w:r w:rsidR="000114F2">
        <w:rPr>
          <w:lang w:eastAsia="pl-PL"/>
        </w:rPr>
        <w:t xml:space="preserve">h i wzmacniania silnych stron. </w:t>
      </w:r>
    </w:p>
    <w:p w14:paraId="47F5ABB4" w14:textId="1644BE5A" w:rsidR="00562AF8" w:rsidRPr="0048580B" w:rsidRDefault="00562AF8" w:rsidP="0048580B">
      <w:pPr>
        <w:pStyle w:val="Legenda"/>
        <w:keepNext/>
        <w:jc w:val="left"/>
        <w:rPr>
          <w:b w:val="0"/>
          <w:bCs w:val="0"/>
          <w:i/>
          <w:iCs/>
        </w:rPr>
      </w:pPr>
      <w:bookmarkStart w:id="68" w:name="_Ref1900093"/>
      <w:bookmarkStart w:id="69" w:name="_Toc5699513"/>
      <w:r w:rsidRPr="0048580B">
        <w:t xml:space="preserve">Wykres </w:t>
      </w:r>
      <w:r w:rsidR="009D79CF" w:rsidRPr="69901DB0">
        <w:fldChar w:fldCharType="begin"/>
      </w:r>
      <w:r w:rsidR="009D79CF">
        <w:rPr>
          <w:noProof/>
        </w:rPr>
        <w:instrText xml:space="preserve"> SEQ Wykres \* ARABIC </w:instrText>
      </w:r>
      <w:r w:rsidR="009D79CF" w:rsidRPr="69901DB0">
        <w:rPr>
          <w:noProof/>
        </w:rPr>
        <w:fldChar w:fldCharType="separate"/>
      </w:r>
      <w:r w:rsidR="007F4FA2">
        <w:rPr>
          <w:noProof/>
        </w:rPr>
        <w:t>2</w:t>
      </w:r>
      <w:r w:rsidR="009D79CF" w:rsidRPr="69901DB0">
        <w:fldChar w:fldCharType="end"/>
      </w:r>
      <w:bookmarkEnd w:id="68"/>
      <w:r w:rsidRPr="0048580B">
        <w:t>. Porównanie analizy SWOT w SRWW 2020 i w nowej propozycji</w:t>
      </w:r>
      <w:bookmarkEnd w:id="69"/>
    </w:p>
    <w:p w14:paraId="36C8F514" w14:textId="77777777" w:rsidR="00562AF8" w:rsidRPr="00127D1C" w:rsidRDefault="00562AF8" w:rsidP="3A105AF1">
      <w:pPr>
        <w:jc w:val="left"/>
        <w:rPr>
          <w:lang w:eastAsia="pl-PL"/>
        </w:rPr>
      </w:pPr>
      <w:r>
        <w:rPr>
          <w:noProof/>
          <w:lang w:eastAsia="pl-PL"/>
        </w:rPr>
        <w:drawing>
          <wp:inline distT="0" distB="0" distL="0" distR="0" wp14:anchorId="01562206" wp14:editId="13E48A93">
            <wp:extent cx="3806250" cy="1724812"/>
            <wp:effectExtent l="0" t="0" r="0" b="8890"/>
            <wp:docPr id="2102560381" name="Obraz 2102560381" descr="Wykres przedstawia liczbę silnych i słabych stron oraz szans i zagrożeń dla rozwoju Wielkopolski w obecnej Strategii oraz porównuje je z liczbą tych elementów zawartą w nowej propozycji." title="Wykres 2. Porównanie analizy SWOT w SRWW 2020 i w nowej propozyc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806250" cy="1724812"/>
                    </a:xfrm>
                    <a:prstGeom prst="rect">
                      <a:avLst/>
                    </a:prstGeom>
                  </pic:spPr>
                </pic:pic>
              </a:graphicData>
            </a:graphic>
          </wp:inline>
        </w:drawing>
      </w:r>
    </w:p>
    <w:p w14:paraId="566ECE31" w14:textId="77777777" w:rsidR="00562AF8" w:rsidRDefault="00562AF8" w:rsidP="0048580B">
      <w:pPr>
        <w:jc w:val="left"/>
        <w:rPr>
          <w:sz w:val="16"/>
          <w:szCs w:val="16"/>
          <w:lang w:eastAsia="pl-PL"/>
        </w:rPr>
      </w:pPr>
      <w:r w:rsidRPr="002A540F">
        <w:rPr>
          <w:sz w:val="16"/>
          <w:szCs w:val="16"/>
          <w:lang w:eastAsia="pl-PL"/>
        </w:rPr>
        <w:t>Źródło: opracowanie własne</w:t>
      </w:r>
      <w:r>
        <w:rPr>
          <w:sz w:val="16"/>
          <w:szCs w:val="16"/>
          <w:lang w:eastAsia="pl-PL"/>
        </w:rPr>
        <w:t>.</w:t>
      </w:r>
    </w:p>
    <w:p w14:paraId="4D4CF675" w14:textId="2CD028D6" w:rsidR="00562AF8" w:rsidRDefault="00562AF8" w:rsidP="00562AF8">
      <w:pPr>
        <w:tabs>
          <w:tab w:val="left" w:pos="5387"/>
        </w:tabs>
        <w:spacing w:after="0"/>
        <w:rPr>
          <w:lang w:eastAsia="pl-PL"/>
        </w:rPr>
      </w:pPr>
      <w:r>
        <w:rPr>
          <w:lang w:eastAsia="pl-PL"/>
        </w:rPr>
        <w:lastRenderedPageBreak/>
        <w:t xml:space="preserve">Do interesujących wniosków prowadzi także analiza relacji między elementami wewnętrznymi a zewnętrznymi, a także pozytywnymi i </w:t>
      </w:r>
      <w:r w:rsidRPr="00D971FB">
        <w:rPr>
          <w:lang w:eastAsia="pl-PL"/>
        </w:rPr>
        <w:t>negatywnymi (</w:t>
      </w:r>
      <w:r w:rsidRPr="00D971FB">
        <w:rPr>
          <w:lang w:eastAsia="pl-PL"/>
        </w:rPr>
        <w:fldChar w:fldCharType="begin"/>
      </w:r>
      <w:r w:rsidRPr="00D971FB">
        <w:rPr>
          <w:lang w:eastAsia="pl-PL"/>
        </w:rPr>
        <w:instrText xml:space="preserve"> REF _Ref1945766 \h  \* MERGEFORMAT </w:instrText>
      </w:r>
      <w:r w:rsidRPr="00D971FB">
        <w:rPr>
          <w:lang w:eastAsia="pl-PL"/>
        </w:rPr>
      </w:r>
      <w:r w:rsidRPr="00D971FB">
        <w:rPr>
          <w:lang w:eastAsia="pl-PL"/>
        </w:rPr>
        <w:fldChar w:fldCharType="separate"/>
      </w:r>
      <w:r w:rsidR="007F4FA2" w:rsidRPr="007F4FA2">
        <w:rPr>
          <w:bCs/>
          <w:iCs/>
          <w:lang w:eastAsia="pl-PL"/>
        </w:rPr>
        <w:t xml:space="preserve">Wykres </w:t>
      </w:r>
      <w:r w:rsidR="007F4FA2" w:rsidRPr="007F4FA2">
        <w:rPr>
          <w:bCs/>
          <w:iCs/>
          <w:noProof/>
          <w:lang w:eastAsia="pl-PL"/>
        </w:rPr>
        <w:t>3</w:t>
      </w:r>
      <w:r w:rsidRPr="00D971FB">
        <w:rPr>
          <w:lang w:eastAsia="pl-PL"/>
        </w:rPr>
        <w:fldChar w:fldCharType="end"/>
      </w:r>
      <w:r w:rsidRPr="00D971FB">
        <w:rPr>
          <w:lang w:eastAsia="pl-PL"/>
        </w:rPr>
        <w:t>). Porównani</w:t>
      </w:r>
      <w:r>
        <w:rPr>
          <w:lang w:eastAsia="pl-PL"/>
        </w:rPr>
        <w:t xml:space="preserve">e nowej propozycji analizy SWOT z analizą SWOT w SRWW 2020 może być w tym zakresie nieco utrudnione z uwagi na fakt przyjęcia </w:t>
      </w:r>
      <w:r w:rsidR="0048580B">
        <w:rPr>
          <w:lang w:eastAsia="pl-PL"/>
        </w:rPr>
        <w:t xml:space="preserve">w </w:t>
      </w:r>
      <w:r>
        <w:rPr>
          <w:lang w:eastAsia="pl-PL"/>
        </w:rPr>
        <w:t>SRWW 2020 innych kryteriów wyróżniania szans oraz zagrożeń</w:t>
      </w:r>
      <w:r w:rsidR="0046174F">
        <w:rPr>
          <w:lang w:eastAsia="pl-PL"/>
        </w:rPr>
        <w:t>.</w:t>
      </w:r>
      <w:r w:rsidR="0046174F">
        <w:rPr>
          <w:rStyle w:val="Odwoanieprzypisudolnego"/>
          <w:lang w:eastAsia="pl-PL"/>
        </w:rPr>
        <w:footnoteReference w:id="12"/>
      </w:r>
      <w:r w:rsidR="0046174F">
        <w:rPr>
          <w:lang w:eastAsia="pl-PL"/>
        </w:rPr>
        <w:t xml:space="preserve"> </w:t>
      </w:r>
      <w:r>
        <w:rPr>
          <w:lang w:eastAsia="pl-PL"/>
        </w:rPr>
        <w:t>Z pewnością w nowej propozycji analizy SWOT silniej zaakcentowana jest rola otoczenia w kształtowaniu możliwości rozwojowych Wielkopolski. Otoczenie stwarza jed</w:t>
      </w:r>
      <w:r w:rsidR="0048580B">
        <w:rPr>
          <w:lang w:eastAsia="pl-PL"/>
        </w:rPr>
        <w:t>nak więcej zagrożeń niż szans.</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zynniki wewnętrzne vs. zewnętrzne i czynniki pozytywne vs. negatywne w analizie SWOT SRWW 2020 oraz w nowej propozycji"/>
        <w:tblDescription w:val="W nowej propozycji SWOT nieco mniejszy udział mają czynniki wewnętrzne, niż zewnętrzne, z kolei zaznaczona jest przewafa czynników pozytywnych nad negatywnymi."/>
      </w:tblPr>
      <w:tblGrid>
        <w:gridCol w:w="9072"/>
      </w:tblGrid>
      <w:tr w:rsidR="00A64618" w14:paraId="423CBEC0" w14:textId="77777777" w:rsidTr="00A64618">
        <w:tc>
          <w:tcPr>
            <w:tcW w:w="9062" w:type="dxa"/>
          </w:tcPr>
          <w:p w14:paraId="3F5BDD12" w14:textId="4F2ECC71" w:rsidR="00A64618" w:rsidRPr="00A64618" w:rsidRDefault="00A64618" w:rsidP="00A64618">
            <w:pPr>
              <w:pStyle w:val="Legenda"/>
              <w:keepNext/>
              <w:rPr>
                <w:b w:val="0"/>
                <w:bCs w:val="0"/>
                <w:i/>
                <w:iCs/>
              </w:rPr>
            </w:pPr>
            <w:bookmarkStart w:id="70" w:name="_Ref1945766"/>
            <w:bookmarkStart w:id="71" w:name="_Toc5699514"/>
            <w:r w:rsidRPr="0048580B">
              <w:t xml:space="preserve">Wykres </w:t>
            </w:r>
            <w:r w:rsidRPr="69901DB0">
              <w:fldChar w:fldCharType="begin"/>
            </w:r>
            <w:r>
              <w:rPr>
                <w:noProof/>
              </w:rPr>
              <w:instrText xml:space="preserve"> SEQ Wykres \* ARABIC </w:instrText>
            </w:r>
            <w:r w:rsidRPr="69901DB0">
              <w:rPr>
                <w:noProof/>
              </w:rPr>
              <w:fldChar w:fldCharType="separate"/>
            </w:r>
            <w:r w:rsidR="007F4FA2">
              <w:rPr>
                <w:noProof/>
              </w:rPr>
              <w:t>3</w:t>
            </w:r>
            <w:r w:rsidRPr="69901DB0">
              <w:fldChar w:fldCharType="end"/>
            </w:r>
            <w:bookmarkEnd w:id="70"/>
            <w:r w:rsidRPr="0048580B">
              <w:t>. Czynniki wewnętrzne vs. zewnętrzne i czynniki pozytywne vs. negatywne w analizie SWOT SRWW 2020 oraz nowej propozycji</w:t>
            </w:r>
            <w:bookmarkEnd w:id="71"/>
          </w:p>
        </w:tc>
      </w:tr>
      <w:tr w:rsidR="00A64618" w14:paraId="426EC80E" w14:textId="77777777" w:rsidTr="00A64618">
        <w:tc>
          <w:tcPr>
            <w:tcW w:w="9062" w:type="dxa"/>
          </w:tcPr>
          <w:p w14:paraId="2F6EA2F8" w14:textId="4165A18B" w:rsidR="00A64618" w:rsidRDefault="00A64618" w:rsidP="00562AF8">
            <w:pPr>
              <w:tabs>
                <w:tab w:val="left" w:pos="5387"/>
              </w:tabs>
              <w:spacing w:after="0"/>
              <w:rPr>
                <w:lang w:eastAsia="pl-PL"/>
              </w:rPr>
            </w:pPr>
            <w:r>
              <w:rPr>
                <w:noProof/>
                <w:lang w:eastAsia="pl-PL"/>
              </w:rPr>
              <w:drawing>
                <wp:inline distT="0" distB="0" distL="0" distR="0" wp14:anchorId="72F31FCB" wp14:editId="5086986F">
                  <wp:extent cx="5715000" cy="811530"/>
                  <wp:effectExtent l="0" t="0" r="0" b="7620"/>
                  <wp:docPr id="2" name="Wykres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88D5729-9A0B-4F24-A26D-AB842B1AFD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A64618" w14:paraId="6F3A0570" w14:textId="77777777" w:rsidTr="00A64618">
        <w:tc>
          <w:tcPr>
            <w:tcW w:w="9062" w:type="dxa"/>
          </w:tcPr>
          <w:p w14:paraId="2277F68B" w14:textId="085FBBDF" w:rsidR="00A64618" w:rsidRDefault="00A64618" w:rsidP="00562AF8">
            <w:pPr>
              <w:tabs>
                <w:tab w:val="left" w:pos="5387"/>
              </w:tabs>
              <w:spacing w:after="0"/>
              <w:rPr>
                <w:noProof/>
                <w:lang w:eastAsia="pl-PL"/>
              </w:rPr>
            </w:pPr>
            <w:r>
              <w:rPr>
                <w:noProof/>
                <w:lang w:eastAsia="pl-PL"/>
              </w:rPr>
              <w:drawing>
                <wp:inline distT="0" distB="0" distL="0" distR="0" wp14:anchorId="5BB71D25" wp14:editId="5692C4DF">
                  <wp:extent cx="5741670" cy="769620"/>
                  <wp:effectExtent l="0" t="0" r="0" b="0"/>
                  <wp:docPr id="3" name="Wykres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A4080AC-DF8A-4BC9-B602-4911B45119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A64618" w14:paraId="50BA7874" w14:textId="77777777" w:rsidTr="00A64618">
        <w:tc>
          <w:tcPr>
            <w:tcW w:w="9062" w:type="dxa"/>
          </w:tcPr>
          <w:p w14:paraId="2EFD9143" w14:textId="56DEFD3F" w:rsidR="00A64618" w:rsidRPr="00A64618" w:rsidRDefault="00A64618" w:rsidP="00A64618">
            <w:pPr>
              <w:rPr>
                <w:sz w:val="16"/>
                <w:szCs w:val="16"/>
                <w:lang w:eastAsia="pl-PL"/>
              </w:rPr>
            </w:pPr>
            <w:r w:rsidRPr="002A540F">
              <w:rPr>
                <w:sz w:val="16"/>
                <w:szCs w:val="16"/>
                <w:lang w:eastAsia="pl-PL"/>
              </w:rPr>
              <w:t>Źródło: opracowanie własne</w:t>
            </w:r>
            <w:r>
              <w:rPr>
                <w:sz w:val="16"/>
                <w:szCs w:val="16"/>
                <w:lang w:eastAsia="pl-PL"/>
              </w:rPr>
              <w:t>.</w:t>
            </w:r>
          </w:p>
        </w:tc>
      </w:tr>
    </w:tbl>
    <w:p w14:paraId="755BAE95" w14:textId="77777777" w:rsidR="00562AF8" w:rsidRDefault="00562AF8" w:rsidP="00562AF8">
      <w:r w:rsidRPr="005E39FF">
        <w:t xml:space="preserve">Sztando (2006, s. 138) wskazuje, że plany strategiczne oparte na sztucznie równouprawnionych wynikach diagnoz koncentrują się w równym stopniu na faktycznie biegunowo różnych, pod względem znaczenia dla rozwoju, własnościach układu terytorialnego. </w:t>
      </w:r>
      <w:r>
        <w:t>Dlatego zestawienie liczbowe poszczególnych elementów analizy SWOT nie uprawnia nas w żaden sposób do odpowiedzi na pytanie o siłę oddziaływania i znac</w:t>
      </w:r>
      <w:r w:rsidR="0048580B">
        <w:t>zenie poszczególnych czynników.</w:t>
      </w:r>
    </w:p>
    <w:p w14:paraId="5945835D" w14:textId="77777777" w:rsidR="0048580B" w:rsidRDefault="0048580B" w:rsidP="0048580B">
      <w:pPr>
        <w:pStyle w:val="Nagwek3"/>
      </w:pPr>
      <w:bookmarkStart w:id="72" w:name="_Toc5699451"/>
      <w:r>
        <w:t>Analiza SWOT/TOWS</w:t>
      </w:r>
      <w:bookmarkEnd w:id="72"/>
    </w:p>
    <w:p w14:paraId="5ACD5CBA" w14:textId="114ECC95" w:rsidR="00562AF8" w:rsidRPr="001774B9" w:rsidRDefault="00562AF8" w:rsidP="00562AF8">
      <w:pPr>
        <w:rPr>
          <w:lang w:eastAsia="pl-PL"/>
        </w:rPr>
      </w:pPr>
      <w:r>
        <w:rPr>
          <w:lang w:eastAsia="pl-PL"/>
        </w:rPr>
        <w:t xml:space="preserve">Kluczowe wydaje się zidentyfikowanie, które z elementów analizy SWOT mają najsilniejszy wymiar strategiczny.  W tym celu wykorzystana została uproszczona analiza SWOT/TOWS, która pozwoliła na </w:t>
      </w:r>
      <w:r w:rsidRPr="005E39FF">
        <w:t xml:space="preserve">nakreślenie </w:t>
      </w:r>
      <w:r w:rsidRPr="005E39FF">
        <w:rPr>
          <w:b/>
          <w:lang w:eastAsia="pl-PL"/>
        </w:rPr>
        <w:t>relacji między poszczególnymi elementami analizy</w:t>
      </w:r>
      <w:r w:rsidR="0048580B" w:rsidRPr="0048580B">
        <w:rPr>
          <w:lang w:eastAsia="pl-PL"/>
        </w:rPr>
        <w:t>,</w:t>
      </w:r>
      <w:r>
        <w:rPr>
          <w:b/>
          <w:lang w:eastAsia="pl-PL"/>
        </w:rPr>
        <w:t xml:space="preserve"> </w:t>
      </w:r>
      <w:r w:rsidR="0048580B" w:rsidRPr="00DC2C15">
        <w:rPr>
          <w:lang w:eastAsia="pl-PL"/>
        </w:rPr>
        <w:t>z</w:t>
      </w:r>
      <w:r w:rsidRPr="001774B9">
        <w:rPr>
          <w:lang w:eastAsia="pl-PL"/>
        </w:rPr>
        <w:t>a pomocą</w:t>
      </w:r>
      <w:r>
        <w:rPr>
          <w:lang w:eastAsia="pl-PL"/>
        </w:rPr>
        <w:t xml:space="preserve"> ośmiu pytań </w:t>
      </w:r>
      <w:r w:rsidR="0048580B">
        <w:rPr>
          <w:lang w:eastAsia="pl-PL"/>
        </w:rPr>
        <w:t>(</w:t>
      </w:r>
      <w:r w:rsidR="0048580B" w:rsidRPr="416AC848">
        <w:fldChar w:fldCharType="begin"/>
      </w:r>
      <w:r w:rsidR="0048580B">
        <w:rPr>
          <w:lang w:eastAsia="pl-PL"/>
        </w:rPr>
        <w:instrText xml:space="preserve"> REF _Ref1912071 \h </w:instrText>
      </w:r>
      <w:r w:rsidR="0048580B" w:rsidRPr="416AC848">
        <w:rPr>
          <w:lang w:eastAsia="pl-PL"/>
        </w:rPr>
        <w:fldChar w:fldCharType="separate"/>
      </w:r>
      <w:r w:rsidR="007F4FA2" w:rsidRPr="0048580B">
        <w:t xml:space="preserve">Tabela </w:t>
      </w:r>
      <w:r w:rsidR="007F4FA2">
        <w:rPr>
          <w:noProof/>
        </w:rPr>
        <w:t>8</w:t>
      </w:r>
      <w:r w:rsidR="0048580B" w:rsidRPr="416AC848">
        <w:fldChar w:fldCharType="end"/>
      </w:r>
      <w:r w:rsidR="0048580B">
        <w:rPr>
          <w:lang w:eastAsia="pl-PL"/>
        </w:rPr>
        <w:t>).</w:t>
      </w:r>
    </w:p>
    <w:p w14:paraId="136B3286" w14:textId="434EF87C" w:rsidR="00562AF8" w:rsidRPr="0048580B" w:rsidRDefault="00562AF8" w:rsidP="0048580B">
      <w:pPr>
        <w:pStyle w:val="Legenda"/>
      </w:pPr>
      <w:bookmarkStart w:id="73" w:name="_Ref1912071"/>
      <w:bookmarkStart w:id="74" w:name="_Toc5699541"/>
      <w:r w:rsidRPr="0048580B">
        <w:t xml:space="preserve">Tabela </w:t>
      </w:r>
      <w:r w:rsidR="009D79CF" w:rsidRPr="69901DB0">
        <w:fldChar w:fldCharType="begin"/>
      </w:r>
      <w:r w:rsidR="009D79CF">
        <w:rPr>
          <w:noProof/>
        </w:rPr>
        <w:instrText xml:space="preserve"> SEQ Tabela \* ARABIC </w:instrText>
      </w:r>
      <w:r w:rsidR="009D79CF" w:rsidRPr="69901DB0">
        <w:rPr>
          <w:noProof/>
        </w:rPr>
        <w:fldChar w:fldCharType="separate"/>
      </w:r>
      <w:r w:rsidR="007F4FA2">
        <w:rPr>
          <w:noProof/>
        </w:rPr>
        <w:t>8</w:t>
      </w:r>
      <w:r w:rsidR="009D79CF" w:rsidRPr="69901DB0">
        <w:fldChar w:fldCharType="end"/>
      </w:r>
      <w:bookmarkEnd w:id="73"/>
      <w:r w:rsidRPr="0048580B">
        <w:t>. Pytania w analizie SWOT/TOWS</w:t>
      </w:r>
      <w:bookmarkEnd w:id="74"/>
    </w:p>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ela 7. Pytania w analizie SWOT/TOWS"/>
        <w:tblDescription w:val="Tabela przedstawia pytania, które zadawane są przy tworzeniu analizy SWOT i TOWS. "/>
      </w:tblPr>
      <w:tblGrid>
        <w:gridCol w:w="4678"/>
        <w:gridCol w:w="4394"/>
      </w:tblGrid>
      <w:tr w:rsidR="00562AF8" w14:paraId="6F34D222" w14:textId="77777777" w:rsidTr="00631503">
        <w:tc>
          <w:tcPr>
            <w:tcW w:w="4678" w:type="dxa"/>
            <w:tcBorders>
              <w:bottom w:val="single" w:sz="2" w:space="0" w:color="F6BB00"/>
            </w:tcBorders>
            <w:shd w:val="clear" w:color="auto" w:fill="F6BB00"/>
            <w:vAlign w:val="center"/>
          </w:tcPr>
          <w:p w14:paraId="127E0830" w14:textId="77777777" w:rsidR="00562AF8" w:rsidRDefault="00562AF8" w:rsidP="00631503">
            <w:pPr>
              <w:spacing w:after="0" w:line="240" w:lineRule="auto"/>
              <w:jc w:val="center"/>
              <w:rPr>
                <w:b/>
                <w:sz w:val="18"/>
                <w:szCs w:val="18"/>
              </w:rPr>
            </w:pPr>
            <w:r>
              <w:rPr>
                <w:b/>
                <w:sz w:val="18"/>
                <w:szCs w:val="18"/>
              </w:rPr>
              <w:t>ANALIZA SWOT</w:t>
            </w:r>
          </w:p>
        </w:tc>
        <w:tc>
          <w:tcPr>
            <w:tcW w:w="4394" w:type="dxa"/>
            <w:tcBorders>
              <w:bottom w:val="single" w:sz="2" w:space="0" w:color="F6BB00"/>
            </w:tcBorders>
            <w:shd w:val="clear" w:color="auto" w:fill="F6BB00"/>
            <w:vAlign w:val="center"/>
          </w:tcPr>
          <w:p w14:paraId="080CD42F" w14:textId="77777777" w:rsidR="00562AF8" w:rsidRDefault="00562AF8" w:rsidP="00631503">
            <w:pPr>
              <w:spacing w:after="0" w:line="240" w:lineRule="auto"/>
              <w:jc w:val="center"/>
              <w:rPr>
                <w:b/>
                <w:sz w:val="18"/>
                <w:szCs w:val="18"/>
              </w:rPr>
            </w:pPr>
            <w:r>
              <w:rPr>
                <w:b/>
                <w:sz w:val="18"/>
                <w:szCs w:val="18"/>
              </w:rPr>
              <w:t>ANALIZA TOWS</w:t>
            </w:r>
          </w:p>
        </w:tc>
      </w:tr>
      <w:tr w:rsidR="00562AF8" w:rsidRPr="00971C93" w14:paraId="202FF226" w14:textId="77777777" w:rsidTr="3A105AF1">
        <w:tc>
          <w:tcPr>
            <w:tcW w:w="4678" w:type="dxa"/>
            <w:tcBorders>
              <w:top w:val="single" w:sz="2" w:space="0" w:color="F6BB00"/>
              <w:bottom w:val="single" w:sz="2" w:space="0" w:color="F6BB00"/>
            </w:tcBorders>
            <w:vAlign w:val="center"/>
          </w:tcPr>
          <w:p w14:paraId="586E51FE" w14:textId="77777777" w:rsidR="00562AF8" w:rsidRDefault="00562AF8" w:rsidP="006828EB">
            <w:pPr>
              <w:pStyle w:val="Akapitzlist"/>
              <w:numPr>
                <w:ilvl w:val="0"/>
                <w:numId w:val="0"/>
              </w:numPr>
              <w:spacing w:after="0" w:line="240" w:lineRule="auto"/>
              <w:ind w:left="459"/>
              <w:jc w:val="left"/>
              <w:rPr>
                <w:sz w:val="18"/>
                <w:szCs w:val="18"/>
              </w:rPr>
            </w:pPr>
            <w:r>
              <w:rPr>
                <w:sz w:val="18"/>
                <w:szCs w:val="18"/>
              </w:rPr>
              <w:t>Czy silne strony pozwolą wykorzystać szanse?</w:t>
            </w:r>
          </w:p>
          <w:p w14:paraId="1B4C6FFE" w14:textId="77777777" w:rsidR="00562AF8" w:rsidRPr="00755214" w:rsidRDefault="00562AF8" w:rsidP="006828EB">
            <w:pPr>
              <w:pStyle w:val="Akapitzlist"/>
              <w:numPr>
                <w:ilvl w:val="0"/>
                <w:numId w:val="0"/>
              </w:numPr>
              <w:spacing w:after="0" w:line="240" w:lineRule="auto"/>
              <w:ind w:left="459"/>
              <w:jc w:val="left"/>
              <w:rPr>
                <w:sz w:val="18"/>
                <w:szCs w:val="18"/>
              </w:rPr>
            </w:pPr>
            <w:r>
              <w:rPr>
                <w:sz w:val="18"/>
                <w:szCs w:val="18"/>
              </w:rPr>
              <w:t>Czy słabe strony zablokują wykorzystanie szans?</w:t>
            </w:r>
          </w:p>
          <w:p w14:paraId="5E711A45" w14:textId="77777777" w:rsidR="00562AF8" w:rsidRDefault="00562AF8" w:rsidP="006828EB">
            <w:pPr>
              <w:pStyle w:val="Akapitzlist"/>
              <w:numPr>
                <w:ilvl w:val="0"/>
                <w:numId w:val="0"/>
              </w:numPr>
              <w:spacing w:after="0" w:line="240" w:lineRule="auto"/>
              <w:ind w:left="459"/>
              <w:jc w:val="left"/>
              <w:rPr>
                <w:sz w:val="18"/>
                <w:szCs w:val="18"/>
              </w:rPr>
            </w:pPr>
            <w:r>
              <w:rPr>
                <w:sz w:val="18"/>
                <w:szCs w:val="18"/>
              </w:rPr>
              <w:t>Czy silne strony pozwolą przezwyciężyć zagrożenia?</w:t>
            </w:r>
          </w:p>
          <w:p w14:paraId="3409AF58" w14:textId="77777777" w:rsidR="00562AF8" w:rsidRPr="00016B11" w:rsidRDefault="00562AF8" w:rsidP="006828EB">
            <w:pPr>
              <w:pStyle w:val="Akapitzlist"/>
              <w:numPr>
                <w:ilvl w:val="0"/>
                <w:numId w:val="0"/>
              </w:numPr>
              <w:spacing w:after="0" w:line="240" w:lineRule="auto"/>
              <w:ind w:left="459"/>
              <w:jc w:val="left"/>
              <w:rPr>
                <w:sz w:val="18"/>
                <w:szCs w:val="18"/>
              </w:rPr>
            </w:pPr>
            <w:r>
              <w:rPr>
                <w:sz w:val="18"/>
                <w:szCs w:val="18"/>
              </w:rPr>
              <w:t>Czy słabe strony wzmocnią zagrożenia?</w:t>
            </w:r>
          </w:p>
        </w:tc>
        <w:tc>
          <w:tcPr>
            <w:tcW w:w="4394" w:type="dxa"/>
            <w:tcBorders>
              <w:top w:val="single" w:sz="2" w:space="0" w:color="F6BB00"/>
              <w:bottom w:val="single" w:sz="2" w:space="0" w:color="F6BB00"/>
            </w:tcBorders>
            <w:vAlign w:val="center"/>
          </w:tcPr>
          <w:p w14:paraId="72989A7B" w14:textId="77777777" w:rsidR="00562AF8" w:rsidRDefault="00562AF8" w:rsidP="006828EB">
            <w:pPr>
              <w:pStyle w:val="Akapitzlist"/>
              <w:numPr>
                <w:ilvl w:val="0"/>
                <w:numId w:val="0"/>
              </w:numPr>
              <w:spacing w:after="0" w:line="240" w:lineRule="auto"/>
              <w:ind w:left="457"/>
              <w:jc w:val="left"/>
              <w:rPr>
                <w:sz w:val="18"/>
                <w:szCs w:val="18"/>
              </w:rPr>
            </w:pPr>
            <w:r>
              <w:rPr>
                <w:sz w:val="18"/>
                <w:szCs w:val="18"/>
              </w:rPr>
              <w:t>Czy szanse spotęgują silne strony?</w:t>
            </w:r>
          </w:p>
          <w:p w14:paraId="636B66E1" w14:textId="77777777" w:rsidR="00562AF8" w:rsidRDefault="00562AF8" w:rsidP="006828EB">
            <w:pPr>
              <w:pStyle w:val="Akapitzlist"/>
              <w:numPr>
                <w:ilvl w:val="0"/>
                <w:numId w:val="0"/>
              </w:numPr>
              <w:spacing w:after="0" w:line="240" w:lineRule="auto"/>
              <w:ind w:left="457"/>
              <w:jc w:val="left"/>
              <w:rPr>
                <w:sz w:val="18"/>
                <w:szCs w:val="18"/>
              </w:rPr>
            </w:pPr>
            <w:r>
              <w:rPr>
                <w:sz w:val="18"/>
                <w:szCs w:val="18"/>
              </w:rPr>
              <w:t>Czy szanse pozwolą przezwyciężyć słabe strony?</w:t>
            </w:r>
          </w:p>
          <w:p w14:paraId="2A56ABDE" w14:textId="77777777" w:rsidR="00562AF8" w:rsidRPr="00A27B41" w:rsidRDefault="00562AF8" w:rsidP="006828EB">
            <w:pPr>
              <w:pStyle w:val="Akapitzlist"/>
              <w:numPr>
                <w:ilvl w:val="0"/>
                <w:numId w:val="0"/>
              </w:numPr>
              <w:spacing w:after="0" w:line="240" w:lineRule="auto"/>
              <w:ind w:left="457"/>
              <w:jc w:val="left"/>
              <w:rPr>
                <w:sz w:val="18"/>
                <w:szCs w:val="18"/>
              </w:rPr>
            </w:pPr>
            <w:r>
              <w:rPr>
                <w:sz w:val="18"/>
                <w:szCs w:val="18"/>
              </w:rPr>
              <w:t>Czy zagrożenia osłabią silne strony?</w:t>
            </w:r>
          </w:p>
          <w:p w14:paraId="5A0C2D3A" w14:textId="77777777" w:rsidR="00562AF8" w:rsidRPr="00942877" w:rsidRDefault="00562AF8" w:rsidP="006828EB">
            <w:pPr>
              <w:pStyle w:val="Akapitzlist"/>
              <w:numPr>
                <w:ilvl w:val="0"/>
                <w:numId w:val="0"/>
              </w:numPr>
              <w:spacing w:after="0" w:line="240" w:lineRule="auto"/>
              <w:ind w:left="457"/>
              <w:jc w:val="left"/>
              <w:rPr>
                <w:sz w:val="18"/>
                <w:szCs w:val="18"/>
              </w:rPr>
            </w:pPr>
            <w:r>
              <w:rPr>
                <w:sz w:val="18"/>
                <w:szCs w:val="18"/>
              </w:rPr>
              <w:t>Czy zagrożenia spotęgują słabe strony?</w:t>
            </w:r>
          </w:p>
        </w:tc>
      </w:tr>
    </w:tbl>
    <w:p w14:paraId="6A695ABE" w14:textId="77777777" w:rsidR="00562AF8" w:rsidRDefault="00562AF8" w:rsidP="00562AF8">
      <w:pPr>
        <w:rPr>
          <w:sz w:val="16"/>
          <w:szCs w:val="16"/>
          <w:lang w:eastAsia="pl-PL"/>
        </w:rPr>
      </w:pPr>
      <w:r w:rsidRPr="002A540F">
        <w:rPr>
          <w:sz w:val="16"/>
          <w:szCs w:val="16"/>
          <w:lang w:eastAsia="pl-PL"/>
        </w:rPr>
        <w:t>Źródło: opracowanie własne</w:t>
      </w:r>
      <w:r>
        <w:rPr>
          <w:sz w:val="16"/>
          <w:szCs w:val="16"/>
          <w:lang w:eastAsia="pl-PL"/>
        </w:rPr>
        <w:t>.</w:t>
      </w:r>
    </w:p>
    <w:p w14:paraId="66CB1B0A" w14:textId="77777777" w:rsidR="0048580B" w:rsidRDefault="0048580B" w:rsidP="0048580B">
      <w:pPr>
        <w:rPr>
          <w:lang w:eastAsia="pl-PL"/>
        </w:rPr>
      </w:pPr>
      <w:r>
        <w:rPr>
          <w:lang w:eastAsia="pl-PL"/>
        </w:rPr>
        <w:t>Analiza SWOT/TOWS pozwala wyróżnić tzw</w:t>
      </w:r>
      <w:r w:rsidRPr="005E39FF">
        <w:rPr>
          <w:lang w:eastAsia="pl-PL"/>
        </w:rPr>
        <w:t xml:space="preserve">. </w:t>
      </w:r>
      <w:r w:rsidRPr="00457725">
        <w:rPr>
          <w:lang w:eastAsia="pl-PL"/>
        </w:rPr>
        <w:t>„elementy węzłowe”,</w:t>
      </w:r>
      <w:r w:rsidRPr="005E39FF">
        <w:rPr>
          <w:lang w:eastAsia="pl-PL"/>
        </w:rPr>
        <w:t xml:space="preserve"> </w:t>
      </w:r>
      <w:r>
        <w:rPr>
          <w:lang w:eastAsia="pl-PL"/>
        </w:rPr>
        <w:t xml:space="preserve">czyli takie które generują najwięcej interakcji i sprzężeń zwrotnych z innymi elementami </w:t>
      </w:r>
      <w:r w:rsidRPr="0019136F">
        <w:rPr>
          <w:lang w:eastAsia="pl-PL"/>
        </w:rPr>
        <w:t>(</w:t>
      </w:r>
      <w:r w:rsidRPr="0019136F">
        <w:rPr>
          <w:lang w:eastAsia="pl-PL"/>
        </w:rPr>
        <w:fldChar w:fldCharType="begin"/>
      </w:r>
      <w:r w:rsidRPr="0019136F">
        <w:rPr>
          <w:lang w:eastAsia="pl-PL"/>
        </w:rPr>
        <w:instrText xml:space="preserve"> REF _Ref1934053 \h  \* MERGEFORMAT </w:instrText>
      </w:r>
      <w:r w:rsidRPr="0019136F">
        <w:rPr>
          <w:lang w:eastAsia="pl-PL"/>
        </w:rPr>
      </w:r>
      <w:r w:rsidRPr="0019136F">
        <w:rPr>
          <w:lang w:eastAsia="pl-PL"/>
        </w:rPr>
        <w:fldChar w:fldCharType="separate"/>
      </w:r>
      <w:r w:rsidR="007F4FA2" w:rsidRPr="007F4FA2">
        <w:rPr>
          <w:bCs/>
          <w:iCs/>
          <w:lang w:eastAsia="pl-PL"/>
        </w:rPr>
        <w:t>Tabela 9</w:t>
      </w:r>
      <w:r w:rsidRPr="0019136F">
        <w:rPr>
          <w:lang w:eastAsia="pl-PL"/>
        </w:rPr>
        <w:fldChar w:fldCharType="end"/>
      </w:r>
      <w:r w:rsidRPr="0019136F">
        <w:rPr>
          <w:lang w:eastAsia="pl-PL"/>
        </w:rPr>
        <w:t>). Wyróżnienie</w:t>
      </w:r>
      <w:r>
        <w:rPr>
          <w:lang w:eastAsia="pl-PL"/>
        </w:rPr>
        <w:t xml:space="preserve"> tych czynników stanowi istotną wskazówkę na etapie projekcyjnym procesu budowania strategii, przy formułowaniu konkretnych celów strategicznych, zgodnie z zasadami: „silne strony wzmacniamy”, „słabe strony eliminujemy”, „szanse wykorzystujemy” oraz „unikamy zagrożeń”.</w:t>
      </w:r>
    </w:p>
    <w:p w14:paraId="18D93DAE" w14:textId="41A6415A" w:rsidR="00562AF8" w:rsidRPr="0048580B" w:rsidRDefault="00562AF8" w:rsidP="00631503">
      <w:pPr>
        <w:pStyle w:val="Legenda"/>
        <w:spacing w:before="840"/>
      </w:pPr>
      <w:bookmarkStart w:id="75" w:name="_Ref1934053"/>
      <w:bookmarkStart w:id="76" w:name="_Toc5699542"/>
      <w:r w:rsidRPr="0048580B">
        <w:lastRenderedPageBreak/>
        <w:t xml:space="preserve">Tabela </w:t>
      </w:r>
      <w:r w:rsidR="009D79CF" w:rsidRPr="69901DB0">
        <w:fldChar w:fldCharType="begin"/>
      </w:r>
      <w:r w:rsidR="009D79CF">
        <w:rPr>
          <w:noProof/>
        </w:rPr>
        <w:instrText xml:space="preserve"> SEQ Tabela \* ARABIC </w:instrText>
      </w:r>
      <w:r w:rsidR="009D79CF" w:rsidRPr="69901DB0">
        <w:rPr>
          <w:noProof/>
        </w:rPr>
        <w:fldChar w:fldCharType="separate"/>
      </w:r>
      <w:r w:rsidR="007F4FA2">
        <w:rPr>
          <w:noProof/>
        </w:rPr>
        <w:t>9</w:t>
      </w:r>
      <w:r w:rsidR="009D79CF" w:rsidRPr="69901DB0">
        <w:fldChar w:fldCharType="end"/>
      </w:r>
      <w:bookmarkEnd w:id="75"/>
      <w:r w:rsidRPr="0048580B">
        <w:t>. Analiza SWOT/TOWS dla Wielkopolski – wyniki analiz cząstkowych</w:t>
      </w:r>
      <w:bookmarkEnd w:id="76"/>
    </w:p>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ela 8. Analiza SWOT/TOWS dla Wielkopolski – wyniki analiz cząstkowych"/>
        <w:tblDescription w:val="Tabela przedstawia wybrane wyniki i wnioski z przeprowadzonej analizy SWOT/TOWS."/>
      </w:tblPr>
      <w:tblGrid>
        <w:gridCol w:w="284"/>
        <w:gridCol w:w="1627"/>
        <w:gridCol w:w="7161"/>
      </w:tblGrid>
      <w:tr w:rsidR="00562AF8" w:rsidRPr="0048580B" w14:paraId="27213759" w14:textId="77777777" w:rsidTr="00631503">
        <w:tc>
          <w:tcPr>
            <w:tcW w:w="1911" w:type="dxa"/>
            <w:gridSpan w:val="2"/>
            <w:shd w:val="clear" w:color="auto" w:fill="F6BB00"/>
            <w:vAlign w:val="center"/>
          </w:tcPr>
          <w:p w14:paraId="611FF707" w14:textId="77777777" w:rsidR="00562AF8" w:rsidRPr="00631503" w:rsidRDefault="00562AF8" w:rsidP="00631503">
            <w:pPr>
              <w:spacing w:after="0" w:line="240" w:lineRule="auto"/>
              <w:jc w:val="center"/>
              <w:rPr>
                <w:rFonts w:asciiTheme="minorHAnsi" w:hAnsiTheme="minorHAnsi"/>
                <w:b/>
                <w:sz w:val="18"/>
                <w:szCs w:val="18"/>
              </w:rPr>
            </w:pPr>
            <w:r w:rsidRPr="00631503">
              <w:rPr>
                <w:rFonts w:asciiTheme="minorHAnsi" w:hAnsiTheme="minorHAnsi"/>
                <w:b/>
                <w:sz w:val="18"/>
                <w:szCs w:val="18"/>
              </w:rPr>
              <w:t>ANALIZA SWOT</w:t>
            </w:r>
          </w:p>
        </w:tc>
        <w:tc>
          <w:tcPr>
            <w:tcW w:w="7161" w:type="dxa"/>
            <w:tcBorders>
              <w:bottom w:val="single" w:sz="2" w:space="0" w:color="F6BB00"/>
            </w:tcBorders>
            <w:shd w:val="clear" w:color="auto" w:fill="F6BB00"/>
            <w:vAlign w:val="center"/>
          </w:tcPr>
          <w:p w14:paraId="2254B7F0" w14:textId="77777777" w:rsidR="00562AF8" w:rsidRPr="00631503" w:rsidRDefault="00562AF8" w:rsidP="00631503">
            <w:pPr>
              <w:spacing w:after="0" w:line="240" w:lineRule="auto"/>
              <w:jc w:val="center"/>
              <w:rPr>
                <w:rFonts w:asciiTheme="minorHAnsi" w:hAnsiTheme="minorHAnsi"/>
                <w:b/>
                <w:sz w:val="18"/>
                <w:szCs w:val="18"/>
              </w:rPr>
            </w:pPr>
            <w:r w:rsidRPr="00631503">
              <w:rPr>
                <w:rFonts w:asciiTheme="minorHAnsi" w:hAnsiTheme="minorHAnsi"/>
                <w:b/>
                <w:sz w:val="18"/>
                <w:szCs w:val="18"/>
              </w:rPr>
              <w:t>SO – WYNIKI I WNIOSKI (kluczowe silne strony**)</w:t>
            </w:r>
          </w:p>
        </w:tc>
      </w:tr>
      <w:tr w:rsidR="00562AF8" w:rsidRPr="0048580B" w14:paraId="7086594E" w14:textId="77777777" w:rsidTr="3A105AF1">
        <w:tc>
          <w:tcPr>
            <w:tcW w:w="1911" w:type="dxa"/>
            <w:gridSpan w:val="2"/>
            <w:tcBorders>
              <w:top w:val="single" w:sz="2" w:space="0" w:color="F6BB00"/>
              <w:bottom w:val="single" w:sz="2" w:space="0" w:color="F6BB00"/>
            </w:tcBorders>
            <w:vAlign w:val="center"/>
          </w:tcPr>
          <w:p w14:paraId="40551DE9" w14:textId="77777777" w:rsidR="00562AF8" w:rsidRPr="0048580B" w:rsidRDefault="00562AF8" w:rsidP="006828EB">
            <w:pPr>
              <w:rPr>
                <w:rFonts w:asciiTheme="minorHAnsi" w:hAnsiTheme="minorHAnsi"/>
                <w:b/>
                <w:sz w:val="16"/>
                <w:szCs w:val="16"/>
              </w:rPr>
            </w:pPr>
            <w:r w:rsidRPr="0048580B">
              <w:rPr>
                <w:rFonts w:asciiTheme="minorHAnsi" w:hAnsiTheme="minorHAnsi"/>
                <w:b/>
                <w:sz w:val="16"/>
                <w:szCs w:val="16"/>
              </w:rPr>
              <w:t>Czy silne strony pozwolą wykorzystać szanse?*</w:t>
            </w:r>
          </w:p>
        </w:tc>
        <w:tc>
          <w:tcPr>
            <w:tcW w:w="7161" w:type="dxa"/>
            <w:tcBorders>
              <w:top w:val="single" w:sz="2" w:space="0" w:color="F6BB00"/>
              <w:bottom w:val="single" w:sz="2" w:space="0" w:color="F6BB00"/>
            </w:tcBorders>
            <w:vAlign w:val="center"/>
          </w:tcPr>
          <w:p w14:paraId="1C693F8D" w14:textId="77777777" w:rsidR="00562AF8" w:rsidRPr="0048580B" w:rsidRDefault="00562AF8" w:rsidP="0048580B">
            <w:pPr>
              <w:ind w:left="330" w:hanging="360"/>
              <w:jc w:val="left"/>
              <w:rPr>
                <w:rFonts w:asciiTheme="minorHAnsi" w:hAnsiTheme="minorHAnsi"/>
                <w:sz w:val="16"/>
                <w:szCs w:val="16"/>
              </w:rPr>
            </w:pPr>
            <w:r w:rsidRPr="0048580B">
              <w:rPr>
                <w:rFonts w:asciiTheme="minorHAnsi" w:hAnsiTheme="minorHAnsi"/>
                <w:noProof/>
                <w:sz w:val="16"/>
                <w:szCs w:val="16"/>
                <w:lang w:eastAsia="pl-PL"/>
              </w:rPr>
              <w:drawing>
                <wp:anchor distT="0" distB="0" distL="114300" distR="114300" simplePos="0" relativeHeight="251658240" behindDoc="0" locked="0" layoutInCell="1" allowOverlap="1" wp14:anchorId="7CFA22F1" wp14:editId="231B5F8E">
                  <wp:simplePos x="0" y="0"/>
                  <wp:positionH relativeFrom="column">
                    <wp:posOffset>-17780</wp:posOffset>
                  </wp:positionH>
                  <wp:positionV relativeFrom="paragraph">
                    <wp:posOffset>0</wp:posOffset>
                  </wp:positionV>
                  <wp:extent cx="1087200" cy="1429200"/>
                  <wp:effectExtent l="0" t="0" r="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7200" cy="142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580B">
              <w:rPr>
                <w:rFonts w:asciiTheme="minorHAnsi" w:hAnsiTheme="minorHAnsi"/>
                <w:b/>
                <w:sz w:val="16"/>
                <w:szCs w:val="16"/>
              </w:rPr>
              <w:t>S3</w:t>
            </w:r>
            <w:r w:rsidRPr="0048580B">
              <w:rPr>
                <w:rFonts w:asciiTheme="minorHAnsi" w:hAnsiTheme="minorHAnsi"/>
                <w:sz w:val="16"/>
                <w:szCs w:val="16"/>
              </w:rPr>
              <w:t xml:space="preserve"> – silna i wielofunkcyjna </w:t>
            </w:r>
            <w:r w:rsidRPr="416AC848">
              <w:rPr>
                <w:rFonts w:asciiTheme="minorHAnsi" w:hAnsiTheme="minorHAnsi"/>
                <w:sz w:val="16"/>
                <w:szCs w:val="16"/>
              </w:rPr>
              <w:t>metropolia</w:t>
            </w:r>
            <w:r w:rsidRPr="0048580B">
              <w:rPr>
                <w:rFonts w:asciiTheme="minorHAnsi" w:hAnsiTheme="minorHAnsi"/>
                <w:sz w:val="16"/>
                <w:szCs w:val="16"/>
              </w:rPr>
              <w:t xml:space="preserve"> poznańska stanowiąca motor rozwoju dla całego regionu</w:t>
            </w:r>
          </w:p>
          <w:p w14:paraId="0CB7B7C7" w14:textId="77777777" w:rsidR="00562AF8" w:rsidRPr="0048580B" w:rsidRDefault="00562AF8" w:rsidP="0048580B">
            <w:pPr>
              <w:ind w:left="330" w:hanging="360"/>
              <w:jc w:val="left"/>
              <w:rPr>
                <w:rFonts w:asciiTheme="minorHAnsi" w:hAnsiTheme="minorHAnsi"/>
                <w:sz w:val="16"/>
                <w:szCs w:val="16"/>
              </w:rPr>
            </w:pPr>
            <w:r w:rsidRPr="0048580B">
              <w:rPr>
                <w:rFonts w:asciiTheme="minorHAnsi" w:hAnsiTheme="minorHAnsi"/>
                <w:b/>
                <w:sz w:val="16"/>
                <w:szCs w:val="16"/>
              </w:rPr>
              <w:t>S2</w:t>
            </w:r>
            <w:r w:rsidRPr="0048580B">
              <w:rPr>
                <w:rFonts w:asciiTheme="minorHAnsi" w:hAnsiTheme="minorHAnsi"/>
                <w:sz w:val="16"/>
                <w:szCs w:val="16"/>
              </w:rPr>
              <w:t xml:space="preserve"> – silna i rosnąca gospodarka zmniejszająca dystans do regionów europejskich </w:t>
            </w:r>
          </w:p>
          <w:p w14:paraId="7F11FF91" w14:textId="77777777" w:rsidR="00562AF8" w:rsidRPr="0048580B" w:rsidRDefault="00562AF8" w:rsidP="0048580B">
            <w:pPr>
              <w:ind w:left="330" w:hanging="360"/>
              <w:jc w:val="left"/>
              <w:rPr>
                <w:rFonts w:asciiTheme="minorHAnsi" w:hAnsiTheme="minorHAnsi"/>
                <w:sz w:val="16"/>
                <w:szCs w:val="16"/>
              </w:rPr>
            </w:pPr>
            <w:r w:rsidRPr="0048580B">
              <w:rPr>
                <w:rFonts w:asciiTheme="minorHAnsi" w:hAnsiTheme="minorHAnsi"/>
                <w:b/>
                <w:sz w:val="16"/>
                <w:szCs w:val="16"/>
              </w:rPr>
              <w:t>S6</w:t>
            </w:r>
            <w:r w:rsidRPr="0048580B">
              <w:rPr>
                <w:rFonts w:asciiTheme="minorHAnsi" w:hAnsiTheme="minorHAnsi"/>
                <w:sz w:val="16"/>
                <w:szCs w:val="16"/>
              </w:rPr>
              <w:t xml:space="preserve"> – silny potencjał naukowo-badawczy, w szczególności dobrze rozwinięte szkolnictwo wyższe</w:t>
            </w:r>
          </w:p>
        </w:tc>
      </w:tr>
      <w:tr w:rsidR="00562AF8" w:rsidRPr="0048580B" w14:paraId="01F8705B" w14:textId="77777777" w:rsidTr="3A105AF1">
        <w:tc>
          <w:tcPr>
            <w:tcW w:w="1911" w:type="dxa"/>
            <w:gridSpan w:val="2"/>
            <w:tcBorders>
              <w:bottom w:val="single" w:sz="2" w:space="0" w:color="F6BB00"/>
            </w:tcBorders>
            <w:shd w:val="clear" w:color="auto" w:fill="F6BB00"/>
          </w:tcPr>
          <w:p w14:paraId="6D1CFA72" w14:textId="77777777" w:rsidR="00562AF8" w:rsidRPr="0048580B" w:rsidRDefault="00562AF8" w:rsidP="0048580B">
            <w:pPr>
              <w:spacing w:after="0" w:line="240" w:lineRule="auto"/>
              <w:jc w:val="center"/>
              <w:rPr>
                <w:rFonts w:asciiTheme="minorHAnsi" w:hAnsiTheme="minorHAnsi"/>
                <w:b/>
                <w:sz w:val="16"/>
                <w:szCs w:val="16"/>
              </w:rPr>
            </w:pPr>
            <w:r w:rsidRPr="0048580B">
              <w:rPr>
                <w:rFonts w:asciiTheme="minorHAnsi" w:hAnsiTheme="minorHAnsi"/>
                <w:b/>
                <w:sz w:val="16"/>
                <w:szCs w:val="16"/>
              </w:rPr>
              <w:t xml:space="preserve">ANALIZA TOWS </w:t>
            </w:r>
          </w:p>
        </w:tc>
        <w:tc>
          <w:tcPr>
            <w:tcW w:w="7161" w:type="dxa"/>
            <w:tcBorders>
              <w:bottom w:val="single" w:sz="2" w:space="0" w:color="F6BB00"/>
            </w:tcBorders>
            <w:shd w:val="clear" w:color="auto" w:fill="F6BB00"/>
          </w:tcPr>
          <w:p w14:paraId="0BC0E406" w14:textId="77777777" w:rsidR="00562AF8" w:rsidRPr="0048580B" w:rsidRDefault="00562AF8" w:rsidP="0048580B">
            <w:pPr>
              <w:spacing w:after="0" w:line="240" w:lineRule="auto"/>
              <w:jc w:val="center"/>
              <w:rPr>
                <w:rFonts w:asciiTheme="minorHAnsi" w:hAnsiTheme="minorHAnsi"/>
                <w:b/>
                <w:sz w:val="16"/>
                <w:szCs w:val="16"/>
              </w:rPr>
            </w:pPr>
            <w:r w:rsidRPr="0048580B">
              <w:rPr>
                <w:rFonts w:asciiTheme="minorHAnsi" w:hAnsiTheme="minorHAnsi"/>
                <w:b/>
                <w:sz w:val="16"/>
                <w:szCs w:val="16"/>
              </w:rPr>
              <w:t>OS – WYNIKI I WNIOSKI (kluczowe szanse)</w:t>
            </w:r>
          </w:p>
        </w:tc>
      </w:tr>
      <w:tr w:rsidR="00562AF8" w:rsidRPr="0048580B" w14:paraId="3DE33E9A" w14:textId="77777777" w:rsidTr="3A105AF1">
        <w:trPr>
          <w:trHeight w:val="2009"/>
        </w:trPr>
        <w:tc>
          <w:tcPr>
            <w:tcW w:w="1911" w:type="dxa"/>
            <w:gridSpan w:val="2"/>
            <w:tcBorders>
              <w:top w:val="single" w:sz="2" w:space="0" w:color="F6BB00"/>
              <w:bottom w:val="single" w:sz="2" w:space="0" w:color="F6BB00"/>
            </w:tcBorders>
            <w:vAlign w:val="center"/>
          </w:tcPr>
          <w:p w14:paraId="32FB130C" w14:textId="77777777" w:rsidR="00562AF8" w:rsidRPr="0048580B" w:rsidRDefault="00562AF8" w:rsidP="006828EB">
            <w:pPr>
              <w:rPr>
                <w:rFonts w:asciiTheme="minorHAnsi" w:hAnsiTheme="minorHAnsi"/>
                <w:b/>
                <w:sz w:val="16"/>
                <w:szCs w:val="16"/>
              </w:rPr>
            </w:pPr>
            <w:r w:rsidRPr="0048580B">
              <w:rPr>
                <w:rFonts w:asciiTheme="minorHAnsi" w:hAnsiTheme="minorHAnsi"/>
                <w:b/>
                <w:sz w:val="16"/>
                <w:szCs w:val="16"/>
              </w:rPr>
              <w:t>Czy szanse spotęgują silne strony?</w:t>
            </w:r>
          </w:p>
        </w:tc>
        <w:tc>
          <w:tcPr>
            <w:tcW w:w="7161" w:type="dxa"/>
            <w:tcBorders>
              <w:top w:val="single" w:sz="2" w:space="0" w:color="F6BB00"/>
              <w:bottom w:val="single" w:sz="2" w:space="0" w:color="F6BB00"/>
            </w:tcBorders>
            <w:vAlign w:val="center"/>
          </w:tcPr>
          <w:p w14:paraId="651691D8" w14:textId="77777777" w:rsidR="00562AF8" w:rsidRPr="0048580B" w:rsidRDefault="00562AF8" w:rsidP="006828EB">
            <w:pPr>
              <w:pStyle w:val="Akapitzlist"/>
              <w:numPr>
                <w:ilvl w:val="0"/>
                <w:numId w:val="0"/>
              </w:numPr>
              <w:spacing w:after="0" w:line="240" w:lineRule="auto"/>
              <w:ind w:left="3081"/>
              <w:jc w:val="left"/>
              <w:rPr>
                <w:rFonts w:asciiTheme="minorHAnsi" w:hAnsiTheme="minorHAnsi"/>
                <w:sz w:val="16"/>
                <w:szCs w:val="16"/>
              </w:rPr>
            </w:pPr>
            <w:r w:rsidRPr="0048580B">
              <w:rPr>
                <w:rFonts w:asciiTheme="minorHAnsi" w:hAnsiTheme="minorHAnsi"/>
                <w:noProof/>
                <w:sz w:val="16"/>
                <w:szCs w:val="16"/>
                <w:lang w:eastAsia="pl-PL"/>
              </w:rPr>
              <w:drawing>
                <wp:anchor distT="0" distB="0" distL="114300" distR="114300" simplePos="0" relativeHeight="251658241" behindDoc="0" locked="0" layoutInCell="1" allowOverlap="1" wp14:anchorId="6C2D828E" wp14:editId="28F675BA">
                  <wp:simplePos x="0" y="0"/>
                  <wp:positionH relativeFrom="column">
                    <wp:posOffset>-17780</wp:posOffset>
                  </wp:positionH>
                  <wp:positionV relativeFrom="paragraph">
                    <wp:posOffset>168910</wp:posOffset>
                  </wp:positionV>
                  <wp:extent cx="1782000" cy="831600"/>
                  <wp:effectExtent l="0" t="0" r="8890" b="6985"/>
                  <wp:wrapSquare wrapText="bothSides"/>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2000" cy="83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580B">
              <w:rPr>
                <w:rFonts w:asciiTheme="minorHAnsi" w:hAnsiTheme="minorHAnsi"/>
                <w:b/>
                <w:sz w:val="16"/>
                <w:szCs w:val="16"/>
              </w:rPr>
              <w:t>O2</w:t>
            </w:r>
            <w:r w:rsidRPr="0048580B">
              <w:rPr>
                <w:rFonts w:asciiTheme="minorHAnsi" w:hAnsiTheme="minorHAnsi"/>
                <w:sz w:val="16"/>
                <w:szCs w:val="16"/>
              </w:rPr>
              <w:t xml:space="preserve"> – krajowe i europejskie instrumenty rozwoju, których pozyskanie będzie wymagało konkurowania na arenie krajowej i międzynarodowej</w:t>
            </w:r>
          </w:p>
          <w:p w14:paraId="2DE5FE2F" w14:textId="77777777" w:rsidR="00562AF8" w:rsidRPr="0048580B" w:rsidRDefault="00562AF8" w:rsidP="006828EB">
            <w:pPr>
              <w:pStyle w:val="Akapitzlist"/>
              <w:numPr>
                <w:ilvl w:val="0"/>
                <w:numId w:val="0"/>
              </w:numPr>
              <w:spacing w:after="0" w:line="240" w:lineRule="auto"/>
              <w:ind w:left="3081"/>
              <w:jc w:val="left"/>
              <w:rPr>
                <w:rFonts w:asciiTheme="minorHAnsi" w:hAnsiTheme="minorHAnsi"/>
                <w:sz w:val="16"/>
                <w:szCs w:val="16"/>
              </w:rPr>
            </w:pPr>
            <w:r w:rsidRPr="0048580B">
              <w:rPr>
                <w:rFonts w:asciiTheme="minorHAnsi" w:hAnsiTheme="minorHAnsi"/>
                <w:b/>
                <w:sz w:val="16"/>
                <w:szCs w:val="16"/>
              </w:rPr>
              <w:t>O6</w:t>
            </w:r>
            <w:r w:rsidRPr="0048580B">
              <w:rPr>
                <w:rFonts w:asciiTheme="minorHAnsi" w:hAnsiTheme="minorHAnsi"/>
                <w:sz w:val="16"/>
                <w:szCs w:val="16"/>
              </w:rPr>
              <w:t xml:space="preserve"> – postępujący proces globalizacji wspierający rozwój technologii i społeczeństwa sieciowego</w:t>
            </w:r>
          </w:p>
          <w:p w14:paraId="6B552E6F" w14:textId="77777777" w:rsidR="00562AF8" w:rsidRPr="0048580B" w:rsidRDefault="00562AF8" w:rsidP="006828EB">
            <w:pPr>
              <w:pStyle w:val="Akapitzlist"/>
              <w:numPr>
                <w:ilvl w:val="0"/>
                <w:numId w:val="0"/>
              </w:numPr>
              <w:spacing w:after="0" w:line="240" w:lineRule="auto"/>
              <w:ind w:left="3081"/>
              <w:jc w:val="left"/>
              <w:rPr>
                <w:rFonts w:asciiTheme="minorHAnsi" w:hAnsiTheme="minorHAnsi"/>
                <w:sz w:val="16"/>
                <w:szCs w:val="16"/>
              </w:rPr>
            </w:pPr>
            <w:r w:rsidRPr="0048580B">
              <w:rPr>
                <w:rFonts w:asciiTheme="minorHAnsi" w:hAnsiTheme="minorHAnsi"/>
                <w:b/>
                <w:sz w:val="16"/>
                <w:szCs w:val="16"/>
              </w:rPr>
              <w:t>O1</w:t>
            </w:r>
            <w:r w:rsidRPr="0048580B">
              <w:rPr>
                <w:rFonts w:asciiTheme="minorHAnsi" w:hAnsiTheme="minorHAnsi"/>
                <w:sz w:val="16"/>
                <w:szCs w:val="16"/>
              </w:rPr>
              <w:t xml:space="preserve"> – zintegrowane podejście terytorialne, pozwalające na elastyczność w doborze instrumentów rozwojowych oraz dopasowanie do potrzeb danego terytorium</w:t>
            </w:r>
          </w:p>
        </w:tc>
      </w:tr>
      <w:tr w:rsidR="00562AF8" w:rsidRPr="0048580B" w14:paraId="6D2E71F8" w14:textId="77777777" w:rsidTr="3A105AF1">
        <w:tc>
          <w:tcPr>
            <w:tcW w:w="1911" w:type="dxa"/>
            <w:gridSpan w:val="2"/>
            <w:shd w:val="clear" w:color="auto" w:fill="F6BB00"/>
          </w:tcPr>
          <w:p w14:paraId="51E57189" w14:textId="77777777" w:rsidR="00562AF8" w:rsidRPr="0048580B" w:rsidRDefault="00562AF8" w:rsidP="0048580B">
            <w:pPr>
              <w:spacing w:after="0" w:line="240" w:lineRule="auto"/>
              <w:jc w:val="center"/>
              <w:rPr>
                <w:rFonts w:asciiTheme="minorHAnsi" w:hAnsiTheme="minorHAnsi"/>
                <w:b/>
                <w:sz w:val="16"/>
                <w:szCs w:val="16"/>
              </w:rPr>
            </w:pPr>
            <w:r w:rsidRPr="0048580B">
              <w:rPr>
                <w:rFonts w:asciiTheme="minorHAnsi" w:hAnsiTheme="minorHAnsi"/>
                <w:b/>
                <w:sz w:val="16"/>
                <w:szCs w:val="16"/>
              </w:rPr>
              <w:t>ANALIZA SWOT</w:t>
            </w:r>
          </w:p>
        </w:tc>
        <w:tc>
          <w:tcPr>
            <w:tcW w:w="7161" w:type="dxa"/>
            <w:tcBorders>
              <w:bottom w:val="single" w:sz="2" w:space="0" w:color="F6BB00"/>
            </w:tcBorders>
            <w:shd w:val="clear" w:color="auto" w:fill="F6BB00"/>
          </w:tcPr>
          <w:p w14:paraId="6A417B92" w14:textId="77777777" w:rsidR="00562AF8" w:rsidRPr="0048580B" w:rsidRDefault="00562AF8" w:rsidP="0048580B">
            <w:pPr>
              <w:spacing w:after="0" w:line="240" w:lineRule="auto"/>
              <w:jc w:val="center"/>
              <w:rPr>
                <w:rFonts w:asciiTheme="minorHAnsi" w:hAnsiTheme="minorHAnsi"/>
                <w:b/>
                <w:sz w:val="16"/>
                <w:szCs w:val="16"/>
              </w:rPr>
            </w:pPr>
            <w:r w:rsidRPr="0048580B">
              <w:rPr>
                <w:rFonts w:asciiTheme="minorHAnsi" w:hAnsiTheme="minorHAnsi"/>
                <w:b/>
                <w:sz w:val="16"/>
                <w:szCs w:val="16"/>
              </w:rPr>
              <w:t>WO – WYNIKI I WNIOSKI (kluczowe słabe strony)</w:t>
            </w:r>
          </w:p>
        </w:tc>
      </w:tr>
      <w:tr w:rsidR="00562AF8" w:rsidRPr="0048580B" w14:paraId="6F77AAA2" w14:textId="77777777" w:rsidTr="3A105AF1">
        <w:tc>
          <w:tcPr>
            <w:tcW w:w="1911" w:type="dxa"/>
            <w:gridSpan w:val="2"/>
            <w:tcBorders>
              <w:top w:val="single" w:sz="2" w:space="0" w:color="F6BB00"/>
              <w:bottom w:val="single" w:sz="2" w:space="0" w:color="F6BB00"/>
            </w:tcBorders>
            <w:vAlign w:val="center"/>
          </w:tcPr>
          <w:p w14:paraId="29D72072" w14:textId="77777777" w:rsidR="00562AF8" w:rsidRPr="0048580B" w:rsidRDefault="00562AF8" w:rsidP="006828EB">
            <w:pPr>
              <w:rPr>
                <w:rFonts w:asciiTheme="minorHAnsi" w:hAnsiTheme="minorHAnsi"/>
                <w:b/>
                <w:sz w:val="16"/>
                <w:szCs w:val="16"/>
              </w:rPr>
            </w:pPr>
            <w:r w:rsidRPr="0048580B">
              <w:rPr>
                <w:rFonts w:asciiTheme="minorHAnsi" w:hAnsiTheme="minorHAnsi"/>
                <w:b/>
                <w:sz w:val="16"/>
                <w:szCs w:val="16"/>
              </w:rPr>
              <w:t>Czy słabe strony zablokują wykorzystanie szans?</w:t>
            </w:r>
          </w:p>
        </w:tc>
        <w:tc>
          <w:tcPr>
            <w:tcW w:w="7161" w:type="dxa"/>
            <w:tcBorders>
              <w:top w:val="single" w:sz="2" w:space="0" w:color="F6BB00"/>
              <w:bottom w:val="single" w:sz="2" w:space="0" w:color="F6BB00"/>
            </w:tcBorders>
            <w:vAlign w:val="center"/>
          </w:tcPr>
          <w:p w14:paraId="3D0477E0" w14:textId="13C4F1B5" w:rsidR="00562AF8" w:rsidRPr="0048580B" w:rsidRDefault="00562AF8" w:rsidP="0048580B">
            <w:pPr>
              <w:rPr>
                <w:rFonts w:asciiTheme="minorHAnsi" w:hAnsiTheme="minorHAnsi"/>
                <w:sz w:val="16"/>
                <w:szCs w:val="16"/>
              </w:rPr>
            </w:pPr>
            <w:r w:rsidRPr="0048580B">
              <w:rPr>
                <w:rFonts w:asciiTheme="minorHAnsi" w:hAnsiTheme="minorHAnsi"/>
                <w:noProof/>
                <w:sz w:val="16"/>
                <w:szCs w:val="16"/>
                <w:lang w:eastAsia="pl-PL"/>
              </w:rPr>
              <w:drawing>
                <wp:anchor distT="0" distB="0" distL="114300" distR="114300" simplePos="0" relativeHeight="251658242" behindDoc="0" locked="0" layoutInCell="1" allowOverlap="1" wp14:anchorId="120F2907" wp14:editId="6AA5BDD1">
                  <wp:simplePos x="0" y="0"/>
                  <wp:positionH relativeFrom="column">
                    <wp:posOffset>-980440</wp:posOffset>
                  </wp:positionH>
                  <wp:positionV relativeFrom="paragraph">
                    <wp:posOffset>20320</wp:posOffset>
                  </wp:positionV>
                  <wp:extent cx="1026000" cy="961200"/>
                  <wp:effectExtent l="0" t="0" r="3175" b="0"/>
                  <wp:wrapSquare wrapText="bothSides"/>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6000" cy="96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580B">
              <w:rPr>
                <w:rFonts w:asciiTheme="minorHAnsi" w:hAnsiTheme="minorHAnsi"/>
                <w:b/>
                <w:sz w:val="16"/>
                <w:szCs w:val="16"/>
              </w:rPr>
              <w:t>W1</w:t>
            </w:r>
            <w:r w:rsidRPr="0048580B">
              <w:rPr>
                <w:rFonts w:asciiTheme="minorHAnsi" w:hAnsiTheme="minorHAnsi"/>
                <w:sz w:val="16"/>
                <w:szCs w:val="16"/>
              </w:rPr>
              <w:t xml:space="preserve"> – </w:t>
            </w:r>
            <w:r w:rsidR="003A0616">
              <w:rPr>
                <w:rFonts w:asciiTheme="minorHAnsi" w:hAnsiTheme="minorHAnsi"/>
                <w:sz w:val="16"/>
                <w:szCs w:val="16"/>
              </w:rPr>
              <w:t xml:space="preserve">silne </w:t>
            </w:r>
            <w:r w:rsidRPr="0048580B">
              <w:rPr>
                <w:rFonts w:asciiTheme="minorHAnsi" w:hAnsiTheme="minorHAnsi"/>
                <w:sz w:val="16"/>
                <w:szCs w:val="16"/>
              </w:rPr>
              <w:t>wewnętrzne zróżnicowanie województwa (pod względem rozwoju gospodarczego, rynku pracy, dostępu do usług, dostępności komunikacyjnej, infrastruktury)</w:t>
            </w:r>
          </w:p>
        </w:tc>
      </w:tr>
      <w:tr w:rsidR="00562AF8" w:rsidRPr="0048580B" w14:paraId="534CCE82" w14:textId="77777777" w:rsidTr="3A105AF1">
        <w:tc>
          <w:tcPr>
            <w:tcW w:w="1911" w:type="dxa"/>
            <w:gridSpan w:val="2"/>
            <w:tcBorders>
              <w:bottom w:val="single" w:sz="2" w:space="0" w:color="F6BB00"/>
            </w:tcBorders>
            <w:shd w:val="clear" w:color="auto" w:fill="F6BB00"/>
          </w:tcPr>
          <w:p w14:paraId="5CD9F605" w14:textId="77777777" w:rsidR="00562AF8" w:rsidRPr="0048580B" w:rsidRDefault="00562AF8" w:rsidP="0048580B">
            <w:pPr>
              <w:spacing w:after="0" w:line="240" w:lineRule="auto"/>
              <w:jc w:val="center"/>
              <w:rPr>
                <w:rFonts w:asciiTheme="minorHAnsi" w:hAnsiTheme="minorHAnsi"/>
                <w:b/>
                <w:sz w:val="16"/>
                <w:szCs w:val="16"/>
              </w:rPr>
            </w:pPr>
            <w:r w:rsidRPr="0048580B">
              <w:rPr>
                <w:rFonts w:asciiTheme="minorHAnsi" w:hAnsiTheme="minorHAnsi"/>
                <w:b/>
                <w:sz w:val="16"/>
                <w:szCs w:val="16"/>
              </w:rPr>
              <w:t xml:space="preserve">ANALIZA TOWS </w:t>
            </w:r>
          </w:p>
        </w:tc>
        <w:tc>
          <w:tcPr>
            <w:tcW w:w="7161" w:type="dxa"/>
            <w:tcBorders>
              <w:bottom w:val="single" w:sz="2" w:space="0" w:color="F6BB00"/>
            </w:tcBorders>
            <w:shd w:val="clear" w:color="auto" w:fill="F6BB00"/>
          </w:tcPr>
          <w:p w14:paraId="30C010AF" w14:textId="77777777" w:rsidR="00562AF8" w:rsidRPr="0048580B" w:rsidRDefault="00562AF8" w:rsidP="0048580B">
            <w:pPr>
              <w:spacing w:after="0" w:line="240" w:lineRule="auto"/>
              <w:jc w:val="center"/>
              <w:rPr>
                <w:rFonts w:asciiTheme="minorHAnsi" w:hAnsiTheme="minorHAnsi"/>
                <w:b/>
                <w:sz w:val="16"/>
                <w:szCs w:val="16"/>
              </w:rPr>
            </w:pPr>
            <w:r w:rsidRPr="0048580B">
              <w:rPr>
                <w:rFonts w:asciiTheme="minorHAnsi" w:hAnsiTheme="minorHAnsi"/>
                <w:b/>
                <w:sz w:val="16"/>
                <w:szCs w:val="16"/>
              </w:rPr>
              <w:t>OW – WYNIKI I WNIOSKI (kluczowe szanse)</w:t>
            </w:r>
          </w:p>
        </w:tc>
      </w:tr>
      <w:tr w:rsidR="00562AF8" w:rsidRPr="0048580B" w14:paraId="07256B3F" w14:textId="77777777" w:rsidTr="3A105AF1">
        <w:trPr>
          <w:trHeight w:val="2009"/>
        </w:trPr>
        <w:tc>
          <w:tcPr>
            <w:tcW w:w="1911" w:type="dxa"/>
            <w:gridSpan w:val="2"/>
            <w:tcBorders>
              <w:top w:val="single" w:sz="2" w:space="0" w:color="F6BB00"/>
              <w:bottom w:val="single" w:sz="2" w:space="0" w:color="F6BB00"/>
            </w:tcBorders>
            <w:vAlign w:val="center"/>
          </w:tcPr>
          <w:p w14:paraId="449B2F43" w14:textId="77777777" w:rsidR="00562AF8" w:rsidRPr="0048580B" w:rsidRDefault="00562AF8" w:rsidP="006828EB">
            <w:pPr>
              <w:rPr>
                <w:rFonts w:asciiTheme="minorHAnsi" w:hAnsiTheme="minorHAnsi"/>
                <w:b/>
                <w:sz w:val="16"/>
                <w:szCs w:val="16"/>
              </w:rPr>
            </w:pPr>
            <w:r w:rsidRPr="0048580B">
              <w:rPr>
                <w:rFonts w:asciiTheme="minorHAnsi" w:hAnsiTheme="minorHAnsi"/>
                <w:b/>
                <w:sz w:val="16"/>
                <w:szCs w:val="16"/>
              </w:rPr>
              <w:t>Czy szanse pozwolą przezwyciężyć słabe strony?</w:t>
            </w:r>
          </w:p>
        </w:tc>
        <w:tc>
          <w:tcPr>
            <w:tcW w:w="7161" w:type="dxa"/>
            <w:tcBorders>
              <w:top w:val="single" w:sz="2" w:space="0" w:color="F6BB00"/>
              <w:bottom w:val="single" w:sz="2" w:space="0" w:color="F6BB00"/>
            </w:tcBorders>
            <w:vAlign w:val="center"/>
          </w:tcPr>
          <w:p w14:paraId="1070F59C" w14:textId="77777777" w:rsidR="00562AF8" w:rsidRPr="0048580B" w:rsidRDefault="00562AF8" w:rsidP="006828EB">
            <w:pPr>
              <w:pStyle w:val="Akapitzlist"/>
              <w:numPr>
                <w:ilvl w:val="0"/>
                <w:numId w:val="0"/>
              </w:numPr>
              <w:spacing w:after="0" w:line="240" w:lineRule="auto"/>
              <w:ind w:left="2231"/>
              <w:jc w:val="left"/>
              <w:rPr>
                <w:rFonts w:asciiTheme="minorHAnsi" w:hAnsiTheme="minorHAnsi"/>
                <w:sz w:val="16"/>
                <w:szCs w:val="16"/>
              </w:rPr>
            </w:pPr>
            <w:r w:rsidRPr="0048580B">
              <w:rPr>
                <w:rFonts w:asciiTheme="minorHAnsi" w:hAnsiTheme="minorHAnsi"/>
                <w:b/>
                <w:noProof/>
                <w:sz w:val="16"/>
                <w:szCs w:val="16"/>
                <w:lang w:eastAsia="pl-PL"/>
              </w:rPr>
              <w:drawing>
                <wp:anchor distT="0" distB="0" distL="114300" distR="114300" simplePos="0" relativeHeight="251658243" behindDoc="1" locked="0" layoutInCell="1" allowOverlap="1" wp14:anchorId="736FF7AE" wp14:editId="297DB89C">
                  <wp:simplePos x="0" y="0"/>
                  <wp:positionH relativeFrom="column">
                    <wp:posOffset>-1405890</wp:posOffset>
                  </wp:positionH>
                  <wp:positionV relativeFrom="paragraph">
                    <wp:posOffset>95250</wp:posOffset>
                  </wp:positionV>
                  <wp:extent cx="1320165" cy="838200"/>
                  <wp:effectExtent l="0" t="0" r="0" b="0"/>
                  <wp:wrapSquare wrapText="bothSides"/>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016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580B">
              <w:rPr>
                <w:rFonts w:asciiTheme="minorHAnsi" w:hAnsiTheme="minorHAnsi"/>
                <w:b/>
                <w:sz w:val="16"/>
                <w:szCs w:val="16"/>
              </w:rPr>
              <w:t>O1</w:t>
            </w:r>
            <w:r w:rsidRPr="0048580B">
              <w:rPr>
                <w:rFonts w:asciiTheme="minorHAnsi" w:hAnsiTheme="minorHAnsi"/>
                <w:sz w:val="16"/>
                <w:szCs w:val="16"/>
              </w:rPr>
              <w:t xml:space="preserve"> – zintegrowane podejście terytorialne, pozwalające na elastyczność w doborze instrumentów rozwojowych oraz dopasowanie do potrzeb danego terytorium</w:t>
            </w:r>
          </w:p>
          <w:p w14:paraId="588B1419" w14:textId="77777777" w:rsidR="00562AF8" w:rsidRPr="0048580B" w:rsidRDefault="00562AF8" w:rsidP="006828EB">
            <w:pPr>
              <w:pStyle w:val="Akapitzlist"/>
              <w:numPr>
                <w:ilvl w:val="0"/>
                <w:numId w:val="0"/>
              </w:numPr>
              <w:spacing w:after="0" w:line="240" w:lineRule="auto"/>
              <w:ind w:left="2231"/>
              <w:jc w:val="left"/>
              <w:rPr>
                <w:rFonts w:asciiTheme="minorHAnsi" w:hAnsiTheme="minorHAnsi"/>
                <w:sz w:val="16"/>
                <w:szCs w:val="16"/>
              </w:rPr>
            </w:pPr>
            <w:r w:rsidRPr="0048580B">
              <w:rPr>
                <w:rFonts w:asciiTheme="minorHAnsi" w:hAnsiTheme="minorHAnsi"/>
                <w:b/>
                <w:sz w:val="16"/>
                <w:szCs w:val="16"/>
              </w:rPr>
              <w:t>O6</w:t>
            </w:r>
            <w:r w:rsidRPr="0048580B">
              <w:rPr>
                <w:rFonts w:asciiTheme="minorHAnsi" w:hAnsiTheme="minorHAnsi"/>
                <w:sz w:val="16"/>
                <w:szCs w:val="16"/>
              </w:rPr>
              <w:t xml:space="preserve"> – postępujący proces globalizacji wspierający rozwój technologii i społeczeństwa sieciowego</w:t>
            </w:r>
          </w:p>
          <w:p w14:paraId="6A8EE649" w14:textId="77777777" w:rsidR="00562AF8" w:rsidRPr="0048580B" w:rsidRDefault="00562AF8" w:rsidP="006828EB">
            <w:pPr>
              <w:pStyle w:val="Akapitzlist"/>
              <w:numPr>
                <w:ilvl w:val="0"/>
                <w:numId w:val="0"/>
              </w:numPr>
              <w:spacing w:after="0" w:line="240" w:lineRule="auto"/>
              <w:ind w:left="2231"/>
              <w:jc w:val="left"/>
              <w:rPr>
                <w:rFonts w:asciiTheme="minorHAnsi" w:hAnsiTheme="minorHAnsi"/>
                <w:sz w:val="16"/>
                <w:szCs w:val="16"/>
              </w:rPr>
            </w:pPr>
            <w:r w:rsidRPr="0048580B">
              <w:rPr>
                <w:rFonts w:asciiTheme="minorHAnsi" w:hAnsiTheme="minorHAnsi"/>
                <w:b/>
                <w:sz w:val="16"/>
                <w:szCs w:val="16"/>
              </w:rPr>
              <w:t>O2</w:t>
            </w:r>
            <w:r w:rsidRPr="0048580B">
              <w:rPr>
                <w:rFonts w:asciiTheme="minorHAnsi" w:hAnsiTheme="minorHAnsi"/>
                <w:sz w:val="16"/>
                <w:szCs w:val="16"/>
              </w:rPr>
              <w:t xml:space="preserve"> - krajowe i europejskie instrumenty rozwoju, których pozyskanie będzie wymagało konkurowania na arenie krajowej i międzynarodowej</w:t>
            </w:r>
          </w:p>
        </w:tc>
      </w:tr>
      <w:tr w:rsidR="00562AF8" w:rsidRPr="0048580B" w14:paraId="09E2C87F" w14:textId="77777777" w:rsidTr="3A105AF1">
        <w:tc>
          <w:tcPr>
            <w:tcW w:w="1911" w:type="dxa"/>
            <w:gridSpan w:val="2"/>
            <w:shd w:val="clear" w:color="auto" w:fill="F6BB00"/>
          </w:tcPr>
          <w:p w14:paraId="418FF281" w14:textId="77777777" w:rsidR="00562AF8" w:rsidRPr="0048580B" w:rsidRDefault="00562AF8" w:rsidP="0048580B">
            <w:pPr>
              <w:spacing w:after="0" w:line="240" w:lineRule="auto"/>
              <w:jc w:val="center"/>
              <w:rPr>
                <w:rFonts w:asciiTheme="minorHAnsi" w:hAnsiTheme="minorHAnsi"/>
                <w:b/>
                <w:sz w:val="16"/>
                <w:szCs w:val="16"/>
              </w:rPr>
            </w:pPr>
            <w:r w:rsidRPr="0048580B">
              <w:rPr>
                <w:rFonts w:asciiTheme="minorHAnsi" w:hAnsiTheme="minorHAnsi"/>
                <w:b/>
                <w:sz w:val="16"/>
                <w:szCs w:val="16"/>
              </w:rPr>
              <w:t>ANALIZA SWOT</w:t>
            </w:r>
          </w:p>
        </w:tc>
        <w:tc>
          <w:tcPr>
            <w:tcW w:w="7161" w:type="dxa"/>
            <w:tcBorders>
              <w:bottom w:val="single" w:sz="2" w:space="0" w:color="F6BB00"/>
            </w:tcBorders>
            <w:shd w:val="clear" w:color="auto" w:fill="F6BB00"/>
          </w:tcPr>
          <w:p w14:paraId="4A57158E" w14:textId="77777777" w:rsidR="00562AF8" w:rsidRPr="0048580B" w:rsidRDefault="00562AF8" w:rsidP="0048580B">
            <w:pPr>
              <w:spacing w:after="0" w:line="240" w:lineRule="auto"/>
              <w:jc w:val="center"/>
              <w:rPr>
                <w:rFonts w:asciiTheme="minorHAnsi" w:hAnsiTheme="minorHAnsi"/>
                <w:b/>
                <w:sz w:val="16"/>
                <w:szCs w:val="16"/>
              </w:rPr>
            </w:pPr>
            <w:r w:rsidRPr="0048580B">
              <w:rPr>
                <w:rFonts w:asciiTheme="minorHAnsi" w:hAnsiTheme="minorHAnsi"/>
                <w:b/>
                <w:sz w:val="16"/>
                <w:szCs w:val="16"/>
              </w:rPr>
              <w:t>ST – WYNIKI I WNIOSKI (kluczowe silne strony)</w:t>
            </w:r>
          </w:p>
        </w:tc>
      </w:tr>
      <w:tr w:rsidR="00562AF8" w:rsidRPr="0048580B" w14:paraId="43B30993" w14:textId="77777777" w:rsidTr="3A105AF1">
        <w:tc>
          <w:tcPr>
            <w:tcW w:w="1911" w:type="dxa"/>
            <w:gridSpan w:val="2"/>
            <w:tcBorders>
              <w:top w:val="single" w:sz="2" w:space="0" w:color="F6BB00"/>
              <w:bottom w:val="single" w:sz="2" w:space="0" w:color="F6BB00"/>
            </w:tcBorders>
            <w:vAlign w:val="center"/>
          </w:tcPr>
          <w:p w14:paraId="5C3276CB" w14:textId="77777777" w:rsidR="00562AF8" w:rsidRPr="0048580B" w:rsidRDefault="00562AF8" w:rsidP="006828EB">
            <w:pPr>
              <w:rPr>
                <w:rFonts w:asciiTheme="minorHAnsi" w:hAnsiTheme="minorHAnsi"/>
                <w:b/>
                <w:sz w:val="16"/>
                <w:szCs w:val="16"/>
              </w:rPr>
            </w:pPr>
            <w:r w:rsidRPr="0048580B">
              <w:rPr>
                <w:rFonts w:asciiTheme="minorHAnsi" w:hAnsiTheme="minorHAnsi"/>
                <w:b/>
                <w:sz w:val="16"/>
                <w:szCs w:val="16"/>
              </w:rPr>
              <w:t>Czy silne strony p</w:t>
            </w:r>
            <w:r w:rsidR="0048580B">
              <w:rPr>
                <w:rFonts w:asciiTheme="minorHAnsi" w:hAnsiTheme="minorHAnsi"/>
                <w:b/>
                <w:sz w:val="16"/>
                <w:szCs w:val="16"/>
              </w:rPr>
              <w:t>ozwolą przezwyciężyć zagrożenia?</w:t>
            </w:r>
          </w:p>
        </w:tc>
        <w:tc>
          <w:tcPr>
            <w:tcW w:w="7161" w:type="dxa"/>
            <w:tcBorders>
              <w:top w:val="single" w:sz="2" w:space="0" w:color="F6BB00"/>
              <w:bottom w:val="single" w:sz="2" w:space="0" w:color="F6BB00"/>
            </w:tcBorders>
            <w:vAlign w:val="center"/>
          </w:tcPr>
          <w:p w14:paraId="17042E9A" w14:textId="77777777" w:rsidR="00562AF8" w:rsidRPr="0048580B" w:rsidRDefault="00562AF8" w:rsidP="0048580B">
            <w:pPr>
              <w:rPr>
                <w:rFonts w:asciiTheme="minorHAnsi" w:hAnsiTheme="minorHAnsi"/>
                <w:sz w:val="16"/>
                <w:szCs w:val="16"/>
              </w:rPr>
            </w:pPr>
            <w:r w:rsidRPr="0048580B">
              <w:rPr>
                <w:rFonts w:asciiTheme="minorHAnsi" w:hAnsiTheme="minorHAnsi"/>
                <w:noProof/>
                <w:sz w:val="16"/>
                <w:szCs w:val="16"/>
                <w:lang w:eastAsia="pl-PL"/>
              </w:rPr>
              <w:drawing>
                <wp:anchor distT="0" distB="0" distL="114300" distR="114300" simplePos="0" relativeHeight="251658244" behindDoc="0" locked="0" layoutInCell="1" allowOverlap="1" wp14:anchorId="57200FD0" wp14:editId="040B81EC">
                  <wp:simplePos x="0" y="0"/>
                  <wp:positionH relativeFrom="column">
                    <wp:posOffset>-17780</wp:posOffset>
                  </wp:positionH>
                  <wp:positionV relativeFrom="paragraph">
                    <wp:posOffset>1270</wp:posOffset>
                  </wp:positionV>
                  <wp:extent cx="1270800" cy="1432800"/>
                  <wp:effectExtent l="0" t="0" r="5715" b="0"/>
                  <wp:wrapSquare wrapText="bothSides"/>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70800" cy="1432800"/>
                          </a:xfrm>
                          <a:prstGeom prst="rect">
                            <a:avLst/>
                          </a:prstGeom>
                          <a:noFill/>
                          <a:ln>
                            <a:noFill/>
                          </a:ln>
                        </pic:spPr>
                      </pic:pic>
                    </a:graphicData>
                  </a:graphic>
                </wp:anchor>
              </w:drawing>
            </w:r>
            <w:r w:rsidRPr="0048580B">
              <w:rPr>
                <w:rFonts w:asciiTheme="minorHAnsi" w:hAnsiTheme="minorHAnsi"/>
                <w:b/>
                <w:sz w:val="16"/>
                <w:szCs w:val="16"/>
              </w:rPr>
              <w:t>S3</w:t>
            </w:r>
            <w:r w:rsidRPr="0048580B">
              <w:rPr>
                <w:rFonts w:asciiTheme="minorHAnsi" w:hAnsiTheme="minorHAnsi"/>
                <w:sz w:val="16"/>
                <w:szCs w:val="16"/>
              </w:rPr>
              <w:t xml:space="preserve"> – silna i wielofunkcyjna </w:t>
            </w:r>
            <w:r w:rsidRPr="416AC848">
              <w:rPr>
                <w:rFonts w:asciiTheme="minorHAnsi" w:hAnsiTheme="minorHAnsi"/>
                <w:sz w:val="16"/>
                <w:szCs w:val="16"/>
              </w:rPr>
              <w:t>metropolia</w:t>
            </w:r>
            <w:r w:rsidRPr="0048580B">
              <w:rPr>
                <w:rFonts w:asciiTheme="minorHAnsi" w:hAnsiTheme="minorHAnsi"/>
                <w:sz w:val="16"/>
                <w:szCs w:val="16"/>
              </w:rPr>
              <w:t xml:space="preserve"> poznańska stanowiąca motor rozwoju dla całego regionu</w:t>
            </w:r>
          </w:p>
          <w:p w14:paraId="167C9028" w14:textId="77777777" w:rsidR="00562AF8" w:rsidRPr="0048580B" w:rsidRDefault="00562AF8" w:rsidP="006828EB">
            <w:pPr>
              <w:ind w:left="330" w:hanging="360"/>
              <w:rPr>
                <w:rFonts w:asciiTheme="minorHAnsi" w:hAnsiTheme="minorHAnsi"/>
                <w:sz w:val="16"/>
                <w:szCs w:val="16"/>
              </w:rPr>
            </w:pPr>
            <w:r w:rsidRPr="0048580B">
              <w:rPr>
                <w:rFonts w:asciiTheme="minorHAnsi" w:hAnsiTheme="minorHAnsi"/>
                <w:b/>
                <w:sz w:val="16"/>
                <w:szCs w:val="16"/>
              </w:rPr>
              <w:t>S2</w:t>
            </w:r>
            <w:r w:rsidRPr="0048580B">
              <w:rPr>
                <w:rFonts w:asciiTheme="minorHAnsi" w:hAnsiTheme="minorHAnsi"/>
                <w:sz w:val="16"/>
                <w:szCs w:val="16"/>
              </w:rPr>
              <w:t xml:space="preserve"> – silna i rosnąca gospodarka zmniejszająca dystans do regionów europejskich</w:t>
            </w:r>
          </w:p>
        </w:tc>
      </w:tr>
      <w:tr w:rsidR="00562AF8" w:rsidRPr="0048580B" w14:paraId="0EFF7A1F" w14:textId="77777777" w:rsidTr="3A105AF1">
        <w:tc>
          <w:tcPr>
            <w:tcW w:w="1911" w:type="dxa"/>
            <w:gridSpan w:val="2"/>
            <w:tcBorders>
              <w:bottom w:val="single" w:sz="2" w:space="0" w:color="F6BB00"/>
            </w:tcBorders>
            <w:shd w:val="clear" w:color="auto" w:fill="F6BB00"/>
          </w:tcPr>
          <w:p w14:paraId="46832B56" w14:textId="77777777" w:rsidR="00562AF8" w:rsidRPr="0048580B" w:rsidRDefault="00562AF8" w:rsidP="0048580B">
            <w:pPr>
              <w:spacing w:after="0" w:line="240" w:lineRule="auto"/>
              <w:jc w:val="center"/>
              <w:rPr>
                <w:rFonts w:asciiTheme="minorHAnsi" w:hAnsiTheme="minorHAnsi"/>
                <w:b/>
                <w:sz w:val="16"/>
                <w:szCs w:val="16"/>
              </w:rPr>
            </w:pPr>
            <w:r w:rsidRPr="0048580B">
              <w:rPr>
                <w:rFonts w:asciiTheme="minorHAnsi" w:hAnsiTheme="minorHAnsi"/>
                <w:b/>
                <w:sz w:val="16"/>
                <w:szCs w:val="16"/>
              </w:rPr>
              <w:t xml:space="preserve">ANALIZA TOWS </w:t>
            </w:r>
          </w:p>
        </w:tc>
        <w:tc>
          <w:tcPr>
            <w:tcW w:w="7161" w:type="dxa"/>
            <w:tcBorders>
              <w:bottom w:val="single" w:sz="2" w:space="0" w:color="F6BB00"/>
            </w:tcBorders>
            <w:shd w:val="clear" w:color="auto" w:fill="F6BB00"/>
          </w:tcPr>
          <w:p w14:paraId="31226167" w14:textId="77777777" w:rsidR="00562AF8" w:rsidRPr="0048580B" w:rsidRDefault="00562AF8" w:rsidP="0048580B">
            <w:pPr>
              <w:spacing w:after="0" w:line="240" w:lineRule="auto"/>
              <w:jc w:val="center"/>
              <w:rPr>
                <w:rFonts w:asciiTheme="minorHAnsi" w:hAnsiTheme="minorHAnsi"/>
                <w:b/>
                <w:sz w:val="16"/>
                <w:szCs w:val="16"/>
              </w:rPr>
            </w:pPr>
            <w:r w:rsidRPr="0048580B">
              <w:rPr>
                <w:rFonts w:asciiTheme="minorHAnsi" w:hAnsiTheme="minorHAnsi"/>
                <w:b/>
                <w:sz w:val="16"/>
                <w:szCs w:val="16"/>
              </w:rPr>
              <w:t>TS – WYNIKI I WNIOSKI (kluczowe zagrożenia)</w:t>
            </w:r>
          </w:p>
        </w:tc>
      </w:tr>
      <w:tr w:rsidR="00562AF8" w:rsidRPr="0048580B" w14:paraId="06F2AB1A" w14:textId="77777777" w:rsidTr="3A105AF1">
        <w:trPr>
          <w:trHeight w:val="2009"/>
        </w:trPr>
        <w:tc>
          <w:tcPr>
            <w:tcW w:w="1911" w:type="dxa"/>
            <w:gridSpan w:val="2"/>
            <w:tcBorders>
              <w:top w:val="single" w:sz="2" w:space="0" w:color="F6BB00"/>
              <w:bottom w:val="single" w:sz="2" w:space="0" w:color="F6BB00"/>
            </w:tcBorders>
            <w:vAlign w:val="center"/>
          </w:tcPr>
          <w:p w14:paraId="79FCB899" w14:textId="77777777" w:rsidR="00562AF8" w:rsidRPr="0048580B" w:rsidRDefault="00562AF8" w:rsidP="006828EB">
            <w:pPr>
              <w:rPr>
                <w:rFonts w:asciiTheme="minorHAnsi" w:hAnsiTheme="minorHAnsi"/>
                <w:b/>
                <w:sz w:val="16"/>
                <w:szCs w:val="16"/>
              </w:rPr>
            </w:pPr>
            <w:r w:rsidRPr="0048580B">
              <w:rPr>
                <w:rFonts w:asciiTheme="minorHAnsi" w:hAnsiTheme="minorHAnsi"/>
                <w:b/>
                <w:sz w:val="16"/>
                <w:szCs w:val="16"/>
              </w:rPr>
              <w:t>Czy zagrożenia osłabią silne strony?</w:t>
            </w:r>
          </w:p>
        </w:tc>
        <w:tc>
          <w:tcPr>
            <w:tcW w:w="7161" w:type="dxa"/>
            <w:tcBorders>
              <w:top w:val="single" w:sz="2" w:space="0" w:color="F6BB00"/>
              <w:bottom w:val="single" w:sz="2" w:space="0" w:color="F6BB00"/>
            </w:tcBorders>
            <w:vAlign w:val="center"/>
          </w:tcPr>
          <w:p w14:paraId="6F42AE67" w14:textId="77777777" w:rsidR="00562AF8" w:rsidRPr="0048580B" w:rsidRDefault="00562AF8" w:rsidP="006828EB">
            <w:pPr>
              <w:pStyle w:val="Akapitzlist"/>
              <w:numPr>
                <w:ilvl w:val="0"/>
                <w:numId w:val="0"/>
              </w:numPr>
              <w:spacing w:after="0" w:line="240" w:lineRule="auto"/>
              <w:ind w:left="2940"/>
              <w:jc w:val="left"/>
              <w:rPr>
                <w:rFonts w:asciiTheme="minorHAnsi" w:hAnsiTheme="minorHAnsi"/>
                <w:sz w:val="16"/>
                <w:szCs w:val="16"/>
              </w:rPr>
            </w:pPr>
            <w:r w:rsidRPr="0048580B">
              <w:rPr>
                <w:rFonts w:asciiTheme="minorHAnsi" w:hAnsiTheme="minorHAnsi"/>
                <w:b/>
                <w:noProof/>
                <w:sz w:val="16"/>
                <w:szCs w:val="16"/>
                <w:lang w:eastAsia="pl-PL"/>
              </w:rPr>
              <w:drawing>
                <wp:anchor distT="0" distB="0" distL="114300" distR="114300" simplePos="0" relativeHeight="251658245" behindDoc="0" locked="0" layoutInCell="1" allowOverlap="1" wp14:anchorId="4883E8AA" wp14:editId="0781A8DD">
                  <wp:simplePos x="0" y="0"/>
                  <wp:positionH relativeFrom="column">
                    <wp:posOffset>-93345</wp:posOffset>
                  </wp:positionH>
                  <wp:positionV relativeFrom="paragraph">
                    <wp:posOffset>144780</wp:posOffset>
                  </wp:positionV>
                  <wp:extent cx="1731010" cy="1076325"/>
                  <wp:effectExtent l="0" t="0" r="2540" b="0"/>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101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580B">
              <w:rPr>
                <w:rFonts w:asciiTheme="minorHAnsi" w:hAnsiTheme="minorHAnsi"/>
                <w:b/>
                <w:sz w:val="16"/>
                <w:szCs w:val="16"/>
              </w:rPr>
              <w:t>T3</w:t>
            </w:r>
            <w:r w:rsidRPr="0048580B">
              <w:rPr>
                <w:rFonts w:asciiTheme="minorHAnsi" w:hAnsiTheme="minorHAnsi"/>
                <w:sz w:val="16"/>
                <w:szCs w:val="16"/>
              </w:rPr>
              <w:t xml:space="preserve"> – ograniczenie wpływów finansowych z polityki spójności (-&gt; konieczność większej mobilizacji środków własnych samorządu)</w:t>
            </w:r>
          </w:p>
          <w:p w14:paraId="6C29AA1D" w14:textId="77777777" w:rsidR="00562AF8" w:rsidRPr="0048580B" w:rsidRDefault="00562AF8" w:rsidP="006828EB">
            <w:pPr>
              <w:pStyle w:val="Akapitzlist"/>
              <w:numPr>
                <w:ilvl w:val="0"/>
                <w:numId w:val="0"/>
              </w:numPr>
              <w:spacing w:after="0" w:line="240" w:lineRule="auto"/>
              <w:ind w:left="2940"/>
              <w:jc w:val="left"/>
              <w:rPr>
                <w:rFonts w:asciiTheme="minorHAnsi" w:hAnsiTheme="minorHAnsi"/>
                <w:sz w:val="16"/>
                <w:szCs w:val="16"/>
              </w:rPr>
            </w:pPr>
            <w:r w:rsidRPr="0048580B">
              <w:rPr>
                <w:rFonts w:asciiTheme="minorHAnsi" w:hAnsiTheme="minorHAnsi"/>
                <w:b/>
                <w:sz w:val="16"/>
                <w:szCs w:val="16"/>
              </w:rPr>
              <w:t>T1</w:t>
            </w:r>
            <w:r w:rsidRPr="0048580B">
              <w:rPr>
                <w:rFonts w:asciiTheme="minorHAnsi" w:hAnsiTheme="minorHAnsi"/>
                <w:sz w:val="16"/>
                <w:szCs w:val="16"/>
              </w:rPr>
              <w:t xml:space="preserve"> – rozbieżności między polityką wspólnotową UE a polityką krajową, w szczególności w zakresie: polityki regionalnej, energetyki czy polityki senioralnej</w:t>
            </w:r>
          </w:p>
          <w:p w14:paraId="15700EC0" w14:textId="77777777" w:rsidR="00562AF8" w:rsidRPr="0048580B" w:rsidRDefault="00562AF8" w:rsidP="00631503">
            <w:pPr>
              <w:pStyle w:val="Akapitzlist"/>
              <w:numPr>
                <w:ilvl w:val="0"/>
                <w:numId w:val="0"/>
              </w:numPr>
              <w:spacing w:after="360" w:line="240" w:lineRule="auto"/>
              <w:ind w:left="2943"/>
              <w:jc w:val="left"/>
              <w:rPr>
                <w:rFonts w:asciiTheme="minorHAnsi" w:hAnsiTheme="minorHAnsi"/>
                <w:sz w:val="16"/>
                <w:szCs w:val="16"/>
              </w:rPr>
            </w:pPr>
            <w:r w:rsidRPr="0048580B">
              <w:rPr>
                <w:rFonts w:asciiTheme="minorHAnsi" w:hAnsiTheme="minorHAnsi"/>
                <w:b/>
                <w:sz w:val="16"/>
                <w:szCs w:val="16"/>
              </w:rPr>
              <w:t xml:space="preserve">T2 </w:t>
            </w:r>
            <w:r w:rsidRPr="0048580B">
              <w:rPr>
                <w:rFonts w:asciiTheme="minorHAnsi" w:hAnsiTheme="minorHAnsi"/>
                <w:sz w:val="16"/>
                <w:szCs w:val="16"/>
              </w:rPr>
              <w:t>– planowane zmiany w polityce krajowej (KSRR) polegające na odejściu od modelu polaryzacyjno-dyfuzyjnego i koncentracji na „regionach problemowych” (do których WLKP nie należy)</w:t>
            </w:r>
          </w:p>
        </w:tc>
      </w:tr>
      <w:tr w:rsidR="00562AF8" w:rsidRPr="0048580B" w14:paraId="0881E32A" w14:textId="77777777" w:rsidTr="3A105AF1">
        <w:tc>
          <w:tcPr>
            <w:tcW w:w="1911" w:type="dxa"/>
            <w:gridSpan w:val="2"/>
            <w:shd w:val="clear" w:color="auto" w:fill="F6BB00"/>
          </w:tcPr>
          <w:p w14:paraId="269AC5A3" w14:textId="77777777" w:rsidR="00562AF8" w:rsidRPr="0048580B" w:rsidRDefault="00562AF8" w:rsidP="0048580B">
            <w:pPr>
              <w:spacing w:after="0" w:line="240" w:lineRule="auto"/>
              <w:jc w:val="center"/>
              <w:rPr>
                <w:rFonts w:asciiTheme="minorHAnsi" w:hAnsiTheme="minorHAnsi"/>
                <w:b/>
                <w:sz w:val="16"/>
                <w:szCs w:val="16"/>
              </w:rPr>
            </w:pPr>
            <w:r w:rsidRPr="0048580B">
              <w:rPr>
                <w:rFonts w:asciiTheme="minorHAnsi" w:hAnsiTheme="minorHAnsi"/>
                <w:b/>
                <w:sz w:val="16"/>
                <w:szCs w:val="16"/>
              </w:rPr>
              <w:lastRenderedPageBreak/>
              <w:t>ANALIZA SWOT</w:t>
            </w:r>
          </w:p>
        </w:tc>
        <w:tc>
          <w:tcPr>
            <w:tcW w:w="7161" w:type="dxa"/>
            <w:tcBorders>
              <w:bottom w:val="single" w:sz="2" w:space="0" w:color="F6BB00"/>
            </w:tcBorders>
            <w:shd w:val="clear" w:color="auto" w:fill="F6BB00"/>
          </w:tcPr>
          <w:p w14:paraId="1A9CB2BE" w14:textId="77777777" w:rsidR="00562AF8" w:rsidRPr="0048580B" w:rsidRDefault="00562AF8" w:rsidP="0048580B">
            <w:pPr>
              <w:spacing w:after="0" w:line="240" w:lineRule="auto"/>
              <w:jc w:val="center"/>
              <w:rPr>
                <w:rFonts w:asciiTheme="minorHAnsi" w:hAnsiTheme="minorHAnsi"/>
                <w:b/>
                <w:sz w:val="16"/>
                <w:szCs w:val="16"/>
              </w:rPr>
            </w:pPr>
            <w:r w:rsidRPr="0048580B">
              <w:rPr>
                <w:rFonts w:asciiTheme="minorHAnsi" w:hAnsiTheme="minorHAnsi"/>
                <w:b/>
                <w:sz w:val="16"/>
                <w:szCs w:val="16"/>
              </w:rPr>
              <w:t>WT – WYNIKI I WNIOSKI (kluczowe słabe strony)</w:t>
            </w:r>
          </w:p>
        </w:tc>
      </w:tr>
      <w:tr w:rsidR="00562AF8" w:rsidRPr="0048580B" w14:paraId="0A24887A" w14:textId="77777777" w:rsidTr="3A105AF1">
        <w:tc>
          <w:tcPr>
            <w:tcW w:w="1911" w:type="dxa"/>
            <w:gridSpan w:val="2"/>
            <w:tcBorders>
              <w:top w:val="single" w:sz="2" w:space="0" w:color="F6BB00"/>
              <w:bottom w:val="single" w:sz="2" w:space="0" w:color="F6BB00"/>
            </w:tcBorders>
            <w:vAlign w:val="center"/>
          </w:tcPr>
          <w:p w14:paraId="79F48850" w14:textId="77777777" w:rsidR="00562AF8" w:rsidRPr="0048580B" w:rsidRDefault="00562AF8" w:rsidP="006828EB">
            <w:pPr>
              <w:rPr>
                <w:rFonts w:asciiTheme="minorHAnsi" w:hAnsiTheme="minorHAnsi"/>
                <w:b/>
                <w:sz w:val="16"/>
                <w:szCs w:val="16"/>
              </w:rPr>
            </w:pPr>
            <w:r w:rsidRPr="0048580B">
              <w:rPr>
                <w:rFonts w:asciiTheme="minorHAnsi" w:hAnsiTheme="minorHAnsi"/>
                <w:b/>
                <w:sz w:val="16"/>
                <w:szCs w:val="16"/>
              </w:rPr>
              <w:t>Czy słabe strony wzmocnią zagrożenia?</w:t>
            </w:r>
          </w:p>
        </w:tc>
        <w:tc>
          <w:tcPr>
            <w:tcW w:w="7161" w:type="dxa"/>
            <w:tcBorders>
              <w:top w:val="single" w:sz="2" w:space="0" w:color="F6BB00"/>
              <w:bottom w:val="single" w:sz="2" w:space="0" w:color="F6BB00"/>
            </w:tcBorders>
            <w:vAlign w:val="center"/>
          </w:tcPr>
          <w:p w14:paraId="351E5EE6" w14:textId="77777777" w:rsidR="00562AF8" w:rsidRPr="0048580B" w:rsidRDefault="00562AF8" w:rsidP="006828EB">
            <w:pPr>
              <w:ind w:left="330" w:hanging="360"/>
              <w:rPr>
                <w:rFonts w:asciiTheme="minorHAnsi" w:hAnsiTheme="minorHAnsi"/>
                <w:sz w:val="16"/>
                <w:szCs w:val="16"/>
              </w:rPr>
            </w:pPr>
            <w:r w:rsidRPr="0048580B">
              <w:rPr>
                <w:rFonts w:asciiTheme="minorHAnsi" w:hAnsiTheme="minorHAnsi"/>
                <w:noProof/>
                <w:sz w:val="16"/>
                <w:szCs w:val="16"/>
                <w:lang w:eastAsia="pl-PL"/>
              </w:rPr>
              <w:drawing>
                <wp:anchor distT="0" distB="0" distL="114300" distR="114300" simplePos="0" relativeHeight="251658247" behindDoc="0" locked="0" layoutInCell="1" allowOverlap="1" wp14:anchorId="1437D75E" wp14:editId="3D4DE3A7">
                  <wp:simplePos x="0" y="0"/>
                  <wp:positionH relativeFrom="column">
                    <wp:posOffset>-1532255</wp:posOffset>
                  </wp:positionH>
                  <wp:positionV relativeFrom="paragraph">
                    <wp:posOffset>89535</wp:posOffset>
                  </wp:positionV>
                  <wp:extent cx="1464945" cy="957580"/>
                  <wp:effectExtent l="0" t="0" r="1905" b="0"/>
                  <wp:wrapSquare wrapText="bothSides"/>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64945" cy="957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2B5E84" w14:textId="350504FC" w:rsidR="00562AF8" w:rsidRPr="0048580B" w:rsidRDefault="00562AF8" w:rsidP="006828EB">
            <w:pPr>
              <w:ind w:left="2373"/>
              <w:rPr>
                <w:rFonts w:asciiTheme="minorHAnsi" w:hAnsiTheme="minorHAnsi"/>
                <w:sz w:val="16"/>
                <w:szCs w:val="16"/>
              </w:rPr>
            </w:pPr>
            <w:r w:rsidRPr="0048580B">
              <w:rPr>
                <w:rFonts w:asciiTheme="minorHAnsi" w:hAnsiTheme="minorHAnsi"/>
                <w:b/>
                <w:sz w:val="16"/>
                <w:szCs w:val="16"/>
              </w:rPr>
              <w:t>W1</w:t>
            </w:r>
            <w:r w:rsidRPr="0048580B">
              <w:rPr>
                <w:rFonts w:asciiTheme="minorHAnsi" w:hAnsiTheme="minorHAnsi"/>
                <w:sz w:val="16"/>
                <w:szCs w:val="16"/>
              </w:rPr>
              <w:t xml:space="preserve"> – </w:t>
            </w:r>
            <w:r w:rsidR="003A0616">
              <w:rPr>
                <w:rFonts w:asciiTheme="minorHAnsi" w:hAnsiTheme="minorHAnsi"/>
                <w:sz w:val="16"/>
                <w:szCs w:val="16"/>
              </w:rPr>
              <w:t xml:space="preserve">silne </w:t>
            </w:r>
            <w:r w:rsidR="003A0616" w:rsidRPr="0048580B">
              <w:rPr>
                <w:rFonts w:asciiTheme="minorHAnsi" w:hAnsiTheme="minorHAnsi"/>
                <w:sz w:val="16"/>
                <w:szCs w:val="16"/>
              </w:rPr>
              <w:t>wewnętrzne zróżnicowanie województwa</w:t>
            </w:r>
            <w:r w:rsidRPr="0048580B">
              <w:rPr>
                <w:rFonts w:asciiTheme="minorHAnsi" w:hAnsiTheme="minorHAnsi"/>
                <w:sz w:val="16"/>
                <w:szCs w:val="16"/>
              </w:rPr>
              <w:t xml:space="preserve"> (pod względem rozwoju gospodarczego, rynku pracy, dostępu do usług, dostępności komunikacyjnej, infrastruktury)</w:t>
            </w:r>
          </w:p>
          <w:p w14:paraId="3FD5DA4D" w14:textId="0D1E7F9A" w:rsidR="00562AF8" w:rsidRPr="0048580B" w:rsidRDefault="00562AF8" w:rsidP="006828EB">
            <w:pPr>
              <w:ind w:left="2373"/>
              <w:rPr>
                <w:rFonts w:asciiTheme="minorHAnsi" w:hAnsiTheme="minorHAnsi"/>
                <w:sz w:val="16"/>
                <w:szCs w:val="16"/>
              </w:rPr>
            </w:pPr>
            <w:r w:rsidRPr="0048580B">
              <w:rPr>
                <w:rFonts w:asciiTheme="minorHAnsi" w:hAnsiTheme="minorHAnsi"/>
                <w:b/>
                <w:sz w:val="16"/>
                <w:szCs w:val="16"/>
              </w:rPr>
              <w:t xml:space="preserve">W2 </w:t>
            </w:r>
            <w:r w:rsidRPr="0048580B">
              <w:rPr>
                <w:rFonts w:asciiTheme="minorHAnsi" w:hAnsiTheme="minorHAnsi"/>
                <w:sz w:val="16"/>
                <w:szCs w:val="16"/>
              </w:rPr>
              <w:t xml:space="preserve">– niewystarczające </w:t>
            </w:r>
            <w:r w:rsidR="416AC848" w:rsidRPr="416AC848">
              <w:rPr>
                <w:rFonts w:asciiTheme="minorHAnsi" w:hAnsiTheme="minorHAnsi"/>
                <w:sz w:val="16"/>
                <w:szCs w:val="16"/>
              </w:rPr>
              <w:t>powiązania</w:t>
            </w:r>
            <w:r w:rsidRPr="0048580B">
              <w:rPr>
                <w:rFonts w:asciiTheme="minorHAnsi" w:hAnsiTheme="minorHAnsi"/>
                <w:sz w:val="16"/>
                <w:szCs w:val="16"/>
              </w:rPr>
              <w:t xml:space="preserve"> funkcjonalne z obszarami przygranicznymi województwa, szczególnie położonymi w północnej i południowo-wschodniej części Wielkopolski</w:t>
            </w:r>
          </w:p>
        </w:tc>
      </w:tr>
      <w:tr w:rsidR="00562AF8" w:rsidRPr="0048580B" w14:paraId="0D4EE493" w14:textId="77777777" w:rsidTr="3A105AF1">
        <w:tc>
          <w:tcPr>
            <w:tcW w:w="1911" w:type="dxa"/>
            <w:gridSpan w:val="2"/>
            <w:tcBorders>
              <w:bottom w:val="single" w:sz="2" w:space="0" w:color="F6BB00"/>
            </w:tcBorders>
            <w:shd w:val="clear" w:color="auto" w:fill="F6BB00"/>
          </w:tcPr>
          <w:p w14:paraId="36947541" w14:textId="77777777" w:rsidR="00562AF8" w:rsidRPr="0048580B" w:rsidRDefault="00562AF8" w:rsidP="0048580B">
            <w:pPr>
              <w:spacing w:after="0" w:line="240" w:lineRule="auto"/>
              <w:jc w:val="center"/>
              <w:rPr>
                <w:rFonts w:asciiTheme="minorHAnsi" w:hAnsiTheme="minorHAnsi"/>
                <w:b/>
                <w:sz w:val="16"/>
                <w:szCs w:val="16"/>
              </w:rPr>
            </w:pPr>
            <w:r w:rsidRPr="0048580B">
              <w:rPr>
                <w:rFonts w:asciiTheme="minorHAnsi" w:hAnsiTheme="minorHAnsi"/>
                <w:b/>
                <w:sz w:val="16"/>
                <w:szCs w:val="16"/>
              </w:rPr>
              <w:t xml:space="preserve">ANALIZA TOWS </w:t>
            </w:r>
          </w:p>
        </w:tc>
        <w:tc>
          <w:tcPr>
            <w:tcW w:w="7161" w:type="dxa"/>
            <w:tcBorders>
              <w:bottom w:val="single" w:sz="2" w:space="0" w:color="F6BB00"/>
            </w:tcBorders>
            <w:shd w:val="clear" w:color="auto" w:fill="F6BB00"/>
          </w:tcPr>
          <w:p w14:paraId="78631CA5" w14:textId="77777777" w:rsidR="00562AF8" w:rsidRPr="0048580B" w:rsidRDefault="00562AF8" w:rsidP="0048580B">
            <w:pPr>
              <w:spacing w:after="0" w:line="240" w:lineRule="auto"/>
              <w:jc w:val="center"/>
              <w:rPr>
                <w:rFonts w:asciiTheme="minorHAnsi" w:hAnsiTheme="minorHAnsi"/>
                <w:b/>
                <w:sz w:val="16"/>
                <w:szCs w:val="16"/>
              </w:rPr>
            </w:pPr>
            <w:r w:rsidRPr="0048580B">
              <w:rPr>
                <w:rFonts w:asciiTheme="minorHAnsi" w:hAnsiTheme="minorHAnsi"/>
                <w:b/>
                <w:sz w:val="16"/>
                <w:szCs w:val="16"/>
              </w:rPr>
              <w:t>TW – WYNIKI I WNIOSKI (kluczowe zagrożenia)</w:t>
            </w:r>
          </w:p>
        </w:tc>
      </w:tr>
      <w:tr w:rsidR="00562AF8" w:rsidRPr="0048580B" w14:paraId="071DBE53" w14:textId="77777777" w:rsidTr="3A105AF1">
        <w:trPr>
          <w:trHeight w:val="2009"/>
        </w:trPr>
        <w:tc>
          <w:tcPr>
            <w:tcW w:w="1911" w:type="dxa"/>
            <w:gridSpan w:val="2"/>
            <w:tcBorders>
              <w:top w:val="single" w:sz="2" w:space="0" w:color="F6BB00"/>
              <w:bottom w:val="single" w:sz="2" w:space="0" w:color="FFC000" w:themeColor="accent4"/>
            </w:tcBorders>
            <w:vAlign w:val="center"/>
          </w:tcPr>
          <w:p w14:paraId="26A38DFB" w14:textId="77777777" w:rsidR="00562AF8" w:rsidRPr="0048580B" w:rsidRDefault="00562AF8" w:rsidP="006828EB">
            <w:pPr>
              <w:rPr>
                <w:rFonts w:asciiTheme="minorHAnsi" w:hAnsiTheme="minorHAnsi"/>
                <w:b/>
                <w:sz w:val="16"/>
                <w:szCs w:val="16"/>
              </w:rPr>
            </w:pPr>
            <w:r w:rsidRPr="0048580B">
              <w:rPr>
                <w:rFonts w:asciiTheme="minorHAnsi" w:hAnsiTheme="minorHAnsi"/>
                <w:b/>
                <w:sz w:val="16"/>
                <w:szCs w:val="16"/>
              </w:rPr>
              <w:t>Czy zagrożenia spotęgują słabe strony?</w:t>
            </w:r>
          </w:p>
        </w:tc>
        <w:tc>
          <w:tcPr>
            <w:tcW w:w="7161" w:type="dxa"/>
            <w:tcBorders>
              <w:top w:val="single" w:sz="2" w:space="0" w:color="F6BB00"/>
              <w:bottom w:val="single" w:sz="2" w:space="0" w:color="FFC000" w:themeColor="accent4"/>
            </w:tcBorders>
            <w:vAlign w:val="center"/>
          </w:tcPr>
          <w:p w14:paraId="6B8AA0F6" w14:textId="77777777" w:rsidR="00562AF8" w:rsidRPr="0048580B" w:rsidRDefault="00562AF8" w:rsidP="006828EB">
            <w:pPr>
              <w:pStyle w:val="Akapitzlist"/>
              <w:numPr>
                <w:ilvl w:val="0"/>
                <w:numId w:val="0"/>
              </w:numPr>
              <w:spacing w:after="0" w:line="240" w:lineRule="auto"/>
              <w:ind w:left="2231"/>
              <w:jc w:val="left"/>
              <w:rPr>
                <w:rFonts w:asciiTheme="minorHAnsi" w:hAnsiTheme="minorHAnsi"/>
                <w:b/>
                <w:sz w:val="16"/>
                <w:szCs w:val="16"/>
              </w:rPr>
            </w:pPr>
          </w:p>
          <w:p w14:paraId="404DE1D9" w14:textId="77777777" w:rsidR="00562AF8" w:rsidRPr="0048580B" w:rsidRDefault="00562AF8" w:rsidP="006828EB">
            <w:pPr>
              <w:pStyle w:val="Akapitzlist"/>
              <w:numPr>
                <w:ilvl w:val="0"/>
                <w:numId w:val="0"/>
              </w:numPr>
              <w:spacing w:after="0" w:line="240" w:lineRule="auto"/>
              <w:ind w:left="2231"/>
              <w:jc w:val="left"/>
              <w:rPr>
                <w:rFonts w:asciiTheme="minorHAnsi" w:hAnsiTheme="minorHAnsi"/>
                <w:sz w:val="16"/>
                <w:szCs w:val="16"/>
              </w:rPr>
            </w:pPr>
            <w:r w:rsidRPr="0048580B">
              <w:rPr>
                <w:rFonts w:asciiTheme="minorHAnsi" w:hAnsiTheme="minorHAnsi"/>
                <w:noProof/>
                <w:sz w:val="16"/>
                <w:szCs w:val="16"/>
                <w:lang w:eastAsia="pl-PL"/>
              </w:rPr>
              <w:drawing>
                <wp:anchor distT="0" distB="0" distL="114300" distR="114300" simplePos="0" relativeHeight="251658246" behindDoc="0" locked="0" layoutInCell="1" allowOverlap="1" wp14:anchorId="7023417A" wp14:editId="1393CDEC">
                  <wp:simplePos x="0" y="0"/>
                  <wp:positionH relativeFrom="column">
                    <wp:posOffset>-1012190</wp:posOffset>
                  </wp:positionH>
                  <wp:positionV relativeFrom="paragraph">
                    <wp:posOffset>-127000</wp:posOffset>
                  </wp:positionV>
                  <wp:extent cx="1313815" cy="1076325"/>
                  <wp:effectExtent l="0" t="0" r="635"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381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580B">
              <w:rPr>
                <w:rFonts w:asciiTheme="minorHAnsi" w:hAnsiTheme="minorHAnsi"/>
                <w:b/>
                <w:sz w:val="16"/>
                <w:szCs w:val="16"/>
              </w:rPr>
              <w:t>T3</w:t>
            </w:r>
            <w:r w:rsidRPr="0048580B">
              <w:rPr>
                <w:rFonts w:asciiTheme="minorHAnsi" w:hAnsiTheme="minorHAnsi"/>
                <w:sz w:val="16"/>
                <w:szCs w:val="16"/>
              </w:rPr>
              <w:t xml:space="preserve"> – ograniczenie wpływów finansowych z polityki spójności (-&gt; konieczność większej mobilizacji środków własnych samorządu)</w:t>
            </w:r>
          </w:p>
          <w:p w14:paraId="06DE0BA4" w14:textId="77777777" w:rsidR="00562AF8" w:rsidRPr="0048580B" w:rsidRDefault="00562AF8" w:rsidP="006828EB">
            <w:pPr>
              <w:pStyle w:val="Akapitzlist"/>
              <w:numPr>
                <w:ilvl w:val="0"/>
                <w:numId w:val="0"/>
              </w:numPr>
              <w:spacing w:after="0" w:line="240" w:lineRule="auto"/>
              <w:ind w:left="2231"/>
              <w:jc w:val="left"/>
              <w:rPr>
                <w:rFonts w:asciiTheme="minorHAnsi" w:hAnsiTheme="minorHAnsi"/>
                <w:sz w:val="16"/>
                <w:szCs w:val="16"/>
              </w:rPr>
            </w:pPr>
            <w:r w:rsidRPr="0048580B">
              <w:rPr>
                <w:rFonts w:asciiTheme="minorHAnsi" w:hAnsiTheme="minorHAnsi"/>
                <w:b/>
                <w:sz w:val="16"/>
                <w:szCs w:val="16"/>
              </w:rPr>
              <w:t>T1</w:t>
            </w:r>
            <w:r w:rsidRPr="0048580B">
              <w:rPr>
                <w:rFonts w:asciiTheme="minorHAnsi" w:hAnsiTheme="minorHAnsi"/>
                <w:sz w:val="16"/>
                <w:szCs w:val="16"/>
              </w:rPr>
              <w:t xml:space="preserve"> – rozbieżności między polityką wspólnotową UE a polityką krajową, w szczególności w zakresie: polityki regionalnej, energetyki czy polityki senioralnej</w:t>
            </w:r>
          </w:p>
          <w:p w14:paraId="0F7142D6" w14:textId="77777777" w:rsidR="00562AF8" w:rsidRPr="0048580B" w:rsidRDefault="00562AF8" w:rsidP="006828EB">
            <w:pPr>
              <w:pStyle w:val="Akapitzlist"/>
              <w:numPr>
                <w:ilvl w:val="0"/>
                <w:numId w:val="0"/>
              </w:numPr>
              <w:spacing w:after="0" w:line="240" w:lineRule="auto"/>
              <w:ind w:left="2231"/>
              <w:jc w:val="left"/>
              <w:rPr>
                <w:rFonts w:asciiTheme="minorHAnsi" w:hAnsiTheme="minorHAnsi"/>
                <w:sz w:val="16"/>
                <w:szCs w:val="16"/>
              </w:rPr>
            </w:pPr>
          </w:p>
        </w:tc>
      </w:tr>
      <w:tr w:rsidR="00562AF8" w:rsidRPr="0048580B" w14:paraId="79D71127" w14:textId="77777777" w:rsidTr="009720CD">
        <w:trPr>
          <w:trHeight w:val="238"/>
        </w:trPr>
        <w:tc>
          <w:tcPr>
            <w:tcW w:w="9072" w:type="dxa"/>
            <w:gridSpan w:val="3"/>
            <w:tcBorders>
              <w:top w:val="single" w:sz="2" w:space="0" w:color="FFC000" w:themeColor="accent4"/>
            </w:tcBorders>
            <w:shd w:val="clear" w:color="auto" w:fill="auto"/>
            <w:vAlign w:val="center"/>
          </w:tcPr>
          <w:p w14:paraId="1B1B1A92" w14:textId="77777777" w:rsidR="00562AF8" w:rsidRPr="0048580B" w:rsidRDefault="00562AF8" w:rsidP="009720CD">
            <w:pPr>
              <w:spacing w:after="0"/>
              <w:rPr>
                <w:rFonts w:asciiTheme="minorHAnsi" w:hAnsiTheme="minorHAnsi"/>
                <w:b/>
                <w:sz w:val="16"/>
                <w:szCs w:val="16"/>
              </w:rPr>
            </w:pPr>
            <w:r w:rsidRPr="0048580B">
              <w:rPr>
                <w:rFonts w:asciiTheme="minorHAnsi" w:hAnsiTheme="minorHAnsi"/>
                <w:b/>
                <w:sz w:val="16"/>
                <w:szCs w:val="16"/>
              </w:rPr>
              <w:t>*</w:t>
            </w:r>
          </w:p>
        </w:tc>
      </w:tr>
      <w:tr w:rsidR="00562AF8" w:rsidRPr="0048580B" w14:paraId="1797F8F9" w14:textId="77777777" w:rsidTr="3A105AF1">
        <w:trPr>
          <w:trHeight w:val="215"/>
        </w:trPr>
        <w:tc>
          <w:tcPr>
            <w:tcW w:w="284" w:type="dxa"/>
            <w:tcBorders>
              <w:top w:val="single" w:sz="2" w:space="0" w:color="auto"/>
              <w:left w:val="single" w:sz="2" w:space="0" w:color="auto"/>
              <w:bottom w:val="single" w:sz="2" w:space="0" w:color="auto"/>
              <w:right w:val="single" w:sz="2" w:space="0" w:color="auto"/>
            </w:tcBorders>
            <w:shd w:val="clear" w:color="auto" w:fill="auto"/>
            <w:vAlign w:val="center"/>
          </w:tcPr>
          <w:p w14:paraId="4AB9F543" w14:textId="77777777" w:rsidR="00562AF8" w:rsidRPr="0048580B" w:rsidRDefault="00562AF8" w:rsidP="0048580B">
            <w:pPr>
              <w:spacing w:after="0"/>
              <w:rPr>
                <w:rFonts w:asciiTheme="minorHAnsi" w:hAnsiTheme="minorHAnsi"/>
                <w:b/>
                <w:sz w:val="16"/>
                <w:szCs w:val="16"/>
              </w:rPr>
            </w:pPr>
          </w:p>
        </w:tc>
        <w:tc>
          <w:tcPr>
            <w:tcW w:w="8788" w:type="dxa"/>
            <w:gridSpan w:val="2"/>
            <w:tcBorders>
              <w:left w:val="single" w:sz="2" w:space="0" w:color="auto"/>
            </w:tcBorders>
            <w:vAlign w:val="center"/>
          </w:tcPr>
          <w:p w14:paraId="5B02DAFD" w14:textId="77777777" w:rsidR="00562AF8" w:rsidRPr="0048580B" w:rsidRDefault="00562AF8" w:rsidP="0048580B">
            <w:pPr>
              <w:pStyle w:val="Akapitzlist"/>
              <w:numPr>
                <w:ilvl w:val="0"/>
                <w:numId w:val="0"/>
              </w:numPr>
              <w:spacing w:after="0" w:line="240" w:lineRule="auto"/>
              <w:ind w:left="36"/>
              <w:jc w:val="left"/>
              <w:rPr>
                <w:rFonts w:asciiTheme="minorHAnsi" w:hAnsiTheme="minorHAnsi"/>
                <w:sz w:val="16"/>
                <w:szCs w:val="16"/>
              </w:rPr>
            </w:pPr>
            <w:r w:rsidRPr="0048580B">
              <w:rPr>
                <w:rFonts w:asciiTheme="minorHAnsi" w:hAnsiTheme="minorHAnsi"/>
                <w:sz w:val="16"/>
                <w:szCs w:val="16"/>
              </w:rPr>
              <w:t>brak relacji</w:t>
            </w:r>
          </w:p>
        </w:tc>
      </w:tr>
      <w:tr w:rsidR="00562AF8" w:rsidRPr="0048580B" w14:paraId="1F348112" w14:textId="77777777" w:rsidTr="3A105AF1">
        <w:trPr>
          <w:trHeight w:val="215"/>
        </w:trPr>
        <w:tc>
          <w:tcPr>
            <w:tcW w:w="284" w:type="dxa"/>
            <w:tcBorders>
              <w:top w:val="single" w:sz="2" w:space="0" w:color="auto"/>
              <w:left w:val="single" w:sz="2" w:space="0" w:color="auto"/>
              <w:bottom w:val="single" w:sz="2" w:space="0" w:color="auto"/>
              <w:right w:val="single" w:sz="2" w:space="0" w:color="auto"/>
            </w:tcBorders>
            <w:shd w:val="clear" w:color="auto" w:fill="FFC000" w:themeFill="accent4"/>
            <w:vAlign w:val="center"/>
          </w:tcPr>
          <w:p w14:paraId="3C3732DD" w14:textId="77777777" w:rsidR="00562AF8" w:rsidRPr="0048580B" w:rsidRDefault="00562AF8" w:rsidP="0048580B">
            <w:pPr>
              <w:spacing w:after="0"/>
              <w:rPr>
                <w:rFonts w:asciiTheme="minorHAnsi" w:hAnsiTheme="minorHAnsi"/>
                <w:b/>
                <w:sz w:val="16"/>
                <w:szCs w:val="16"/>
              </w:rPr>
            </w:pPr>
          </w:p>
        </w:tc>
        <w:tc>
          <w:tcPr>
            <w:tcW w:w="8788" w:type="dxa"/>
            <w:gridSpan w:val="2"/>
            <w:tcBorders>
              <w:left w:val="single" w:sz="2" w:space="0" w:color="auto"/>
            </w:tcBorders>
            <w:vAlign w:val="center"/>
          </w:tcPr>
          <w:p w14:paraId="2CA709ED" w14:textId="77777777" w:rsidR="00562AF8" w:rsidRPr="0048580B" w:rsidRDefault="00562AF8" w:rsidP="0048580B">
            <w:pPr>
              <w:pStyle w:val="Akapitzlist"/>
              <w:numPr>
                <w:ilvl w:val="0"/>
                <w:numId w:val="0"/>
              </w:numPr>
              <w:spacing w:after="0" w:line="240" w:lineRule="auto"/>
              <w:ind w:left="36"/>
              <w:jc w:val="left"/>
              <w:rPr>
                <w:rFonts w:asciiTheme="minorHAnsi" w:hAnsiTheme="minorHAnsi"/>
                <w:sz w:val="16"/>
                <w:szCs w:val="16"/>
              </w:rPr>
            </w:pPr>
            <w:r w:rsidRPr="0048580B">
              <w:rPr>
                <w:rFonts w:asciiTheme="minorHAnsi" w:hAnsiTheme="minorHAnsi"/>
                <w:sz w:val="16"/>
                <w:szCs w:val="16"/>
              </w:rPr>
              <w:t>relacja o umiarkowanej sile</w:t>
            </w:r>
          </w:p>
        </w:tc>
      </w:tr>
      <w:tr w:rsidR="00562AF8" w:rsidRPr="0048580B" w14:paraId="4A924EA3" w14:textId="77777777" w:rsidTr="3A105AF1">
        <w:trPr>
          <w:trHeight w:val="105"/>
        </w:trPr>
        <w:tc>
          <w:tcPr>
            <w:tcW w:w="284" w:type="dxa"/>
            <w:tcBorders>
              <w:top w:val="single" w:sz="2" w:space="0" w:color="auto"/>
              <w:left w:val="single" w:sz="2" w:space="0" w:color="auto"/>
              <w:bottom w:val="single" w:sz="2" w:space="0" w:color="auto"/>
              <w:right w:val="single" w:sz="2" w:space="0" w:color="auto"/>
            </w:tcBorders>
            <w:shd w:val="clear" w:color="auto" w:fill="FF0000"/>
            <w:vAlign w:val="center"/>
          </w:tcPr>
          <w:p w14:paraId="3C485D51" w14:textId="77777777" w:rsidR="00562AF8" w:rsidRPr="0048580B" w:rsidRDefault="00562AF8" w:rsidP="0048580B">
            <w:pPr>
              <w:spacing w:after="0"/>
              <w:rPr>
                <w:rFonts w:asciiTheme="minorHAnsi" w:hAnsiTheme="minorHAnsi"/>
                <w:b/>
                <w:sz w:val="16"/>
                <w:szCs w:val="16"/>
              </w:rPr>
            </w:pPr>
          </w:p>
        </w:tc>
        <w:tc>
          <w:tcPr>
            <w:tcW w:w="8788" w:type="dxa"/>
            <w:gridSpan w:val="2"/>
            <w:tcBorders>
              <w:left w:val="single" w:sz="2" w:space="0" w:color="auto"/>
              <w:bottom w:val="single" w:sz="2" w:space="0" w:color="FFC000" w:themeColor="accent4"/>
            </w:tcBorders>
            <w:vAlign w:val="center"/>
          </w:tcPr>
          <w:p w14:paraId="3F30B4BB" w14:textId="39835887" w:rsidR="00562AF8" w:rsidRPr="0048580B" w:rsidRDefault="009720CD" w:rsidP="0048580B">
            <w:pPr>
              <w:spacing w:after="0" w:line="240" w:lineRule="auto"/>
              <w:jc w:val="left"/>
              <w:rPr>
                <w:rFonts w:asciiTheme="minorHAnsi" w:hAnsiTheme="minorHAnsi"/>
                <w:sz w:val="16"/>
                <w:szCs w:val="16"/>
              </w:rPr>
            </w:pPr>
            <w:r>
              <w:rPr>
                <w:rFonts w:asciiTheme="minorHAnsi" w:hAnsiTheme="minorHAnsi"/>
                <w:sz w:val="16"/>
                <w:szCs w:val="16"/>
              </w:rPr>
              <w:t xml:space="preserve"> </w:t>
            </w:r>
            <w:r w:rsidR="00562AF8" w:rsidRPr="0048580B">
              <w:rPr>
                <w:rFonts w:asciiTheme="minorHAnsi" w:hAnsiTheme="minorHAnsi"/>
                <w:sz w:val="16"/>
                <w:szCs w:val="16"/>
              </w:rPr>
              <w:t>relacja o dużej sile</w:t>
            </w:r>
          </w:p>
        </w:tc>
      </w:tr>
    </w:tbl>
    <w:p w14:paraId="4350EB7B" w14:textId="42E7E117" w:rsidR="00562AF8" w:rsidRPr="0085163C" w:rsidRDefault="00562AF8" w:rsidP="00631503">
      <w:pPr>
        <w:spacing w:before="240"/>
        <w:rPr>
          <w:sz w:val="18"/>
          <w:szCs w:val="18"/>
          <w:lang w:eastAsia="pl-PL"/>
        </w:rPr>
      </w:pPr>
      <w:r w:rsidRPr="0085163C">
        <w:rPr>
          <w:b/>
          <w:sz w:val="18"/>
          <w:szCs w:val="18"/>
          <w:lang w:eastAsia="pl-PL"/>
        </w:rPr>
        <w:t>**</w:t>
      </w:r>
      <w:r w:rsidR="0048580B">
        <w:rPr>
          <w:b/>
          <w:sz w:val="18"/>
          <w:szCs w:val="18"/>
          <w:lang w:eastAsia="pl-PL"/>
        </w:rPr>
        <w:t xml:space="preserve"> </w:t>
      </w:r>
      <w:r w:rsidRPr="0085163C">
        <w:rPr>
          <w:sz w:val="18"/>
          <w:szCs w:val="18"/>
          <w:lang w:eastAsia="pl-PL"/>
        </w:rPr>
        <w:t xml:space="preserve">każdorazowo wyróżnione zostały </w:t>
      </w:r>
      <w:r>
        <w:rPr>
          <w:sz w:val="18"/>
          <w:szCs w:val="18"/>
          <w:lang w:eastAsia="pl-PL"/>
        </w:rPr>
        <w:t xml:space="preserve">najbardziej </w:t>
      </w:r>
      <w:r w:rsidR="00A046D3">
        <w:rPr>
          <w:sz w:val="18"/>
          <w:szCs w:val="18"/>
          <w:lang w:eastAsia="pl-PL"/>
        </w:rPr>
        <w:t>„</w:t>
      </w:r>
      <w:r>
        <w:rPr>
          <w:sz w:val="18"/>
          <w:szCs w:val="18"/>
          <w:lang w:eastAsia="pl-PL"/>
        </w:rPr>
        <w:t>węzłowe</w:t>
      </w:r>
      <w:r w:rsidR="00A046D3">
        <w:rPr>
          <w:sz w:val="18"/>
          <w:szCs w:val="18"/>
          <w:lang w:eastAsia="pl-PL"/>
        </w:rPr>
        <w:t>”</w:t>
      </w:r>
      <w:r w:rsidRPr="0085163C">
        <w:rPr>
          <w:sz w:val="18"/>
          <w:szCs w:val="18"/>
          <w:lang w:eastAsia="pl-PL"/>
        </w:rPr>
        <w:t xml:space="preserve"> elementy (od 1-3)</w:t>
      </w:r>
      <w:r>
        <w:rPr>
          <w:sz w:val="18"/>
          <w:szCs w:val="18"/>
          <w:lang w:eastAsia="pl-PL"/>
        </w:rPr>
        <w:t xml:space="preserve"> w danej analizie cząstkowej. </w:t>
      </w:r>
      <w:r w:rsidRPr="0085163C">
        <w:rPr>
          <w:sz w:val="18"/>
          <w:szCs w:val="18"/>
          <w:lang w:eastAsia="pl-PL"/>
        </w:rPr>
        <w:t xml:space="preserve"> </w:t>
      </w:r>
    </w:p>
    <w:p w14:paraId="1266ABDF" w14:textId="77777777" w:rsidR="00562AF8" w:rsidRDefault="00562AF8" w:rsidP="00562AF8">
      <w:pPr>
        <w:rPr>
          <w:sz w:val="16"/>
          <w:szCs w:val="16"/>
          <w:lang w:eastAsia="pl-PL"/>
        </w:rPr>
      </w:pPr>
      <w:r w:rsidRPr="002A540F">
        <w:rPr>
          <w:sz w:val="16"/>
          <w:szCs w:val="16"/>
          <w:lang w:eastAsia="pl-PL"/>
        </w:rPr>
        <w:t>Źródło: opracowanie własne</w:t>
      </w:r>
      <w:r>
        <w:rPr>
          <w:sz w:val="16"/>
          <w:szCs w:val="16"/>
          <w:lang w:eastAsia="pl-PL"/>
        </w:rPr>
        <w:t>.</w:t>
      </w:r>
    </w:p>
    <w:p w14:paraId="07DC49DB" w14:textId="19F20BBC" w:rsidR="00562AF8" w:rsidRPr="00F14DD3" w:rsidRDefault="00562AF8" w:rsidP="00562AF8">
      <w:r w:rsidRPr="00F14DD3">
        <w:t>Wśród elementów o strategicznym znaczeniu dla rozwoju Wielkopolski należy wskazać przede wszystki</w:t>
      </w:r>
      <w:r w:rsidR="001F34A4">
        <w:t>m</w:t>
      </w:r>
      <w:r w:rsidRPr="00F14DD3">
        <w:t xml:space="preserve"> czynniki pozytywne – silne strony (S2, S3, S5, S6) oraz szanse (O1, O2 i O6) (</w:t>
      </w:r>
      <w:r w:rsidRPr="00557D41">
        <w:fldChar w:fldCharType="begin"/>
      </w:r>
      <w:r w:rsidRPr="00F14DD3">
        <w:instrText xml:space="preserve"> REF _Ref1947809 \h  \* MERGEFORMAT </w:instrText>
      </w:r>
      <w:r w:rsidRPr="00557D41">
        <w:fldChar w:fldCharType="separate"/>
      </w:r>
      <w:r w:rsidR="007F4FA2" w:rsidRPr="007F4FA2">
        <w:rPr>
          <w:bCs/>
          <w:iCs/>
          <w:lang w:eastAsia="pl-PL"/>
        </w:rPr>
        <w:t>Wykres 4</w:t>
      </w:r>
      <w:r w:rsidRPr="00557D41">
        <w:fldChar w:fldCharType="end"/>
      </w:r>
      <w:r w:rsidRPr="00F14DD3">
        <w:t xml:space="preserve">). </w:t>
      </w:r>
      <w:r w:rsidRPr="00566D70">
        <w:t xml:space="preserve">Szczególnie wyraźnie zaznacza się rola </w:t>
      </w:r>
      <w:r w:rsidRPr="00566D70">
        <w:rPr>
          <w:b/>
        </w:rPr>
        <w:t>silnej i wielofunkcyjnej metropolii poznańskiej</w:t>
      </w:r>
      <w:r w:rsidRPr="00566D70">
        <w:t xml:space="preserve">, która stanowi motor rozwoju dla całego regionu (S3). Pozostałe strategiczne silne strony koncentrują się wokół szeroko rozumianego potencjału gospodarczego Wielkopolski, związanego z </w:t>
      </w:r>
      <w:r w:rsidRPr="00566D70">
        <w:rPr>
          <w:b/>
        </w:rPr>
        <w:t>silną i rosnącą gospodarką</w:t>
      </w:r>
      <w:r w:rsidRPr="00566D70">
        <w:t xml:space="preserve"> (S2), </w:t>
      </w:r>
      <w:r w:rsidRPr="00566D70">
        <w:rPr>
          <w:b/>
        </w:rPr>
        <w:t>potencjałem naukowo-badawczym</w:t>
      </w:r>
      <w:r w:rsidRPr="00566D70">
        <w:t xml:space="preserve"> (S6) oraz </w:t>
      </w:r>
      <w:r w:rsidRPr="00566D70">
        <w:rPr>
          <w:b/>
        </w:rPr>
        <w:t>atrakcyjnością inwestycyjną regionu</w:t>
      </w:r>
      <w:r w:rsidRPr="00566D70">
        <w:t xml:space="preserve"> (S5). Czynniki te wydają się stanowić oś rozwoju Wielkopolski w kolejnych latach, jednak ich znaczenie może być osłabione przez zaniechanie działań na rzecz niwelowania słabych stron, takich jak: niski stopień powiązań kooperacyjnych oraz powiązań nauki z gospodarką (W3) czy niski poziom nakładów </w:t>
      </w:r>
      <w:r w:rsidRPr="00F14DD3">
        <w:t xml:space="preserve">na B+R (W4). </w:t>
      </w:r>
    </w:p>
    <w:p w14:paraId="290A00BF" w14:textId="21064DC1" w:rsidR="00562AF8" w:rsidRPr="00E00264" w:rsidRDefault="00562AF8" w:rsidP="00562AF8">
      <w:r w:rsidRPr="00F14DD3">
        <w:t>W</w:t>
      </w:r>
      <w:r w:rsidRPr="00566D70">
        <w:t xml:space="preserve"> przypadku szans należy zwrócić uwagę przede wszystkim na </w:t>
      </w:r>
      <w:r w:rsidRPr="00566D70">
        <w:rPr>
          <w:b/>
        </w:rPr>
        <w:t>politykę zintegrowanego podejścia terytorialnego</w:t>
      </w:r>
      <w:r w:rsidRPr="00566D70">
        <w:t xml:space="preserve"> (O1), która daje możliwość elastycznego doboru instrumentów rozwojowych i dopasowanie do potrzeb danego terytorium. Jest to szczególnie istotne w kontekście </w:t>
      </w:r>
      <w:r w:rsidR="003A0616">
        <w:t xml:space="preserve">silnego </w:t>
      </w:r>
      <w:r w:rsidRPr="00566D70">
        <w:rPr>
          <w:b/>
        </w:rPr>
        <w:t>wewnętrznego województwa</w:t>
      </w:r>
      <w:r w:rsidRPr="00566D70">
        <w:t xml:space="preserve"> (W1) w zakresie rozwoju gospodarczego, rynku pracy, dostępu do usług, dostępności komunikacyjnej czy infrastruktury</w:t>
      </w:r>
      <w:r w:rsidR="00F84621">
        <w:t>, utrzymującego</w:t>
      </w:r>
      <w:r w:rsidR="002C31C8">
        <w:t xml:space="preserve"> się pomimo pozytywnych tendencji</w:t>
      </w:r>
      <w:r w:rsidRPr="00566D70">
        <w:t xml:space="preserve">. </w:t>
      </w:r>
      <w:r w:rsidRPr="00E00264">
        <w:t xml:space="preserve">Kluczowych szans należy także upatrywać w </w:t>
      </w:r>
      <w:r w:rsidRPr="00E00264">
        <w:rPr>
          <w:b/>
        </w:rPr>
        <w:t>krajowych i europejskich instrumentach rozwoju</w:t>
      </w:r>
      <w:r>
        <w:t xml:space="preserve"> (O2), choć ich pozyskanie będzie wymagało konkurowania na arenie międzynarodowej i krajowej. Instrumenty dedykowane między innymi inteligentnym specjalizacjom mogą przyczynić się do dalszego wzmacniania wielkopolskiej gospodarki (S3) i pomóc w przełamaniu barier kooperacyjnych między nauką a biznesem (W3). </w:t>
      </w:r>
    </w:p>
    <w:p w14:paraId="7FCB5CF9" w14:textId="77777777" w:rsidR="00562AF8" w:rsidRPr="00F14DD3" w:rsidRDefault="00562AF8" w:rsidP="00562AF8">
      <w:r w:rsidRPr="00F14DD3">
        <w:t xml:space="preserve">Choć elementów negatywnych (słabych stron i zagrożeń) o strategicznym znaczeniu wyróżnionych jest relatywnie niewiele, to jednak nie można pominąć dużego ryzyka związanego z </w:t>
      </w:r>
      <w:r w:rsidRPr="00F14DD3">
        <w:rPr>
          <w:b/>
        </w:rPr>
        <w:t>ograniczeniem wpływów finansowych z polityki spójności</w:t>
      </w:r>
      <w:r w:rsidRPr="00F14DD3">
        <w:t xml:space="preserve">, a w efekcie konieczności większej mobilizacji środków własnych samorządów (T3). Ponadto, </w:t>
      </w:r>
      <w:r w:rsidRPr="00F14DD3">
        <w:rPr>
          <w:b/>
        </w:rPr>
        <w:t xml:space="preserve">istniejące rozbieżności między polityką wspólnotową UE a </w:t>
      </w:r>
      <w:r w:rsidRPr="00F14DD3">
        <w:rPr>
          <w:b/>
        </w:rPr>
        <w:lastRenderedPageBreak/>
        <w:t>polityką krajową</w:t>
      </w:r>
      <w:r w:rsidRPr="00F14DD3">
        <w:t xml:space="preserve"> (w szczególności w zakresie polityki regionalnej) (T1) stanowią zagrożenie, które może osłabić działanie zidentyfikowanych szans (np. O1).</w:t>
      </w:r>
    </w:p>
    <w:p w14:paraId="37BAC880" w14:textId="11D90659" w:rsidR="00562AF8" w:rsidRDefault="00562AF8" w:rsidP="00562AF8">
      <w:pPr>
        <w:pStyle w:val="Legenda"/>
        <w:keepNext/>
        <w:jc w:val="center"/>
      </w:pPr>
      <w:bookmarkStart w:id="77" w:name="_Ref1947809"/>
      <w:bookmarkStart w:id="78" w:name="_Toc5699515"/>
      <w:r w:rsidRPr="0048580B">
        <w:t xml:space="preserve">Wykres </w:t>
      </w:r>
      <w:r w:rsidR="009D79CF" w:rsidRPr="69901DB0">
        <w:fldChar w:fldCharType="begin"/>
      </w:r>
      <w:r w:rsidR="009D79CF">
        <w:rPr>
          <w:noProof/>
        </w:rPr>
        <w:instrText xml:space="preserve"> SEQ Wykres \* ARABIC </w:instrText>
      </w:r>
      <w:r w:rsidR="009D79CF" w:rsidRPr="69901DB0">
        <w:rPr>
          <w:noProof/>
        </w:rPr>
        <w:fldChar w:fldCharType="separate"/>
      </w:r>
      <w:r w:rsidR="007F4FA2">
        <w:rPr>
          <w:noProof/>
        </w:rPr>
        <w:t>4</w:t>
      </w:r>
      <w:r w:rsidR="009D79CF" w:rsidRPr="69901DB0">
        <w:fldChar w:fldCharType="end"/>
      </w:r>
      <w:bookmarkEnd w:id="77"/>
      <w:r w:rsidRPr="0048580B">
        <w:t>. Elementy strategiczne analizy SWOT*</w:t>
      </w:r>
      <w:bookmarkEnd w:id="78"/>
    </w:p>
    <w:p w14:paraId="4DD547C4" w14:textId="4B3B39FF" w:rsidR="00092B63" w:rsidRPr="00092B63" w:rsidRDefault="00092B63" w:rsidP="00092B63">
      <w:pPr>
        <w:jc w:val="center"/>
        <w:rPr>
          <w:lang w:eastAsia="pl-PL"/>
        </w:rPr>
      </w:pPr>
      <w:r>
        <w:rPr>
          <w:noProof/>
          <w:lang w:eastAsia="pl-PL"/>
        </w:rPr>
        <w:drawing>
          <wp:inline distT="0" distB="0" distL="0" distR="0" wp14:anchorId="610CC5D5" wp14:editId="04B62724">
            <wp:extent cx="3733800" cy="2391657"/>
            <wp:effectExtent l="0" t="0" r="0" b="8890"/>
            <wp:docPr id="1620851100" name="Obraz 1620851100" descr="Wykres pokazuje elementy strategiczne analizy SWOT w kołach, których wielkość oznacza &quot;węzłowatość&quot; danego elementu, tzn. im większe koło, tym więcej interakcji generuje dany element" title="Wykres 4. Elementy strategiczne analizy SW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43324" cy="2397758"/>
                    </a:xfrm>
                    <a:prstGeom prst="rect">
                      <a:avLst/>
                    </a:prstGeom>
                  </pic:spPr>
                </pic:pic>
              </a:graphicData>
            </a:graphic>
          </wp:inline>
        </w:drawing>
      </w:r>
    </w:p>
    <w:p w14:paraId="134AAD2A" w14:textId="7B7DBCA2" w:rsidR="00562AF8" w:rsidRPr="00F91C07" w:rsidRDefault="00562AF8" w:rsidP="00F91C07">
      <w:pPr>
        <w:pStyle w:val="Akapitzlist"/>
        <w:numPr>
          <w:ilvl w:val="0"/>
          <w:numId w:val="0"/>
        </w:numPr>
        <w:tabs>
          <w:tab w:val="left" w:pos="1276"/>
        </w:tabs>
        <w:spacing w:line="240" w:lineRule="auto"/>
        <w:ind w:left="1276" w:right="1275"/>
        <w:rPr>
          <w:color w:val="auto"/>
          <w:sz w:val="16"/>
          <w:szCs w:val="16"/>
          <w:lang w:eastAsia="pl-PL"/>
        </w:rPr>
      </w:pPr>
      <w:r w:rsidRPr="00F91C07">
        <w:rPr>
          <w:sz w:val="16"/>
          <w:szCs w:val="16"/>
          <w:lang w:eastAsia="pl-PL"/>
        </w:rPr>
        <w:t xml:space="preserve">* wielkość koła </w:t>
      </w:r>
      <w:r w:rsidR="0076354C" w:rsidRPr="00F91C07">
        <w:rPr>
          <w:sz w:val="16"/>
          <w:szCs w:val="16"/>
          <w:lang w:eastAsia="pl-PL"/>
        </w:rPr>
        <w:t xml:space="preserve">oraz wartość procentowa </w:t>
      </w:r>
      <w:r w:rsidRPr="00F91C07">
        <w:rPr>
          <w:sz w:val="16"/>
          <w:szCs w:val="16"/>
          <w:lang w:eastAsia="pl-PL"/>
        </w:rPr>
        <w:t xml:space="preserve">odzwierciedla „węzłowatość” </w:t>
      </w:r>
      <w:r w:rsidRPr="00F91C07">
        <w:rPr>
          <w:color w:val="auto"/>
          <w:sz w:val="16"/>
          <w:szCs w:val="16"/>
          <w:lang w:eastAsia="pl-PL"/>
        </w:rPr>
        <w:t>danego elementu, tzn. im większe koło, tym więcej interakcji generuje dany element.</w:t>
      </w:r>
      <w:r w:rsidR="0076354C" w:rsidRPr="00F91C07">
        <w:rPr>
          <w:color w:val="auto"/>
          <w:sz w:val="16"/>
          <w:szCs w:val="16"/>
          <w:lang w:eastAsia="pl-PL"/>
        </w:rPr>
        <w:t xml:space="preserve"> Przykładowo, wartość</w:t>
      </w:r>
      <w:r w:rsidR="006C077A" w:rsidRPr="00F91C07">
        <w:rPr>
          <w:color w:val="auto"/>
          <w:sz w:val="16"/>
          <w:szCs w:val="16"/>
          <w:lang w:eastAsia="pl-PL"/>
        </w:rPr>
        <w:t xml:space="preserve"> 52% (</w:t>
      </w:r>
      <w:r w:rsidR="00CF1A93" w:rsidRPr="00F91C07">
        <w:rPr>
          <w:color w:val="auto"/>
          <w:sz w:val="16"/>
          <w:szCs w:val="16"/>
          <w:lang w:eastAsia="pl-PL"/>
        </w:rPr>
        <w:t xml:space="preserve">dla </w:t>
      </w:r>
      <w:r w:rsidR="006C077A" w:rsidRPr="00F91C07">
        <w:rPr>
          <w:color w:val="auto"/>
          <w:sz w:val="16"/>
          <w:szCs w:val="16"/>
          <w:lang w:eastAsia="pl-PL"/>
        </w:rPr>
        <w:t xml:space="preserve">S3) oznacza, że </w:t>
      </w:r>
      <w:r w:rsidR="00500F81" w:rsidRPr="00F91C07">
        <w:rPr>
          <w:color w:val="auto"/>
          <w:sz w:val="16"/>
          <w:szCs w:val="16"/>
          <w:lang w:eastAsia="pl-PL"/>
        </w:rPr>
        <w:t xml:space="preserve">element ten </w:t>
      </w:r>
      <w:r w:rsidR="00BA6DBE" w:rsidRPr="00F91C07">
        <w:rPr>
          <w:color w:val="auto"/>
          <w:sz w:val="16"/>
          <w:szCs w:val="16"/>
          <w:lang w:eastAsia="pl-PL"/>
        </w:rPr>
        <w:t xml:space="preserve">wchodzi w </w:t>
      </w:r>
      <w:r w:rsidR="00FA6EBE" w:rsidRPr="00F91C07">
        <w:rPr>
          <w:color w:val="auto"/>
          <w:sz w:val="16"/>
          <w:szCs w:val="16"/>
          <w:lang w:eastAsia="pl-PL"/>
        </w:rPr>
        <w:t>5</w:t>
      </w:r>
      <w:r w:rsidR="00483051" w:rsidRPr="00F91C07">
        <w:rPr>
          <w:color w:val="auto"/>
          <w:sz w:val="16"/>
          <w:szCs w:val="16"/>
          <w:lang w:eastAsia="pl-PL"/>
        </w:rPr>
        <w:t>2</w:t>
      </w:r>
      <w:r w:rsidR="00FA6EBE" w:rsidRPr="00F91C07">
        <w:rPr>
          <w:color w:val="auto"/>
          <w:sz w:val="16"/>
          <w:szCs w:val="16"/>
          <w:lang w:eastAsia="pl-PL"/>
        </w:rPr>
        <w:t>%</w:t>
      </w:r>
      <w:r w:rsidR="0043219B" w:rsidRPr="00F91C07">
        <w:rPr>
          <w:color w:val="auto"/>
          <w:sz w:val="16"/>
          <w:szCs w:val="16"/>
          <w:lang w:eastAsia="pl-PL"/>
        </w:rPr>
        <w:t xml:space="preserve"> </w:t>
      </w:r>
      <w:r w:rsidR="006035EE" w:rsidRPr="00F91C07">
        <w:rPr>
          <w:color w:val="auto"/>
          <w:sz w:val="16"/>
          <w:szCs w:val="16"/>
          <w:lang w:eastAsia="pl-PL"/>
        </w:rPr>
        <w:t xml:space="preserve">wszystkich możliwych </w:t>
      </w:r>
      <w:r w:rsidR="00FB3190" w:rsidRPr="00F91C07">
        <w:rPr>
          <w:color w:val="auto"/>
          <w:sz w:val="16"/>
          <w:szCs w:val="16"/>
          <w:lang w:eastAsia="pl-PL"/>
        </w:rPr>
        <w:t>interakcji w ramach analizy TOWS/SWOT</w:t>
      </w:r>
      <w:r w:rsidR="00BE2EEF" w:rsidRPr="00F91C07">
        <w:rPr>
          <w:color w:val="auto"/>
          <w:sz w:val="16"/>
          <w:szCs w:val="16"/>
          <w:lang w:eastAsia="pl-PL"/>
        </w:rPr>
        <w:t>.</w:t>
      </w:r>
    </w:p>
    <w:p w14:paraId="32E1DCD4" w14:textId="77777777" w:rsidR="00562AF8" w:rsidRPr="00212BD7" w:rsidRDefault="00562AF8" w:rsidP="00562AF8">
      <w:pPr>
        <w:jc w:val="center"/>
        <w:rPr>
          <w:sz w:val="16"/>
          <w:szCs w:val="16"/>
          <w:lang w:eastAsia="pl-PL"/>
        </w:rPr>
      </w:pPr>
      <w:r w:rsidRPr="00E61188">
        <w:rPr>
          <w:sz w:val="16"/>
          <w:szCs w:val="16"/>
          <w:lang w:eastAsia="pl-PL"/>
        </w:rPr>
        <w:t>Źródło: opracowanie własne na podstawie wyników analizy SWOT/TOWS.</w:t>
      </w:r>
    </w:p>
    <w:p w14:paraId="1DE1902D" w14:textId="428600B0" w:rsidR="00562AF8" w:rsidRDefault="00562AF8" w:rsidP="00562AF8">
      <w:r>
        <w:t xml:space="preserve">Układ strategicznych elementów w analizie SWOT/TOWS województwa wielkopolskiego wskazuje na dominację silnych stron wewnątrz województwa i szans w otoczeniu. Oparcie rozwoju w szczególności o kombinację tych elementów powinno dać największy i najlepszy efekt. Taki rodzaj strategii nazywany jest </w:t>
      </w:r>
      <w:r w:rsidRPr="005B252F">
        <w:rPr>
          <w:b/>
        </w:rPr>
        <w:t>strategią agresywną (maxi-maxi)</w:t>
      </w:r>
      <w:r>
        <w:rPr>
          <w:b/>
        </w:rPr>
        <w:t xml:space="preserve"> </w:t>
      </w:r>
      <w:r w:rsidRPr="001D61FF">
        <w:t>(</w:t>
      </w:r>
      <w:r w:rsidRPr="001D61FF">
        <w:fldChar w:fldCharType="begin"/>
      </w:r>
      <w:r w:rsidRPr="001D61FF">
        <w:instrText xml:space="preserve"> REF _Ref1969417 \h  \* MERGEFORMAT </w:instrText>
      </w:r>
      <w:r w:rsidRPr="001D61FF">
        <w:fldChar w:fldCharType="separate"/>
      </w:r>
      <w:r w:rsidR="007F4FA2" w:rsidRPr="007F4FA2">
        <w:rPr>
          <w:bCs/>
          <w:iCs/>
          <w:lang w:eastAsia="pl-PL"/>
        </w:rPr>
        <w:t>Tabela 10</w:t>
      </w:r>
      <w:r w:rsidR="007F4FA2">
        <w:t>.</w:t>
      </w:r>
      <w:r w:rsidRPr="001D61FF">
        <w:fldChar w:fldCharType="end"/>
      </w:r>
      <w:r w:rsidRPr="001D61FF">
        <w:t>), ponieważ</w:t>
      </w:r>
      <w:r>
        <w:t xml:space="preserve"> polega na wykorzystaniu efektu synergii występującego między silnymi stronami organizacji i szansami generowanymi przez otoczenie (Obłój 2001, s. 58</w:t>
      </w:r>
      <w:r w:rsidRPr="00AD23DC">
        <w:t xml:space="preserve">). </w:t>
      </w:r>
      <w:r w:rsidR="00AB3FA6" w:rsidRPr="00AD23DC">
        <w:t>W związku z tym, że strategia agresywna jest strategią silnej ekspansji i zdywersyfikowanego rozwoj</w:t>
      </w:r>
      <w:r w:rsidR="00564FA9" w:rsidRPr="00AD23DC">
        <w:t>u (i zdecydowanie wykracza poza podejmowanie zachowawczych działań) wiąże się także z pewnym ryzykiem</w:t>
      </w:r>
      <w:r w:rsidR="00547B6B" w:rsidRPr="00AD23DC">
        <w:t xml:space="preserve"> (większym niż w przypadku pozostałych typów strategii).</w:t>
      </w:r>
      <w:r w:rsidR="00547B6B">
        <w:t xml:space="preserve"> </w:t>
      </w:r>
    </w:p>
    <w:p w14:paraId="7164DC0C" w14:textId="5C0177CA" w:rsidR="00562AF8" w:rsidRPr="0048580B" w:rsidRDefault="002443D1" w:rsidP="002443D1">
      <w:pPr>
        <w:pStyle w:val="Legenda"/>
        <w:rPr>
          <w:b w:val="0"/>
          <w:bCs w:val="0"/>
          <w:i/>
          <w:iCs/>
        </w:rPr>
      </w:pPr>
      <w:bookmarkStart w:id="79" w:name="_Ref1969417"/>
      <w:bookmarkStart w:id="80" w:name="_Toc5699543"/>
      <w:r>
        <w:t xml:space="preserve">Tabela </w:t>
      </w:r>
      <w:r w:rsidR="009D79CF" w:rsidRPr="69901DB0">
        <w:fldChar w:fldCharType="begin"/>
      </w:r>
      <w:r w:rsidR="009D79CF">
        <w:rPr>
          <w:noProof/>
        </w:rPr>
        <w:instrText xml:space="preserve"> SEQ Tabela \* ARABIC </w:instrText>
      </w:r>
      <w:r w:rsidR="009D79CF" w:rsidRPr="69901DB0">
        <w:rPr>
          <w:noProof/>
        </w:rPr>
        <w:fldChar w:fldCharType="separate"/>
      </w:r>
      <w:r w:rsidR="007F4FA2">
        <w:rPr>
          <w:noProof/>
        </w:rPr>
        <w:t>10</w:t>
      </w:r>
      <w:r w:rsidR="009D79CF" w:rsidRPr="69901DB0">
        <w:fldChar w:fldCharType="end"/>
      </w:r>
      <w:r>
        <w:t>.</w:t>
      </w:r>
      <w:bookmarkEnd w:id="79"/>
      <w:r w:rsidR="00562AF8" w:rsidRPr="0048580B">
        <w:t xml:space="preserve"> Rodzaje strategii organizacji</w:t>
      </w:r>
      <w:bookmarkEnd w:id="80"/>
    </w:p>
    <w:tbl>
      <w:tblPr>
        <w:tblStyle w:val="Tabela-Siatka"/>
        <w:tblW w:w="89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ela 9. Rodzaje strategii organizacji"/>
        <w:tblDescription w:val="Tabela przedstawia 4 rodzaje strategii: agresywną, konkurencyjną, konserwatywną i defensywną."/>
      </w:tblPr>
      <w:tblGrid>
        <w:gridCol w:w="1985"/>
        <w:gridCol w:w="3402"/>
        <w:gridCol w:w="3538"/>
      </w:tblGrid>
      <w:tr w:rsidR="00562AF8" w14:paraId="3958E41C" w14:textId="77777777" w:rsidTr="00734085">
        <w:trPr>
          <w:trHeight w:val="375"/>
          <w:jc w:val="center"/>
        </w:trPr>
        <w:tc>
          <w:tcPr>
            <w:tcW w:w="1985" w:type="dxa"/>
            <w:shd w:val="clear" w:color="auto" w:fill="FFFFFF" w:themeFill="background1"/>
            <w:vAlign w:val="center"/>
          </w:tcPr>
          <w:p w14:paraId="455AA00F" w14:textId="77777777" w:rsidR="00562AF8" w:rsidRDefault="00562AF8" w:rsidP="00734085">
            <w:pPr>
              <w:spacing w:after="0"/>
              <w:jc w:val="center"/>
              <w:rPr>
                <w:b/>
                <w:sz w:val="18"/>
                <w:szCs w:val="18"/>
              </w:rPr>
            </w:pPr>
          </w:p>
        </w:tc>
        <w:tc>
          <w:tcPr>
            <w:tcW w:w="3402" w:type="dxa"/>
            <w:tcBorders>
              <w:bottom w:val="single" w:sz="2" w:space="0" w:color="F6BB00"/>
            </w:tcBorders>
            <w:shd w:val="clear" w:color="auto" w:fill="F6BB00"/>
            <w:vAlign w:val="center"/>
          </w:tcPr>
          <w:p w14:paraId="40BB4846" w14:textId="77777777" w:rsidR="00562AF8" w:rsidRDefault="00562AF8" w:rsidP="00734085">
            <w:pPr>
              <w:spacing w:after="0" w:line="240" w:lineRule="auto"/>
              <w:jc w:val="center"/>
              <w:rPr>
                <w:b/>
                <w:sz w:val="18"/>
                <w:szCs w:val="18"/>
              </w:rPr>
            </w:pPr>
            <w:r>
              <w:rPr>
                <w:b/>
                <w:sz w:val="18"/>
                <w:szCs w:val="18"/>
              </w:rPr>
              <w:t>SZANSE (O)</w:t>
            </w:r>
          </w:p>
        </w:tc>
        <w:tc>
          <w:tcPr>
            <w:tcW w:w="3538" w:type="dxa"/>
            <w:tcBorders>
              <w:bottom w:val="single" w:sz="2" w:space="0" w:color="F6BB00"/>
            </w:tcBorders>
            <w:shd w:val="clear" w:color="auto" w:fill="F6BB00"/>
            <w:vAlign w:val="center"/>
          </w:tcPr>
          <w:p w14:paraId="6BD083B0" w14:textId="77777777" w:rsidR="00562AF8" w:rsidRDefault="00562AF8" w:rsidP="00734085">
            <w:pPr>
              <w:spacing w:after="0" w:line="240" w:lineRule="auto"/>
              <w:jc w:val="center"/>
              <w:rPr>
                <w:b/>
                <w:sz w:val="18"/>
                <w:szCs w:val="18"/>
              </w:rPr>
            </w:pPr>
            <w:r>
              <w:rPr>
                <w:b/>
                <w:sz w:val="18"/>
                <w:szCs w:val="18"/>
              </w:rPr>
              <w:t>ZAGROŻENIA (T)</w:t>
            </w:r>
          </w:p>
        </w:tc>
      </w:tr>
      <w:tr w:rsidR="00562AF8" w:rsidRPr="005B252F" w14:paraId="039C2F92" w14:textId="77777777" w:rsidTr="00734085">
        <w:trPr>
          <w:trHeight w:val="431"/>
          <w:jc w:val="center"/>
        </w:trPr>
        <w:tc>
          <w:tcPr>
            <w:tcW w:w="1985" w:type="dxa"/>
            <w:tcBorders>
              <w:bottom w:val="single" w:sz="2" w:space="0" w:color="F6BB00"/>
            </w:tcBorders>
            <w:shd w:val="clear" w:color="auto" w:fill="FFC000" w:themeFill="accent4"/>
            <w:vAlign w:val="center"/>
          </w:tcPr>
          <w:p w14:paraId="2233D2AD" w14:textId="77777777" w:rsidR="00562AF8" w:rsidRPr="005B252F" w:rsidRDefault="00562AF8" w:rsidP="00734085">
            <w:pPr>
              <w:spacing w:after="0" w:line="240" w:lineRule="auto"/>
              <w:jc w:val="center"/>
              <w:rPr>
                <w:b/>
                <w:sz w:val="18"/>
                <w:szCs w:val="18"/>
              </w:rPr>
            </w:pPr>
            <w:r w:rsidRPr="005B252F">
              <w:rPr>
                <w:b/>
                <w:sz w:val="18"/>
                <w:szCs w:val="18"/>
              </w:rPr>
              <w:t>SILNE STRONY (S)</w:t>
            </w:r>
          </w:p>
        </w:tc>
        <w:tc>
          <w:tcPr>
            <w:tcW w:w="3402" w:type="dxa"/>
            <w:tcBorders>
              <w:top w:val="single" w:sz="2" w:space="0" w:color="F6BB00"/>
              <w:bottom w:val="single" w:sz="2" w:space="0" w:color="F6BB00"/>
            </w:tcBorders>
            <w:vAlign w:val="center"/>
          </w:tcPr>
          <w:p w14:paraId="3925FBC8" w14:textId="02D0C34D" w:rsidR="00562AF8" w:rsidRPr="001D61FF" w:rsidRDefault="00562AF8" w:rsidP="00734085">
            <w:pPr>
              <w:spacing w:after="0" w:line="240" w:lineRule="auto"/>
              <w:jc w:val="center"/>
              <w:rPr>
                <w:i/>
                <w:sz w:val="18"/>
                <w:szCs w:val="18"/>
              </w:rPr>
            </w:pPr>
            <w:r>
              <w:rPr>
                <w:b/>
                <w:i/>
                <w:sz w:val="18"/>
                <w:szCs w:val="18"/>
              </w:rPr>
              <w:t>s</w:t>
            </w:r>
            <w:r w:rsidRPr="001D61FF">
              <w:rPr>
                <w:b/>
                <w:i/>
                <w:sz w:val="18"/>
                <w:szCs w:val="18"/>
              </w:rPr>
              <w:t>trategia agresywna</w:t>
            </w:r>
            <w:r w:rsidRPr="001D61FF">
              <w:rPr>
                <w:i/>
                <w:sz w:val="18"/>
                <w:szCs w:val="18"/>
              </w:rPr>
              <w:t xml:space="preserve"> (maxi-maxi)</w:t>
            </w:r>
          </w:p>
        </w:tc>
        <w:tc>
          <w:tcPr>
            <w:tcW w:w="3538" w:type="dxa"/>
            <w:tcBorders>
              <w:top w:val="single" w:sz="2" w:space="0" w:color="F6BB00"/>
              <w:bottom w:val="single" w:sz="2" w:space="0" w:color="F6BB00"/>
            </w:tcBorders>
            <w:vAlign w:val="center"/>
          </w:tcPr>
          <w:p w14:paraId="013905B2" w14:textId="77777777" w:rsidR="00562AF8" w:rsidRPr="001D61FF" w:rsidRDefault="00562AF8" w:rsidP="00734085">
            <w:pPr>
              <w:spacing w:after="0" w:line="240" w:lineRule="auto"/>
              <w:jc w:val="center"/>
              <w:rPr>
                <w:i/>
                <w:sz w:val="18"/>
                <w:szCs w:val="18"/>
              </w:rPr>
            </w:pPr>
            <w:r w:rsidRPr="001D61FF">
              <w:rPr>
                <w:b/>
                <w:i/>
                <w:sz w:val="18"/>
                <w:szCs w:val="18"/>
              </w:rPr>
              <w:t>strategia konserwatywna</w:t>
            </w:r>
            <w:r w:rsidRPr="001D61FF">
              <w:rPr>
                <w:i/>
                <w:sz w:val="18"/>
                <w:szCs w:val="18"/>
              </w:rPr>
              <w:t xml:space="preserve"> (maxi-mini)</w:t>
            </w:r>
          </w:p>
        </w:tc>
      </w:tr>
      <w:tr w:rsidR="00562AF8" w:rsidRPr="005B252F" w14:paraId="0E4083F4" w14:textId="77777777" w:rsidTr="00734085">
        <w:trPr>
          <w:trHeight w:val="423"/>
          <w:jc w:val="center"/>
        </w:trPr>
        <w:tc>
          <w:tcPr>
            <w:tcW w:w="1985" w:type="dxa"/>
            <w:tcBorders>
              <w:top w:val="single" w:sz="2" w:space="0" w:color="F6BB00"/>
              <w:bottom w:val="single" w:sz="2" w:space="0" w:color="F6BB00"/>
            </w:tcBorders>
            <w:shd w:val="clear" w:color="auto" w:fill="FFC000" w:themeFill="accent4"/>
            <w:vAlign w:val="center"/>
          </w:tcPr>
          <w:p w14:paraId="19D9A678" w14:textId="77777777" w:rsidR="00562AF8" w:rsidRPr="005B252F" w:rsidRDefault="00562AF8" w:rsidP="00734085">
            <w:pPr>
              <w:spacing w:after="0" w:line="240" w:lineRule="auto"/>
              <w:jc w:val="center"/>
              <w:rPr>
                <w:b/>
                <w:sz w:val="18"/>
                <w:szCs w:val="18"/>
              </w:rPr>
            </w:pPr>
            <w:r w:rsidRPr="005B252F">
              <w:rPr>
                <w:b/>
                <w:sz w:val="18"/>
                <w:szCs w:val="18"/>
              </w:rPr>
              <w:t>SŁABE STRONY (W)</w:t>
            </w:r>
          </w:p>
        </w:tc>
        <w:tc>
          <w:tcPr>
            <w:tcW w:w="3402" w:type="dxa"/>
            <w:tcBorders>
              <w:top w:val="single" w:sz="2" w:space="0" w:color="F6BB00"/>
              <w:bottom w:val="single" w:sz="2" w:space="0" w:color="F6BB00"/>
            </w:tcBorders>
            <w:vAlign w:val="center"/>
          </w:tcPr>
          <w:p w14:paraId="4DD411EF" w14:textId="77777777" w:rsidR="00562AF8" w:rsidRPr="001D61FF" w:rsidRDefault="00562AF8" w:rsidP="00734085">
            <w:pPr>
              <w:spacing w:after="0" w:line="240" w:lineRule="auto"/>
              <w:jc w:val="center"/>
              <w:rPr>
                <w:i/>
                <w:sz w:val="18"/>
                <w:szCs w:val="18"/>
              </w:rPr>
            </w:pPr>
            <w:r w:rsidRPr="001D61FF">
              <w:rPr>
                <w:b/>
                <w:i/>
                <w:sz w:val="18"/>
                <w:szCs w:val="18"/>
              </w:rPr>
              <w:t>strategia konkurencyjna</w:t>
            </w:r>
            <w:r w:rsidRPr="001D61FF">
              <w:rPr>
                <w:i/>
                <w:sz w:val="18"/>
                <w:szCs w:val="18"/>
              </w:rPr>
              <w:t xml:space="preserve"> (mini-maxi)</w:t>
            </w:r>
          </w:p>
        </w:tc>
        <w:tc>
          <w:tcPr>
            <w:tcW w:w="3538" w:type="dxa"/>
            <w:tcBorders>
              <w:top w:val="single" w:sz="2" w:space="0" w:color="F6BB00"/>
              <w:bottom w:val="single" w:sz="2" w:space="0" w:color="F6BB00"/>
            </w:tcBorders>
            <w:vAlign w:val="center"/>
          </w:tcPr>
          <w:p w14:paraId="5BC0CB34" w14:textId="77777777" w:rsidR="00562AF8" w:rsidRPr="001D61FF" w:rsidRDefault="00562AF8" w:rsidP="00734085">
            <w:pPr>
              <w:spacing w:after="0" w:line="240" w:lineRule="auto"/>
              <w:jc w:val="center"/>
              <w:rPr>
                <w:i/>
                <w:sz w:val="18"/>
                <w:szCs w:val="18"/>
              </w:rPr>
            </w:pPr>
            <w:r w:rsidRPr="001D61FF">
              <w:rPr>
                <w:b/>
                <w:i/>
                <w:sz w:val="18"/>
                <w:szCs w:val="18"/>
              </w:rPr>
              <w:t>strategia defensywna</w:t>
            </w:r>
            <w:r w:rsidRPr="001D61FF">
              <w:rPr>
                <w:i/>
                <w:sz w:val="18"/>
                <w:szCs w:val="18"/>
              </w:rPr>
              <w:t xml:space="preserve"> (mini-mini)</w:t>
            </w:r>
          </w:p>
        </w:tc>
      </w:tr>
    </w:tbl>
    <w:p w14:paraId="5C12D6FE" w14:textId="77777777" w:rsidR="00562AF8" w:rsidRPr="00792669" w:rsidRDefault="00562AF8" w:rsidP="00792669">
      <w:pPr>
        <w:jc w:val="center"/>
        <w:rPr>
          <w:sz w:val="16"/>
          <w:szCs w:val="16"/>
          <w:lang w:eastAsia="pl-PL"/>
        </w:rPr>
      </w:pPr>
      <w:r w:rsidRPr="00E61188">
        <w:rPr>
          <w:sz w:val="16"/>
          <w:szCs w:val="16"/>
          <w:lang w:eastAsia="pl-PL"/>
        </w:rPr>
        <w:t xml:space="preserve">Źródło: </w:t>
      </w:r>
      <w:r>
        <w:rPr>
          <w:sz w:val="16"/>
          <w:szCs w:val="16"/>
          <w:lang w:eastAsia="pl-PL"/>
        </w:rPr>
        <w:t>Obłój 2001, s. 58.</w:t>
      </w:r>
    </w:p>
    <w:p w14:paraId="59CEC6AF" w14:textId="77777777" w:rsidR="00562AF8" w:rsidRDefault="00792669" w:rsidP="00792669">
      <w:pPr>
        <w:pStyle w:val="Nagwek2"/>
      </w:pPr>
      <w:bookmarkStart w:id="81" w:name="_Toc5699452"/>
      <w:r>
        <w:t xml:space="preserve">Cele </w:t>
      </w:r>
      <w:r w:rsidR="00CD4FD1">
        <w:t>S</w:t>
      </w:r>
      <w:r>
        <w:t>trategi</w:t>
      </w:r>
      <w:r w:rsidR="00CD4FD1">
        <w:t>i</w:t>
      </w:r>
      <w:bookmarkEnd w:id="81"/>
    </w:p>
    <w:p w14:paraId="6CA8FD71" w14:textId="17DFE21C" w:rsidR="00734085" w:rsidRDefault="004E6832" w:rsidP="004E6832">
      <w:pPr>
        <w:rPr>
          <w:lang w:eastAsia="pl-PL"/>
        </w:rPr>
      </w:pPr>
      <w:r>
        <w:rPr>
          <w:lang w:eastAsia="pl-PL"/>
        </w:rPr>
        <w:t xml:space="preserve">Strategia Wielkopolska 2020 posiada hierarchiczny układ celów. Wyróżniono jeden cel generalny, </w:t>
      </w:r>
      <w:r w:rsidR="00EE2EEA">
        <w:rPr>
          <w:lang w:eastAsia="pl-PL"/>
        </w:rPr>
        <w:t>następnie dziewięć celów strategicznych, a w każdym z nich cele operacyjne. W tej części ewaluacji skoncentrowano się na prezentacji statystyk świadczących o stopniu realizacji cel</w:t>
      </w:r>
      <w:r w:rsidR="009D3EDA">
        <w:rPr>
          <w:lang w:eastAsia="pl-PL"/>
        </w:rPr>
        <w:t>u</w:t>
      </w:r>
      <w:r w:rsidR="00EE2EEA">
        <w:rPr>
          <w:lang w:eastAsia="pl-PL"/>
        </w:rPr>
        <w:t xml:space="preserve"> generalnego i celów strategicznych, ponieważ na tym poziomie określono wskaźniki służące do monitorowania postępów we wdrażaniu SRWW 2020.</w:t>
      </w:r>
    </w:p>
    <w:p w14:paraId="02F20738" w14:textId="77777777" w:rsidR="00734085" w:rsidRDefault="00734085">
      <w:pPr>
        <w:spacing w:after="0" w:line="240" w:lineRule="auto"/>
        <w:jc w:val="left"/>
        <w:rPr>
          <w:lang w:eastAsia="pl-PL"/>
        </w:rPr>
      </w:pPr>
      <w:r>
        <w:rPr>
          <w:lang w:eastAsia="pl-PL"/>
        </w:rPr>
        <w:br w:type="page"/>
      </w:r>
    </w:p>
    <w:p w14:paraId="2A0FB809" w14:textId="77777777" w:rsidR="006828EB" w:rsidRDefault="006828EB" w:rsidP="006828EB">
      <w:pPr>
        <w:pStyle w:val="Nagwek3"/>
      </w:pPr>
      <w:bookmarkStart w:id="82" w:name="_Toc5699453"/>
      <w:r>
        <w:lastRenderedPageBreak/>
        <w:t>Cel generalny i jego istota</w:t>
      </w:r>
      <w:bookmarkEnd w:id="82"/>
    </w:p>
    <w:p w14:paraId="3813FEF9" w14:textId="77777777" w:rsidR="004E6832" w:rsidRPr="00BF08D5" w:rsidRDefault="004E6832" w:rsidP="00BF08D5">
      <w:pPr>
        <w:ind w:left="4536"/>
        <w:jc w:val="left"/>
        <w:rPr>
          <w:b/>
          <w:i/>
          <w:color w:val="001E50"/>
        </w:rPr>
      </w:pPr>
      <w:r w:rsidRPr="00BF08D5">
        <w:rPr>
          <w:b/>
          <w:i/>
          <w:color w:val="001E50"/>
        </w:rPr>
        <w:t xml:space="preserve">Cel generalny </w:t>
      </w:r>
      <w:r w:rsidR="006828EB" w:rsidRPr="00BF08D5">
        <w:rPr>
          <w:b/>
          <w:i/>
          <w:color w:val="001E50"/>
        </w:rPr>
        <w:t xml:space="preserve">w SRWW 2020 </w:t>
      </w:r>
      <w:r w:rsidRPr="00BF08D5">
        <w:rPr>
          <w:b/>
          <w:i/>
          <w:color w:val="001E50"/>
        </w:rPr>
        <w:t>jest ponadczasowy</w:t>
      </w:r>
    </w:p>
    <w:p w14:paraId="722957CB" w14:textId="77777777" w:rsidR="004E6832" w:rsidRDefault="004E6832" w:rsidP="004E6832">
      <w:pPr>
        <w:rPr>
          <w:lang w:eastAsia="pl-PL"/>
        </w:rPr>
      </w:pPr>
      <w:r>
        <w:rPr>
          <w:lang w:eastAsia="pl-PL"/>
        </w:rPr>
        <w:t xml:space="preserve">Cel generalny w SRWW 2020 </w:t>
      </w:r>
      <w:r w:rsidR="006828EB">
        <w:rPr>
          <w:lang w:eastAsia="pl-PL"/>
        </w:rPr>
        <w:t xml:space="preserve">jest </w:t>
      </w:r>
      <w:r>
        <w:rPr>
          <w:lang w:eastAsia="pl-PL"/>
        </w:rPr>
        <w:t>sformułowany następująco (s. 74):</w:t>
      </w:r>
    </w:p>
    <w:p w14:paraId="3719EF92" w14:textId="77777777" w:rsidR="004E6832" w:rsidRPr="00611C6B" w:rsidRDefault="004E6832" w:rsidP="00EE2EEA">
      <w:pPr>
        <w:shd w:val="clear" w:color="auto" w:fill="FFE599"/>
        <w:rPr>
          <w:i/>
        </w:rPr>
      </w:pPr>
      <w:r w:rsidRPr="00A23849">
        <w:rPr>
          <w:i/>
        </w:rPr>
        <w:t>Efektywne wykorzystanie potencjałów rozwojowych na rzecz wzrostu</w:t>
      </w:r>
      <w:r>
        <w:rPr>
          <w:i/>
        </w:rPr>
        <w:t xml:space="preserve"> </w:t>
      </w:r>
      <w:r w:rsidRPr="00A23849">
        <w:rPr>
          <w:i/>
        </w:rPr>
        <w:t>konkurencyjności województwa, słu</w:t>
      </w:r>
      <w:r>
        <w:rPr>
          <w:i/>
        </w:rPr>
        <w:t>ż</w:t>
      </w:r>
      <w:r w:rsidRPr="00A23849">
        <w:rPr>
          <w:i/>
        </w:rPr>
        <w:t xml:space="preserve">ące poprawie jakości </w:t>
      </w:r>
      <w:r>
        <w:rPr>
          <w:i/>
        </w:rPr>
        <w:t>ż</w:t>
      </w:r>
      <w:r w:rsidRPr="00A23849">
        <w:rPr>
          <w:i/>
        </w:rPr>
        <w:t>ycia</w:t>
      </w:r>
      <w:r>
        <w:rPr>
          <w:i/>
        </w:rPr>
        <w:t xml:space="preserve"> </w:t>
      </w:r>
      <w:r w:rsidRPr="00A23849">
        <w:rPr>
          <w:i/>
        </w:rPr>
        <w:t>mieszkańców w warunkach zrównowa</w:t>
      </w:r>
      <w:r>
        <w:rPr>
          <w:i/>
        </w:rPr>
        <w:t>ż</w:t>
      </w:r>
      <w:r w:rsidRPr="00A23849">
        <w:rPr>
          <w:i/>
        </w:rPr>
        <w:t>onego rozwoju</w:t>
      </w:r>
    </w:p>
    <w:p w14:paraId="7908925F" w14:textId="4252F62F" w:rsidR="004E6832" w:rsidRDefault="416AC848" w:rsidP="004E6832">
      <w:pPr>
        <w:rPr>
          <w:lang w:eastAsia="pl-PL"/>
        </w:rPr>
      </w:pPr>
      <w:r w:rsidRPr="416AC848">
        <w:rPr>
          <w:lang w:eastAsia="pl-PL"/>
        </w:rPr>
        <w:t xml:space="preserve">Cel </w:t>
      </w:r>
      <w:r w:rsidR="004E6832">
        <w:rPr>
          <w:lang w:eastAsia="pl-PL"/>
        </w:rPr>
        <w:t>ten podejmuje cztery ważne zagadnienia:</w:t>
      </w:r>
      <w:r w:rsidR="00EE2EEA">
        <w:rPr>
          <w:lang w:eastAsia="pl-PL"/>
        </w:rPr>
        <w:t xml:space="preserve"> </w:t>
      </w:r>
      <w:r w:rsidR="004E6832">
        <w:rPr>
          <w:lang w:eastAsia="pl-PL"/>
        </w:rPr>
        <w:t>potencjały rozwojowe</w:t>
      </w:r>
      <w:r w:rsidR="001E5C00">
        <w:rPr>
          <w:lang w:eastAsia="pl-PL"/>
        </w:rPr>
        <w:t xml:space="preserve">, </w:t>
      </w:r>
      <w:r w:rsidR="004E6832">
        <w:rPr>
          <w:lang w:eastAsia="pl-PL"/>
        </w:rPr>
        <w:t>konkurencyjność</w:t>
      </w:r>
      <w:r w:rsidR="001E5C00">
        <w:rPr>
          <w:lang w:eastAsia="pl-PL"/>
        </w:rPr>
        <w:t xml:space="preserve">, </w:t>
      </w:r>
      <w:r w:rsidR="00EE2EEA">
        <w:rPr>
          <w:lang w:eastAsia="pl-PL"/>
        </w:rPr>
        <w:t xml:space="preserve">jakość życia oraz </w:t>
      </w:r>
      <w:r w:rsidR="004E6832">
        <w:rPr>
          <w:lang w:eastAsia="pl-PL"/>
        </w:rPr>
        <w:t>rozwój zrównoważony.</w:t>
      </w:r>
      <w:r w:rsidR="00EE2EEA">
        <w:rPr>
          <w:lang w:eastAsia="pl-PL"/>
        </w:rPr>
        <w:t xml:space="preserve"> </w:t>
      </w:r>
      <w:r w:rsidR="004E6832">
        <w:rPr>
          <w:lang w:eastAsia="pl-PL"/>
        </w:rPr>
        <w:t>Bez głębszej analizy treści wypełniającej znaczenie każdego z tych elementów można stwierdzić wysoką zbieżność takiego podejścia np. z aktualnym projektem KSRR2030, w której cel główny mówi o:</w:t>
      </w:r>
    </w:p>
    <w:p w14:paraId="58E43AA6" w14:textId="77777777" w:rsidR="004E6832" w:rsidRDefault="004E6832" w:rsidP="00512544">
      <w:pPr>
        <w:pStyle w:val="Akapitzlist"/>
        <w:numPr>
          <w:ilvl w:val="0"/>
          <w:numId w:val="25"/>
        </w:numPr>
        <w:rPr>
          <w:lang w:eastAsia="pl-PL"/>
        </w:rPr>
      </w:pPr>
      <w:r>
        <w:rPr>
          <w:lang w:eastAsia="pl-PL"/>
        </w:rPr>
        <w:t>efektywnym wykorzystaniu endogenicznych potencjałów terytoriów i ich specjalizacji;</w:t>
      </w:r>
    </w:p>
    <w:p w14:paraId="46AAE120" w14:textId="77777777" w:rsidR="004E6832" w:rsidRDefault="004E6832" w:rsidP="00512544">
      <w:pPr>
        <w:pStyle w:val="Akapitzlist"/>
        <w:numPr>
          <w:ilvl w:val="0"/>
          <w:numId w:val="25"/>
        </w:numPr>
        <w:rPr>
          <w:lang w:eastAsia="pl-PL"/>
        </w:rPr>
      </w:pPr>
      <w:r>
        <w:rPr>
          <w:lang w:eastAsia="pl-PL"/>
        </w:rPr>
        <w:t>zrównoważonym rozwoju;</w:t>
      </w:r>
    </w:p>
    <w:p w14:paraId="248B54E7" w14:textId="77777777" w:rsidR="004E6832" w:rsidRDefault="004E6832" w:rsidP="00512544">
      <w:pPr>
        <w:pStyle w:val="Akapitzlist"/>
        <w:numPr>
          <w:ilvl w:val="0"/>
          <w:numId w:val="25"/>
        </w:numPr>
        <w:rPr>
          <w:lang w:eastAsia="pl-PL"/>
        </w:rPr>
      </w:pPr>
      <w:r>
        <w:rPr>
          <w:lang w:eastAsia="pl-PL"/>
        </w:rPr>
        <w:t>wzroście dochodów mieszkańców (jako docenienie tego aspektu jakości życia);</w:t>
      </w:r>
    </w:p>
    <w:p w14:paraId="1044F850" w14:textId="77777777" w:rsidR="004E6832" w:rsidRDefault="004E6832" w:rsidP="00512544">
      <w:pPr>
        <w:pStyle w:val="Akapitzlist"/>
        <w:numPr>
          <w:ilvl w:val="0"/>
          <w:numId w:val="25"/>
        </w:numPr>
        <w:rPr>
          <w:lang w:eastAsia="pl-PL"/>
        </w:rPr>
      </w:pPr>
      <w:r>
        <w:rPr>
          <w:lang w:eastAsia="pl-PL"/>
        </w:rPr>
        <w:t>spójności w wymiarze społecznym, gospodarczym i przestrzennym.</w:t>
      </w:r>
    </w:p>
    <w:p w14:paraId="40F6D919" w14:textId="3C49FFCD" w:rsidR="004E6832" w:rsidRDefault="004E6832" w:rsidP="004E6832">
      <w:pPr>
        <w:rPr>
          <w:lang w:eastAsia="pl-PL"/>
        </w:rPr>
      </w:pPr>
      <w:r>
        <w:rPr>
          <w:lang w:eastAsia="pl-PL"/>
        </w:rPr>
        <w:t xml:space="preserve">Biorąc pod uwagę różne nurty dyskusji o </w:t>
      </w:r>
      <w:r w:rsidR="001E5C00">
        <w:rPr>
          <w:lang w:eastAsia="pl-PL"/>
        </w:rPr>
        <w:t xml:space="preserve">podstawie </w:t>
      </w:r>
      <w:r>
        <w:rPr>
          <w:lang w:eastAsia="pl-PL"/>
        </w:rPr>
        <w:t>rozwoju państw i regionów z łatwością odnajdziemy w nich zagadnienia podejmowane w obecnym celu generalnym SRWW 2020. Jednocześnie w dobie kreowania różnych mód na chwytliwe wyrażenia w dłuższej perspektywie</w:t>
      </w:r>
      <w:r w:rsidR="416AC848" w:rsidRPr="416AC848">
        <w:rPr>
          <w:lang w:eastAsia="pl-PL"/>
        </w:rPr>
        <w:t xml:space="preserve"> ryzykowne</w:t>
      </w:r>
      <w:r>
        <w:rPr>
          <w:lang w:eastAsia="pl-PL"/>
        </w:rPr>
        <w:t xml:space="preserve"> może okazać się przywiązywanie się do nawet najbardziej atrakcyjnych sformułowań (nie wiemy jak długo przetrwa w głównym nurcie wyrażenie „inteligentna specjalizacja”, ponieważ już obecnie widać, że na drugi plan zeszły takie hasła, jak klastry czy klasa kreatywna).</w:t>
      </w:r>
    </w:p>
    <w:p w14:paraId="58F36B39" w14:textId="77777777" w:rsidR="004E6832" w:rsidRDefault="004E6832" w:rsidP="004E6832">
      <w:pPr>
        <w:rPr>
          <w:lang w:eastAsia="pl-PL"/>
        </w:rPr>
      </w:pPr>
      <w:r>
        <w:rPr>
          <w:lang w:eastAsia="pl-PL"/>
        </w:rPr>
        <w:t>Z punktu widzenia relacji między różnymi częściami Strategii, cel generalny powinien mieć najsilniejszy związek z wizją rozwoju, nie musi jednak wynikać z analizy SWOT – do niej odwołują się raczej cele strategiczne i operacyjne. Można przyjąć, że funkcją celu generalnego jest „syntetyczna kwantyfikacja” wizji rozwoju. O ile wizja nie podlega ocenie SMART, o tyle cele już tak. Zatem nawiązując do wizji (rozmytego obrazu pożądanej przyszłości), cel generalny powinien być</w:t>
      </w:r>
      <w:r w:rsidR="00EE2EEA">
        <w:rPr>
          <w:lang w:eastAsia="pl-PL"/>
        </w:rPr>
        <w:t xml:space="preserve"> „SMART”, czyli </w:t>
      </w:r>
      <w:r>
        <w:rPr>
          <w:lang w:eastAsia="pl-PL"/>
        </w:rPr>
        <w:t>S – specyficzny;</w:t>
      </w:r>
      <w:r w:rsidR="00EE2EEA">
        <w:rPr>
          <w:lang w:eastAsia="pl-PL"/>
        </w:rPr>
        <w:t xml:space="preserve"> </w:t>
      </w:r>
      <w:r>
        <w:rPr>
          <w:lang w:eastAsia="pl-PL"/>
        </w:rPr>
        <w:t>M – mierzalny;</w:t>
      </w:r>
      <w:r w:rsidR="00EE2EEA">
        <w:rPr>
          <w:lang w:eastAsia="pl-PL"/>
        </w:rPr>
        <w:t xml:space="preserve"> </w:t>
      </w:r>
      <w:r>
        <w:rPr>
          <w:lang w:eastAsia="pl-PL"/>
        </w:rPr>
        <w:t>A – osiągalny;</w:t>
      </w:r>
      <w:r w:rsidR="00EE2EEA">
        <w:rPr>
          <w:lang w:eastAsia="pl-PL"/>
        </w:rPr>
        <w:t xml:space="preserve"> </w:t>
      </w:r>
      <w:r>
        <w:rPr>
          <w:lang w:eastAsia="pl-PL"/>
        </w:rPr>
        <w:t xml:space="preserve">R – </w:t>
      </w:r>
      <w:r w:rsidR="00EE2EEA">
        <w:rPr>
          <w:lang w:eastAsia="pl-PL"/>
        </w:rPr>
        <w:t>istotny</w:t>
      </w:r>
      <w:r>
        <w:rPr>
          <w:lang w:eastAsia="pl-PL"/>
        </w:rPr>
        <w:t>;</w:t>
      </w:r>
      <w:r w:rsidR="00EE2EEA">
        <w:rPr>
          <w:lang w:eastAsia="pl-PL"/>
        </w:rPr>
        <w:t xml:space="preserve"> </w:t>
      </w:r>
      <w:r>
        <w:rPr>
          <w:lang w:eastAsia="pl-PL"/>
        </w:rPr>
        <w:t>T – określony w czasie</w:t>
      </w:r>
      <w:r w:rsidR="00EE2EEA">
        <w:rPr>
          <w:rStyle w:val="Odwoanieprzypisudolnego"/>
          <w:lang w:eastAsia="pl-PL"/>
        </w:rPr>
        <w:footnoteReference w:id="13"/>
      </w:r>
      <w:r>
        <w:rPr>
          <w:lang w:eastAsia="pl-PL"/>
        </w:rPr>
        <w:t>.</w:t>
      </w:r>
    </w:p>
    <w:p w14:paraId="0D654D11" w14:textId="726542FE" w:rsidR="004E6832" w:rsidRDefault="004E6832" w:rsidP="004E6832">
      <w:pPr>
        <w:rPr>
          <w:lang w:eastAsia="pl-PL"/>
        </w:rPr>
      </w:pPr>
      <w:r>
        <w:rPr>
          <w:lang w:eastAsia="pl-PL"/>
        </w:rPr>
        <w:t xml:space="preserve">Zakładając, że strategia organizacji służy </w:t>
      </w:r>
      <w:r w:rsidR="006828EB">
        <w:rPr>
          <w:lang w:eastAsia="pl-PL"/>
        </w:rPr>
        <w:t xml:space="preserve">ogólnie </w:t>
      </w:r>
      <w:r>
        <w:rPr>
          <w:lang w:eastAsia="pl-PL"/>
        </w:rPr>
        <w:t>wzmacnianiu potencjałów wewnętrznych oraz umiejętnej (odpowiedniej) reakcji na zmieniające się uwarunkowania zewnętrzne, w celu generalnym nie musimy odnosić się do tych dwóch wymiarów (wewnętrzn</w:t>
      </w:r>
      <w:r w:rsidR="00015605">
        <w:rPr>
          <w:lang w:eastAsia="pl-PL"/>
        </w:rPr>
        <w:t>ego</w:t>
      </w:r>
      <w:r>
        <w:rPr>
          <w:lang w:eastAsia="pl-PL"/>
        </w:rPr>
        <w:t xml:space="preserve"> i zewnętrzn</w:t>
      </w:r>
      <w:r w:rsidR="00015605">
        <w:rPr>
          <w:lang w:eastAsia="pl-PL"/>
        </w:rPr>
        <w:t>ego</w:t>
      </w:r>
      <w:r>
        <w:rPr>
          <w:lang w:eastAsia="pl-PL"/>
        </w:rPr>
        <w:t>). Na uwarunkowania wewnętrzne i zewnętrzne powinny być ukierunkowane cele niższego rzędu, z</w:t>
      </w:r>
      <w:r w:rsidR="006828EB">
        <w:rPr>
          <w:lang w:eastAsia="pl-PL"/>
        </w:rPr>
        <w:t>godnie z wynikami analizy SWOT.</w:t>
      </w:r>
    </w:p>
    <w:p w14:paraId="024A331C" w14:textId="64AFBE91" w:rsidR="006828EB" w:rsidRPr="00562AF8" w:rsidRDefault="006828EB" w:rsidP="00BF08D5">
      <w:pPr>
        <w:ind w:left="4536"/>
        <w:jc w:val="left"/>
        <w:rPr>
          <w:b/>
          <w:i/>
          <w:color w:val="001E50"/>
        </w:rPr>
      </w:pPr>
      <w:r>
        <w:rPr>
          <w:b/>
          <w:i/>
          <w:color w:val="001E50"/>
        </w:rPr>
        <w:t>Województwo wielkopolskie z</w:t>
      </w:r>
      <w:r w:rsidR="00097C5A">
        <w:rPr>
          <w:b/>
          <w:i/>
          <w:color w:val="001E50"/>
        </w:rPr>
        <w:t xml:space="preserve">mienia się zgonie z kierunkami </w:t>
      </w:r>
      <w:r>
        <w:rPr>
          <w:b/>
          <w:i/>
          <w:color w:val="001E50"/>
        </w:rPr>
        <w:t>zał</w:t>
      </w:r>
      <w:r w:rsidR="00097C5A">
        <w:rPr>
          <w:b/>
          <w:i/>
          <w:color w:val="001E50"/>
        </w:rPr>
        <w:t xml:space="preserve">ożonymi we </w:t>
      </w:r>
      <w:r>
        <w:rPr>
          <w:b/>
          <w:i/>
          <w:color w:val="001E50"/>
        </w:rPr>
        <w:t>wskaźnik</w:t>
      </w:r>
      <w:r w:rsidR="00097C5A">
        <w:rPr>
          <w:b/>
          <w:i/>
          <w:color w:val="001E50"/>
        </w:rPr>
        <w:t>ach</w:t>
      </w:r>
      <w:r>
        <w:rPr>
          <w:b/>
          <w:i/>
          <w:color w:val="001E50"/>
        </w:rPr>
        <w:t xml:space="preserve"> celu generalnego</w:t>
      </w:r>
    </w:p>
    <w:p w14:paraId="739779E8" w14:textId="37D62B1B" w:rsidR="004E6832" w:rsidRDefault="004E6832" w:rsidP="004E6832">
      <w:pPr>
        <w:spacing w:after="160" w:line="259" w:lineRule="auto"/>
        <w:rPr>
          <w:lang w:eastAsia="pl-PL"/>
        </w:rPr>
      </w:pPr>
      <w:r>
        <w:rPr>
          <w:lang w:eastAsia="pl-PL"/>
        </w:rPr>
        <w:t>Na podstawie analizy zmian wartości wskaźników celu g</w:t>
      </w:r>
      <w:r w:rsidR="006828EB">
        <w:rPr>
          <w:lang w:eastAsia="pl-PL"/>
        </w:rPr>
        <w:t xml:space="preserve">eneralnego </w:t>
      </w:r>
      <w:r>
        <w:rPr>
          <w:lang w:eastAsia="pl-PL"/>
        </w:rPr>
        <w:t>(</w:t>
      </w:r>
      <w:r>
        <w:rPr>
          <w:lang w:eastAsia="pl-PL"/>
        </w:rPr>
        <w:fldChar w:fldCharType="begin"/>
      </w:r>
      <w:r>
        <w:rPr>
          <w:lang w:eastAsia="pl-PL"/>
        </w:rPr>
        <w:instrText xml:space="preserve"> REF _Ref536310744 \h </w:instrText>
      </w:r>
      <w:r>
        <w:rPr>
          <w:lang w:eastAsia="pl-PL"/>
        </w:rPr>
      </w:r>
      <w:r>
        <w:rPr>
          <w:lang w:eastAsia="pl-PL"/>
        </w:rPr>
        <w:fldChar w:fldCharType="separate"/>
      </w:r>
      <w:r w:rsidR="007F4FA2">
        <w:t xml:space="preserve">Tabela </w:t>
      </w:r>
      <w:r w:rsidR="007F4FA2">
        <w:rPr>
          <w:noProof/>
        </w:rPr>
        <w:t>11</w:t>
      </w:r>
      <w:r>
        <w:rPr>
          <w:lang w:eastAsia="pl-PL"/>
        </w:rPr>
        <w:fldChar w:fldCharType="end"/>
      </w:r>
      <w:r>
        <w:rPr>
          <w:lang w:eastAsia="pl-PL"/>
        </w:rPr>
        <w:t>) moż</w:t>
      </w:r>
      <w:r w:rsidR="006828EB">
        <w:rPr>
          <w:lang w:eastAsia="pl-PL"/>
        </w:rPr>
        <w:t>na</w:t>
      </w:r>
      <w:r>
        <w:rPr>
          <w:lang w:eastAsia="pl-PL"/>
        </w:rPr>
        <w:t xml:space="preserve"> sformułować następująca hipotezę: </w:t>
      </w:r>
      <w:r w:rsidRPr="00647227">
        <w:rPr>
          <w:b/>
          <w:lang w:eastAsia="pl-PL"/>
        </w:rPr>
        <w:t xml:space="preserve">w województwie wielkopolskim </w:t>
      </w:r>
      <w:r w:rsidR="006828EB">
        <w:rPr>
          <w:b/>
          <w:lang w:eastAsia="pl-PL"/>
        </w:rPr>
        <w:t xml:space="preserve">następuje </w:t>
      </w:r>
      <w:r w:rsidRPr="00647227">
        <w:rPr>
          <w:b/>
          <w:lang w:eastAsia="pl-PL"/>
        </w:rPr>
        <w:t>popraw</w:t>
      </w:r>
      <w:r w:rsidR="006828EB">
        <w:rPr>
          <w:b/>
          <w:lang w:eastAsia="pl-PL"/>
        </w:rPr>
        <w:t>a</w:t>
      </w:r>
      <w:r w:rsidRPr="00647227">
        <w:rPr>
          <w:b/>
          <w:lang w:eastAsia="pl-PL"/>
        </w:rPr>
        <w:t xml:space="preserve"> w</w:t>
      </w:r>
      <w:r w:rsidR="00097C5A">
        <w:rPr>
          <w:b/>
          <w:lang w:eastAsia="pl-PL"/>
        </w:rPr>
        <w:t xml:space="preserve"> poziomu rozwoju </w:t>
      </w:r>
      <w:r w:rsidRPr="00647227">
        <w:rPr>
          <w:b/>
          <w:lang w:eastAsia="pl-PL"/>
        </w:rPr>
        <w:t>społeczno-gospodarczego (w tym popraw</w:t>
      </w:r>
      <w:r w:rsidR="006828EB">
        <w:rPr>
          <w:b/>
          <w:lang w:eastAsia="pl-PL"/>
        </w:rPr>
        <w:t>a</w:t>
      </w:r>
      <w:r w:rsidRPr="00647227">
        <w:rPr>
          <w:b/>
          <w:lang w:eastAsia="pl-PL"/>
        </w:rPr>
        <w:t xml:space="preserve"> pozycji w rankingu województw), co współwystępuje z</w:t>
      </w:r>
      <w:r w:rsidR="006828EB">
        <w:rPr>
          <w:b/>
          <w:lang w:eastAsia="pl-PL"/>
        </w:rPr>
        <w:t xml:space="preserve"> pozytywnymi zmianami wartości pozostałych przyjętych </w:t>
      </w:r>
      <w:r w:rsidRPr="00647227">
        <w:rPr>
          <w:b/>
          <w:lang w:eastAsia="pl-PL"/>
        </w:rPr>
        <w:t>wskaźnik</w:t>
      </w:r>
      <w:r w:rsidR="006828EB">
        <w:rPr>
          <w:b/>
          <w:lang w:eastAsia="pl-PL"/>
        </w:rPr>
        <w:t>ów celu generalnego</w:t>
      </w:r>
      <w:r>
        <w:rPr>
          <w:lang w:eastAsia="pl-PL"/>
        </w:rPr>
        <w:t xml:space="preserve">. Na szczególną uwagę zasługuje fakt, że w województwie wielkopolskim odnotowujemy najniższą w kraju stopę bezrobocia, przy jednoczesnym spadku nakładów inwestycyjnych na B+R, co ogólnie plasuje </w:t>
      </w:r>
      <w:r>
        <w:rPr>
          <w:lang w:eastAsia="pl-PL"/>
        </w:rPr>
        <w:lastRenderedPageBreak/>
        <w:t>region w połowie stawki województw. Zwiększa się udział ludności z wyższym wykształceniem w ogóle ludności, jednak inne województwa osiągają większe postępy.</w:t>
      </w:r>
    </w:p>
    <w:p w14:paraId="152CB717" w14:textId="03574AE8" w:rsidR="004E6832" w:rsidRDefault="004E6832" w:rsidP="004E6832">
      <w:pPr>
        <w:pStyle w:val="Legenda"/>
      </w:pPr>
      <w:bookmarkStart w:id="83" w:name="_Ref536310744"/>
      <w:bookmarkStart w:id="84" w:name="_Toc5699544"/>
      <w:r>
        <w:t xml:space="preserve">Tabela </w:t>
      </w:r>
      <w:r w:rsidRPr="69901DB0">
        <w:fldChar w:fldCharType="begin"/>
      </w:r>
      <w:r>
        <w:rPr>
          <w:noProof/>
        </w:rPr>
        <w:instrText xml:space="preserve"> SEQ Tabela \* ARABIC </w:instrText>
      </w:r>
      <w:r w:rsidRPr="69901DB0">
        <w:rPr>
          <w:noProof/>
        </w:rPr>
        <w:fldChar w:fldCharType="separate"/>
      </w:r>
      <w:r w:rsidR="007F4FA2">
        <w:rPr>
          <w:noProof/>
        </w:rPr>
        <w:t>11</w:t>
      </w:r>
      <w:r w:rsidRPr="69901DB0">
        <w:fldChar w:fldCharType="end"/>
      </w:r>
      <w:bookmarkEnd w:id="83"/>
      <w:r>
        <w:t>. Wskaźniki celu głównego i ich zmiana w latach 2012-2017</w:t>
      </w:r>
      <w:bookmarkEnd w:id="84"/>
    </w:p>
    <w:p w14:paraId="6F78B6DC" w14:textId="6B4504B4" w:rsidR="004E6832" w:rsidRPr="004975E5" w:rsidRDefault="00984216" w:rsidP="004E6832">
      <w:pPr>
        <w:rPr>
          <w:sz w:val="16"/>
          <w:szCs w:val="16"/>
          <w:lang w:eastAsia="pl-PL"/>
        </w:rPr>
      </w:pPr>
      <w:r>
        <w:rPr>
          <w:sz w:val="16"/>
          <w:szCs w:val="16"/>
          <w:lang w:eastAsia="pl-PL"/>
        </w:rPr>
        <w:t>Objaśnienia:</w:t>
      </w:r>
      <w:r w:rsidR="007E5D80">
        <w:rPr>
          <w:sz w:val="16"/>
          <w:szCs w:val="16"/>
          <w:lang w:eastAsia="pl-PL"/>
        </w:rPr>
        <w:t xml:space="preserve"> </w:t>
      </w:r>
      <w:r w:rsidR="004E6832" w:rsidRPr="00984216">
        <w:rPr>
          <w:b/>
          <w:sz w:val="16"/>
          <w:szCs w:val="16"/>
          <w:lang w:eastAsia="pl-PL"/>
        </w:rPr>
        <w:t>kolory strzałek</w:t>
      </w:r>
      <w:r w:rsidR="004E6832" w:rsidRPr="004975E5">
        <w:rPr>
          <w:sz w:val="16"/>
          <w:szCs w:val="16"/>
          <w:lang w:eastAsia="pl-PL"/>
        </w:rPr>
        <w:t xml:space="preserve">: zielona zmiana pozytywna, czerwona – zmiana negatywna; </w:t>
      </w:r>
      <w:r w:rsidR="004E6832" w:rsidRPr="00984216">
        <w:rPr>
          <w:b/>
          <w:sz w:val="16"/>
          <w:szCs w:val="16"/>
          <w:lang w:eastAsia="pl-PL"/>
        </w:rPr>
        <w:t>kierunek strzałek</w:t>
      </w:r>
      <w:r w:rsidR="004E6832" w:rsidRPr="004975E5">
        <w:rPr>
          <w:sz w:val="16"/>
          <w:szCs w:val="16"/>
          <w:lang w:eastAsia="pl-PL"/>
        </w:rPr>
        <w:t>: góra – wzrost; dół – spadek</w:t>
      </w:r>
      <w:r w:rsidR="004E6832">
        <w:rPr>
          <w:sz w:val="16"/>
          <w:szCs w:val="16"/>
          <w:lang w:eastAsia="pl-PL"/>
        </w:rPr>
        <w:t>;</w:t>
      </w:r>
      <w:r w:rsidR="007E5D80">
        <w:rPr>
          <w:sz w:val="16"/>
          <w:szCs w:val="16"/>
          <w:lang w:eastAsia="pl-PL"/>
        </w:rPr>
        <w:t xml:space="preserve"> </w:t>
      </w:r>
      <w:r w:rsidR="004E6832" w:rsidRPr="007E5D80">
        <w:rPr>
          <w:b/>
          <w:sz w:val="16"/>
          <w:szCs w:val="16"/>
          <w:lang w:eastAsia="pl-PL"/>
        </w:rPr>
        <w:t>„+”</w:t>
      </w:r>
      <w:r w:rsidR="004E6832">
        <w:rPr>
          <w:sz w:val="16"/>
          <w:szCs w:val="16"/>
          <w:lang w:eastAsia="pl-PL"/>
        </w:rPr>
        <w:t xml:space="preserve"> – oznacza poprawę pozycji w rankingu; </w:t>
      </w:r>
      <w:r w:rsidR="004E6832" w:rsidRPr="007E5D80">
        <w:rPr>
          <w:b/>
          <w:sz w:val="16"/>
          <w:szCs w:val="16"/>
          <w:lang w:eastAsia="pl-PL"/>
        </w:rPr>
        <w:t>„-„</w:t>
      </w:r>
      <w:r w:rsidR="004E6832">
        <w:rPr>
          <w:sz w:val="16"/>
          <w:szCs w:val="16"/>
          <w:lang w:eastAsia="pl-PL"/>
        </w:rPr>
        <w:t xml:space="preserve"> – pogorszenie pozycji w rankingu</w:t>
      </w:r>
      <w:r w:rsidR="007E5D80">
        <w:rPr>
          <w:sz w:val="16"/>
          <w:szCs w:val="16"/>
          <w:lang w:eastAsia="pl-PL"/>
        </w:rPr>
        <w:t xml:space="preserve">; </w:t>
      </w:r>
      <w:r w:rsidR="004E6832" w:rsidRPr="007E5D80">
        <w:rPr>
          <w:b/>
          <w:sz w:val="16"/>
          <w:szCs w:val="16"/>
          <w:lang w:eastAsia="pl-PL"/>
        </w:rPr>
        <w:t>wartości w nawiasach</w:t>
      </w:r>
      <w:r w:rsidRPr="007E5D80">
        <w:rPr>
          <w:b/>
          <w:sz w:val="16"/>
          <w:szCs w:val="16"/>
          <w:lang w:eastAsia="pl-PL"/>
        </w:rPr>
        <w:t xml:space="preserve"> „ranking zmiany”</w:t>
      </w:r>
      <w:r w:rsidR="004E6832" w:rsidRPr="004975E5">
        <w:rPr>
          <w:sz w:val="16"/>
          <w:szCs w:val="16"/>
          <w:lang w:eastAsia="pl-PL"/>
        </w:rPr>
        <w:t>:</w:t>
      </w:r>
      <w:r>
        <w:rPr>
          <w:sz w:val="16"/>
          <w:szCs w:val="16"/>
          <w:lang w:eastAsia="pl-PL"/>
        </w:rPr>
        <w:t xml:space="preserve"> 1 – </w:t>
      </w:r>
      <w:r w:rsidR="007E5D80">
        <w:rPr>
          <w:sz w:val="16"/>
          <w:szCs w:val="16"/>
          <w:lang w:eastAsia="pl-PL"/>
        </w:rPr>
        <w:t xml:space="preserve">pozycja najlepsza </w:t>
      </w:r>
      <w:r>
        <w:rPr>
          <w:sz w:val="16"/>
          <w:szCs w:val="16"/>
          <w:lang w:eastAsia="pl-PL"/>
        </w:rPr>
        <w:t xml:space="preserve">ze względu na wielkość zmiany </w:t>
      </w:r>
      <w:r w:rsidR="007E5D80">
        <w:rPr>
          <w:sz w:val="16"/>
          <w:szCs w:val="16"/>
          <w:lang w:eastAsia="pl-PL"/>
        </w:rPr>
        <w:t xml:space="preserve">– np. najwyższy wzrost PKB lub największy spadek bezrobocia; </w:t>
      </w:r>
      <w:r w:rsidR="007E5D80" w:rsidRPr="007E5D80">
        <w:rPr>
          <w:b/>
          <w:sz w:val="16"/>
          <w:szCs w:val="16"/>
          <w:lang w:eastAsia="pl-PL"/>
        </w:rPr>
        <w:t>w</w:t>
      </w:r>
      <w:r w:rsidRPr="007E5D80">
        <w:rPr>
          <w:b/>
          <w:sz w:val="16"/>
          <w:szCs w:val="16"/>
          <w:lang w:eastAsia="pl-PL"/>
        </w:rPr>
        <w:t>artości w nawiasach „pozycja aktualna”</w:t>
      </w:r>
      <w:r>
        <w:rPr>
          <w:sz w:val="16"/>
          <w:szCs w:val="16"/>
          <w:lang w:eastAsia="pl-PL"/>
        </w:rPr>
        <w:t>:</w:t>
      </w:r>
      <w:r w:rsidR="004E6832" w:rsidRPr="004975E5">
        <w:rPr>
          <w:sz w:val="16"/>
          <w:szCs w:val="16"/>
          <w:lang w:eastAsia="pl-PL"/>
        </w:rPr>
        <w:t xml:space="preserve"> 1 pozycja najlepsza…; 16 – pozycja najgorsza</w:t>
      </w:r>
      <w:r>
        <w:rPr>
          <w:sz w:val="16"/>
          <w:szCs w:val="16"/>
          <w:lang w:eastAsia="pl-PL"/>
        </w:rPr>
        <w:t xml:space="preserve">; </w:t>
      </w:r>
      <w:r w:rsidR="004E6832" w:rsidRPr="004975E5">
        <w:rPr>
          <w:sz w:val="16"/>
          <w:szCs w:val="16"/>
          <w:lang w:eastAsia="pl-PL"/>
        </w:rPr>
        <w:t>w przypadku bezrobocia „1” oznacza najniższe bezrobocie, z kolei w przypadku PKB „1” oznacza najwyższe PKB)</w:t>
      </w:r>
      <w:r w:rsidR="007E5D80">
        <w:rPr>
          <w:sz w:val="16"/>
          <w:szCs w:val="16"/>
          <w:lang w:eastAsia="pl-PL"/>
        </w:rPr>
        <w:t>.</w:t>
      </w:r>
    </w:p>
    <w:tbl>
      <w:tblPr>
        <w:tblStyle w:val="Tabela-Siatka"/>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ela 10. Wskaźniki celu głównego i ich zmiana w latach 2012-2017"/>
        <w:tblDescription w:val="Tabela przedstawia zmianę, jaka dokonała się w latach 2012-2017 we wskaźnikach celu głównego oraz aktualną pozycję Wielkopolski pod względem każdego ze wskaźników."/>
      </w:tblPr>
      <w:tblGrid>
        <w:gridCol w:w="5529"/>
        <w:gridCol w:w="709"/>
        <w:gridCol w:w="992"/>
        <w:gridCol w:w="1843"/>
      </w:tblGrid>
      <w:tr w:rsidR="004E6832" w:rsidRPr="00EB1427" w14:paraId="445CA614" w14:textId="77777777" w:rsidTr="00734085">
        <w:tc>
          <w:tcPr>
            <w:tcW w:w="5529" w:type="dxa"/>
            <w:shd w:val="clear" w:color="auto" w:fill="F6BB00"/>
          </w:tcPr>
          <w:p w14:paraId="050BF708" w14:textId="77777777" w:rsidR="004E6832" w:rsidRPr="00EB1427" w:rsidRDefault="004E6832" w:rsidP="006828EB">
            <w:pPr>
              <w:spacing w:after="0" w:line="240" w:lineRule="auto"/>
              <w:jc w:val="center"/>
              <w:rPr>
                <w:b/>
                <w:sz w:val="18"/>
                <w:szCs w:val="18"/>
                <w:lang w:eastAsia="pl-PL"/>
              </w:rPr>
            </w:pPr>
            <w:r>
              <w:rPr>
                <w:b/>
                <w:sz w:val="18"/>
                <w:szCs w:val="18"/>
                <w:lang w:eastAsia="pl-PL"/>
              </w:rPr>
              <w:t>Wskaźnik</w:t>
            </w:r>
          </w:p>
        </w:tc>
        <w:tc>
          <w:tcPr>
            <w:tcW w:w="3544" w:type="dxa"/>
            <w:gridSpan w:val="3"/>
            <w:shd w:val="clear" w:color="auto" w:fill="F6BB00"/>
          </w:tcPr>
          <w:p w14:paraId="1661E360" w14:textId="1A0BA7EB" w:rsidR="004E6832" w:rsidRDefault="004E6832" w:rsidP="00734085">
            <w:pPr>
              <w:spacing w:line="240" w:lineRule="auto"/>
              <w:jc w:val="center"/>
              <w:rPr>
                <w:b/>
                <w:sz w:val="18"/>
                <w:szCs w:val="18"/>
                <w:lang w:eastAsia="pl-PL"/>
              </w:rPr>
            </w:pPr>
            <w:r>
              <w:rPr>
                <w:b/>
                <w:sz w:val="18"/>
                <w:szCs w:val="18"/>
                <w:lang w:eastAsia="pl-PL"/>
              </w:rPr>
              <w:t>Zmiana w latach 2012-2017</w:t>
            </w:r>
          </w:p>
        </w:tc>
      </w:tr>
      <w:tr w:rsidR="004E6832" w:rsidRPr="00EB1427" w14:paraId="5FD72886" w14:textId="77777777" w:rsidTr="00734085">
        <w:tc>
          <w:tcPr>
            <w:tcW w:w="5529" w:type="dxa"/>
            <w:shd w:val="clear" w:color="auto" w:fill="F6BB00"/>
          </w:tcPr>
          <w:p w14:paraId="315C1CB1" w14:textId="77777777" w:rsidR="004E6832" w:rsidRDefault="004E6832" w:rsidP="00734085">
            <w:pPr>
              <w:spacing w:after="0" w:line="240" w:lineRule="auto"/>
              <w:rPr>
                <w:b/>
                <w:sz w:val="18"/>
                <w:szCs w:val="18"/>
                <w:lang w:eastAsia="pl-PL"/>
              </w:rPr>
            </w:pPr>
          </w:p>
        </w:tc>
        <w:tc>
          <w:tcPr>
            <w:tcW w:w="1701" w:type="dxa"/>
            <w:gridSpan w:val="2"/>
            <w:shd w:val="clear" w:color="auto" w:fill="F6BB00"/>
          </w:tcPr>
          <w:p w14:paraId="35C57A75" w14:textId="77777777" w:rsidR="004E6832" w:rsidRDefault="004E6832" w:rsidP="006828EB">
            <w:pPr>
              <w:spacing w:after="0" w:line="240" w:lineRule="auto"/>
              <w:jc w:val="center"/>
              <w:rPr>
                <w:b/>
                <w:sz w:val="18"/>
                <w:szCs w:val="18"/>
                <w:lang w:eastAsia="pl-PL"/>
              </w:rPr>
            </w:pPr>
            <w:r>
              <w:rPr>
                <w:b/>
                <w:sz w:val="18"/>
                <w:szCs w:val="18"/>
                <w:lang w:eastAsia="pl-PL"/>
              </w:rPr>
              <w:t>wartości wskaźnika</w:t>
            </w:r>
          </w:p>
          <w:p w14:paraId="73F7B145" w14:textId="77777777" w:rsidR="004E6832" w:rsidRPr="00EB1427" w:rsidRDefault="004E6832" w:rsidP="006828EB">
            <w:pPr>
              <w:spacing w:after="0" w:line="240" w:lineRule="auto"/>
              <w:jc w:val="center"/>
              <w:rPr>
                <w:b/>
                <w:sz w:val="18"/>
                <w:szCs w:val="18"/>
                <w:lang w:eastAsia="pl-PL"/>
              </w:rPr>
            </w:pPr>
            <w:r>
              <w:rPr>
                <w:b/>
                <w:sz w:val="18"/>
                <w:szCs w:val="18"/>
                <w:lang w:eastAsia="pl-PL"/>
              </w:rPr>
              <w:t>(ranking zmiany)</w:t>
            </w:r>
          </w:p>
        </w:tc>
        <w:tc>
          <w:tcPr>
            <w:tcW w:w="1843" w:type="dxa"/>
            <w:shd w:val="clear" w:color="auto" w:fill="F6BB00"/>
          </w:tcPr>
          <w:p w14:paraId="00588AF2" w14:textId="1BBBA24F" w:rsidR="004E6832" w:rsidRDefault="004E6832" w:rsidP="006828EB">
            <w:pPr>
              <w:spacing w:after="0" w:line="240" w:lineRule="auto"/>
              <w:jc w:val="center"/>
              <w:rPr>
                <w:b/>
                <w:sz w:val="18"/>
                <w:szCs w:val="18"/>
                <w:lang w:eastAsia="pl-PL"/>
              </w:rPr>
            </w:pPr>
            <w:r>
              <w:rPr>
                <w:b/>
                <w:sz w:val="18"/>
                <w:szCs w:val="18"/>
                <w:lang w:eastAsia="pl-PL"/>
              </w:rPr>
              <w:t>pozycji Wielkopolski (</w:t>
            </w:r>
            <w:r w:rsidR="00984216">
              <w:rPr>
                <w:b/>
                <w:sz w:val="18"/>
                <w:szCs w:val="18"/>
                <w:lang w:eastAsia="pl-PL"/>
              </w:rPr>
              <w:t xml:space="preserve">pozycja </w:t>
            </w:r>
            <w:r>
              <w:rPr>
                <w:b/>
                <w:sz w:val="18"/>
                <w:szCs w:val="18"/>
                <w:lang w:eastAsia="pl-PL"/>
              </w:rPr>
              <w:t>aktualna)</w:t>
            </w:r>
          </w:p>
        </w:tc>
      </w:tr>
      <w:tr w:rsidR="004E6832" w:rsidRPr="00EB1427" w14:paraId="4E08D8B0" w14:textId="77777777" w:rsidTr="00734085">
        <w:tc>
          <w:tcPr>
            <w:tcW w:w="5529" w:type="dxa"/>
            <w:tcBorders>
              <w:bottom w:val="single" w:sz="2" w:space="0" w:color="F6BB00"/>
            </w:tcBorders>
            <w:vAlign w:val="center"/>
          </w:tcPr>
          <w:p w14:paraId="5C3A88E0" w14:textId="77777777" w:rsidR="004E6832" w:rsidRPr="00EB1427" w:rsidRDefault="004E6832" w:rsidP="006828EB">
            <w:pPr>
              <w:spacing w:after="0" w:line="240" w:lineRule="auto"/>
              <w:jc w:val="left"/>
              <w:rPr>
                <w:sz w:val="18"/>
                <w:szCs w:val="18"/>
                <w:lang w:eastAsia="pl-PL"/>
              </w:rPr>
            </w:pPr>
            <w:r w:rsidRPr="00942877">
              <w:rPr>
                <w:sz w:val="18"/>
                <w:szCs w:val="18"/>
              </w:rPr>
              <w:t>PKB per capita</w:t>
            </w:r>
          </w:p>
        </w:tc>
        <w:tc>
          <w:tcPr>
            <w:tcW w:w="709" w:type="dxa"/>
            <w:tcBorders>
              <w:bottom w:val="single" w:sz="2" w:space="0" w:color="F6BB00"/>
            </w:tcBorders>
            <w:vAlign w:val="center"/>
          </w:tcPr>
          <w:p w14:paraId="4CA1ECB0" w14:textId="77777777" w:rsidR="004E6832" w:rsidRPr="00942877" w:rsidRDefault="004E6832" w:rsidP="006828EB">
            <w:pPr>
              <w:spacing w:after="0" w:line="240" w:lineRule="auto"/>
              <w:jc w:val="right"/>
              <w:rPr>
                <w:b/>
                <w:szCs w:val="22"/>
                <w:lang w:eastAsia="pl-PL"/>
              </w:rPr>
            </w:pPr>
            <w:r w:rsidRPr="007060EE">
              <w:rPr>
                <w:b/>
                <w:color w:val="00B050"/>
                <w:szCs w:val="22"/>
              </w:rPr>
              <w:t>↑</w:t>
            </w:r>
          </w:p>
        </w:tc>
        <w:tc>
          <w:tcPr>
            <w:tcW w:w="992" w:type="dxa"/>
            <w:tcBorders>
              <w:bottom w:val="single" w:sz="2" w:space="0" w:color="F6BB00"/>
            </w:tcBorders>
            <w:vAlign w:val="center"/>
          </w:tcPr>
          <w:p w14:paraId="7B020AAE" w14:textId="77777777" w:rsidR="004E6832" w:rsidRPr="008B2D2C" w:rsidRDefault="004E6832" w:rsidP="006828EB">
            <w:pPr>
              <w:spacing w:after="0" w:line="240" w:lineRule="auto"/>
              <w:jc w:val="left"/>
              <w:rPr>
                <w:sz w:val="18"/>
                <w:szCs w:val="18"/>
                <w:lang w:eastAsia="pl-PL"/>
              </w:rPr>
            </w:pPr>
            <w:r w:rsidRPr="007060EE">
              <w:rPr>
                <w:b/>
                <w:color w:val="00B050"/>
                <w:sz w:val="18"/>
                <w:szCs w:val="18"/>
              </w:rPr>
              <w:t>(2)</w:t>
            </w:r>
          </w:p>
        </w:tc>
        <w:tc>
          <w:tcPr>
            <w:tcW w:w="1843" w:type="dxa"/>
            <w:tcBorders>
              <w:bottom w:val="single" w:sz="2" w:space="0" w:color="F6BB00"/>
            </w:tcBorders>
            <w:vAlign w:val="center"/>
          </w:tcPr>
          <w:p w14:paraId="1860A0E3" w14:textId="77777777" w:rsidR="004E6832" w:rsidRPr="00684103" w:rsidRDefault="004E6832" w:rsidP="006828EB">
            <w:pPr>
              <w:spacing w:after="0" w:line="240" w:lineRule="auto"/>
              <w:jc w:val="center"/>
              <w:rPr>
                <w:b/>
                <w:sz w:val="18"/>
                <w:szCs w:val="18"/>
                <w:lang w:eastAsia="pl-PL"/>
              </w:rPr>
            </w:pPr>
            <w:r w:rsidRPr="00684103">
              <w:rPr>
                <w:b/>
                <w:color w:val="00B050"/>
                <w:sz w:val="18"/>
                <w:szCs w:val="18"/>
              </w:rPr>
              <w:t>+1 (3)</w:t>
            </w:r>
          </w:p>
        </w:tc>
      </w:tr>
      <w:tr w:rsidR="004E6832" w:rsidRPr="00EB1427" w14:paraId="64ED782E" w14:textId="77777777" w:rsidTr="00734085">
        <w:tc>
          <w:tcPr>
            <w:tcW w:w="5529" w:type="dxa"/>
            <w:tcBorders>
              <w:top w:val="single" w:sz="2" w:space="0" w:color="F6BB00"/>
              <w:bottom w:val="single" w:sz="2" w:space="0" w:color="F6BB00"/>
            </w:tcBorders>
            <w:vAlign w:val="center"/>
          </w:tcPr>
          <w:p w14:paraId="446DC8EE" w14:textId="77777777" w:rsidR="004E6832" w:rsidRPr="00EB1427" w:rsidRDefault="004E6832" w:rsidP="006828EB">
            <w:pPr>
              <w:spacing w:after="0" w:line="240" w:lineRule="auto"/>
              <w:jc w:val="left"/>
              <w:rPr>
                <w:sz w:val="18"/>
                <w:szCs w:val="18"/>
                <w:lang w:eastAsia="pl-PL"/>
              </w:rPr>
            </w:pPr>
            <w:r w:rsidRPr="00942877">
              <w:rPr>
                <w:sz w:val="18"/>
                <w:szCs w:val="18"/>
              </w:rPr>
              <w:t>Wskaźnik zatrudnienia osób w wieku 20-64 lata</w:t>
            </w:r>
          </w:p>
        </w:tc>
        <w:tc>
          <w:tcPr>
            <w:tcW w:w="709" w:type="dxa"/>
            <w:tcBorders>
              <w:top w:val="single" w:sz="2" w:space="0" w:color="F6BB00"/>
              <w:bottom w:val="single" w:sz="2" w:space="0" w:color="F6BB00"/>
            </w:tcBorders>
            <w:vAlign w:val="center"/>
          </w:tcPr>
          <w:p w14:paraId="42C22901" w14:textId="77777777" w:rsidR="004E6832" w:rsidRPr="00EB1427" w:rsidRDefault="004E6832" w:rsidP="006828EB">
            <w:pPr>
              <w:spacing w:after="0" w:line="240" w:lineRule="auto"/>
              <w:jc w:val="right"/>
              <w:rPr>
                <w:sz w:val="18"/>
                <w:szCs w:val="18"/>
                <w:lang w:eastAsia="pl-PL"/>
              </w:rPr>
            </w:pPr>
            <w:r w:rsidRPr="007060EE">
              <w:rPr>
                <w:b/>
                <w:color w:val="00B050"/>
                <w:szCs w:val="22"/>
              </w:rPr>
              <w:t>↑</w:t>
            </w:r>
          </w:p>
        </w:tc>
        <w:tc>
          <w:tcPr>
            <w:tcW w:w="992" w:type="dxa"/>
            <w:tcBorders>
              <w:top w:val="single" w:sz="2" w:space="0" w:color="F6BB00"/>
              <w:bottom w:val="single" w:sz="2" w:space="0" w:color="F6BB00"/>
            </w:tcBorders>
            <w:vAlign w:val="center"/>
          </w:tcPr>
          <w:p w14:paraId="2DABDD56" w14:textId="77777777" w:rsidR="004E6832" w:rsidRPr="008B2D2C" w:rsidRDefault="004E6832" w:rsidP="006828EB">
            <w:pPr>
              <w:spacing w:after="0" w:line="240" w:lineRule="auto"/>
              <w:jc w:val="left"/>
              <w:rPr>
                <w:sz w:val="18"/>
                <w:szCs w:val="18"/>
                <w:lang w:eastAsia="pl-PL"/>
              </w:rPr>
            </w:pPr>
            <w:r w:rsidRPr="007060EE">
              <w:rPr>
                <w:b/>
                <w:color w:val="00B050"/>
                <w:sz w:val="18"/>
                <w:szCs w:val="18"/>
              </w:rPr>
              <w:t>(4)</w:t>
            </w:r>
          </w:p>
        </w:tc>
        <w:tc>
          <w:tcPr>
            <w:tcW w:w="1843" w:type="dxa"/>
            <w:tcBorders>
              <w:top w:val="single" w:sz="2" w:space="0" w:color="F6BB00"/>
              <w:bottom w:val="single" w:sz="2" w:space="0" w:color="F6BB00"/>
            </w:tcBorders>
            <w:vAlign w:val="center"/>
          </w:tcPr>
          <w:p w14:paraId="3556FB25" w14:textId="77777777" w:rsidR="004E6832" w:rsidRPr="00684103" w:rsidRDefault="004E6832" w:rsidP="006828EB">
            <w:pPr>
              <w:spacing w:after="0" w:line="240" w:lineRule="auto"/>
              <w:jc w:val="center"/>
              <w:rPr>
                <w:b/>
                <w:sz w:val="18"/>
                <w:szCs w:val="18"/>
                <w:lang w:eastAsia="pl-PL"/>
              </w:rPr>
            </w:pPr>
            <w:r w:rsidRPr="00684103">
              <w:rPr>
                <w:b/>
                <w:color w:val="00B050"/>
                <w:sz w:val="18"/>
                <w:szCs w:val="18"/>
              </w:rPr>
              <w:t>+1 (2)</w:t>
            </w:r>
          </w:p>
        </w:tc>
      </w:tr>
      <w:tr w:rsidR="004E6832" w:rsidRPr="00EB1427" w14:paraId="4959F99E" w14:textId="77777777" w:rsidTr="00734085">
        <w:tc>
          <w:tcPr>
            <w:tcW w:w="5529" w:type="dxa"/>
            <w:tcBorders>
              <w:top w:val="single" w:sz="2" w:space="0" w:color="F6BB00"/>
              <w:bottom w:val="single" w:sz="2" w:space="0" w:color="F6BB00"/>
            </w:tcBorders>
            <w:vAlign w:val="center"/>
          </w:tcPr>
          <w:p w14:paraId="05287054" w14:textId="77777777" w:rsidR="004E6832" w:rsidRPr="00EB1427" w:rsidRDefault="004E6832" w:rsidP="006828EB">
            <w:pPr>
              <w:spacing w:after="0" w:line="240" w:lineRule="auto"/>
              <w:jc w:val="left"/>
              <w:rPr>
                <w:sz w:val="18"/>
                <w:szCs w:val="18"/>
                <w:lang w:eastAsia="pl-PL"/>
              </w:rPr>
            </w:pPr>
            <w:r w:rsidRPr="00942877">
              <w:rPr>
                <w:sz w:val="18"/>
                <w:szCs w:val="18"/>
              </w:rPr>
              <w:t>Stopa bezrobocia wg BAEL</w:t>
            </w:r>
          </w:p>
        </w:tc>
        <w:tc>
          <w:tcPr>
            <w:tcW w:w="709" w:type="dxa"/>
            <w:tcBorders>
              <w:top w:val="single" w:sz="2" w:space="0" w:color="F6BB00"/>
              <w:bottom w:val="single" w:sz="2" w:space="0" w:color="F6BB00"/>
            </w:tcBorders>
            <w:vAlign w:val="center"/>
          </w:tcPr>
          <w:p w14:paraId="7B6A0467" w14:textId="77777777" w:rsidR="004E6832" w:rsidRPr="00EB1427" w:rsidRDefault="004E6832" w:rsidP="006828EB">
            <w:pPr>
              <w:spacing w:after="0" w:line="240" w:lineRule="auto"/>
              <w:jc w:val="right"/>
              <w:rPr>
                <w:sz w:val="18"/>
                <w:szCs w:val="18"/>
                <w:lang w:eastAsia="pl-PL"/>
              </w:rPr>
            </w:pPr>
            <w:r w:rsidRPr="007060EE">
              <w:rPr>
                <w:b/>
                <w:color w:val="00B050"/>
                <w:szCs w:val="22"/>
              </w:rPr>
              <w:t>↓</w:t>
            </w:r>
          </w:p>
        </w:tc>
        <w:tc>
          <w:tcPr>
            <w:tcW w:w="992" w:type="dxa"/>
            <w:tcBorders>
              <w:top w:val="single" w:sz="2" w:space="0" w:color="F6BB00"/>
              <w:bottom w:val="single" w:sz="2" w:space="0" w:color="F6BB00"/>
            </w:tcBorders>
            <w:vAlign w:val="center"/>
          </w:tcPr>
          <w:p w14:paraId="2D37E4F8" w14:textId="77777777" w:rsidR="004E6832" w:rsidRPr="008B2D2C" w:rsidRDefault="004E6832" w:rsidP="006828EB">
            <w:pPr>
              <w:spacing w:after="0" w:line="240" w:lineRule="auto"/>
              <w:jc w:val="left"/>
              <w:rPr>
                <w:sz w:val="18"/>
                <w:szCs w:val="18"/>
                <w:lang w:eastAsia="pl-PL"/>
              </w:rPr>
            </w:pPr>
            <w:r w:rsidRPr="007060EE">
              <w:rPr>
                <w:b/>
                <w:color w:val="00B050"/>
                <w:sz w:val="18"/>
                <w:szCs w:val="18"/>
              </w:rPr>
              <w:t>(1)</w:t>
            </w:r>
          </w:p>
        </w:tc>
        <w:tc>
          <w:tcPr>
            <w:tcW w:w="1843" w:type="dxa"/>
            <w:tcBorders>
              <w:top w:val="single" w:sz="2" w:space="0" w:color="F6BB00"/>
              <w:bottom w:val="single" w:sz="2" w:space="0" w:color="F6BB00"/>
            </w:tcBorders>
            <w:vAlign w:val="center"/>
          </w:tcPr>
          <w:p w14:paraId="5457DA2E" w14:textId="77777777" w:rsidR="004E6832" w:rsidRPr="00684103" w:rsidRDefault="004E6832" w:rsidP="006828EB">
            <w:pPr>
              <w:spacing w:after="0" w:line="240" w:lineRule="auto"/>
              <w:jc w:val="center"/>
              <w:rPr>
                <w:b/>
                <w:sz w:val="18"/>
                <w:szCs w:val="18"/>
                <w:lang w:eastAsia="pl-PL"/>
              </w:rPr>
            </w:pPr>
            <w:r w:rsidRPr="00684103">
              <w:rPr>
                <w:b/>
                <w:color w:val="00B050"/>
                <w:sz w:val="18"/>
                <w:szCs w:val="18"/>
              </w:rPr>
              <w:t>+1 (1)</w:t>
            </w:r>
          </w:p>
        </w:tc>
      </w:tr>
      <w:tr w:rsidR="004E6832" w:rsidRPr="00EB1427" w14:paraId="5772D338" w14:textId="77777777" w:rsidTr="00734085">
        <w:tc>
          <w:tcPr>
            <w:tcW w:w="5529" w:type="dxa"/>
            <w:tcBorders>
              <w:top w:val="single" w:sz="2" w:space="0" w:color="F6BB00"/>
              <w:bottom w:val="single" w:sz="2" w:space="0" w:color="F6BB00"/>
            </w:tcBorders>
            <w:vAlign w:val="center"/>
          </w:tcPr>
          <w:p w14:paraId="1BC9F340" w14:textId="77777777" w:rsidR="004E6832" w:rsidRPr="00EB1427" w:rsidRDefault="004E6832" w:rsidP="006828EB">
            <w:pPr>
              <w:spacing w:after="0" w:line="240" w:lineRule="auto"/>
              <w:jc w:val="left"/>
              <w:rPr>
                <w:sz w:val="18"/>
                <w:szCs w:val="18"/>
                <w:lang w:eastAsia="pl-PL"/>
              </w:rPr>
            </w:pPr>
            <w:r w:rsidRPr="00942877">
              <w:rPr>
                <w:sz w:val="18"/>
                <w:szCs w:val="18"/>
              </w:rPr>
              <w:t>Nakłady inwestycyjne na 1 mieszkańca</w:t>
            </w:r>
          </w:p>
        </w:tc>
        <w:tc>
          <w:tcPr>
            <w:tcW w:w="709" w:type="dxa"/>
            <w:tcBorders>
              <w:top w:val="single" w:sz="2" w:space="0" w:color="F6BB00"/>
              <w:bottom w:val="single" w:sz="2" w:space="0" w:color="F6BB00"/>
            </w:tcBorders>
            <w:vAlign w:val="center"/>
          </w:tcPr>
          <w:p w14:paraId="2D85915A" w14:textId="77777777" w:rsidR="004E6832" w:rsidRPr="00EB1427" w:rsidRDefault="004E6832" w:rsidP="006828EB">
            <w:pPr>
              <w:spacing w:after="0" w:line="240" w:lineRule="auto"/>
              <w:jc w:val="right"/>
              <w:rPr>
                <w:sz w:val="18"/>
                <w:szCs w:val="18"/>
                <w:lang w:eastAsia="pl-PL"/>
              </w:rPr>
            </w:pPr>
            <w:r w:rsidRPr="007060EE">
              <w:rPr>
                <w:b/>
                <w:color w:val="00B050"/>
                <w:szCs w:val="22"/>
              </w:rPr>
              <w:t>↑</w:t>
            </w:r>
          </w:p>
        </w:tc>
        <w:tc>
          <w:tcPr>
            <w:tcW w:w="992" w:type="dxa"/>
            <w:tcBorders>
              <w:top w:val="single" w:sz="2" w:space="0" w:color="F6BB00"/>
              <w:bottom w:val="single" w:sz="2" w:space="0" w:color="F6BB00"/>
            </w:tcBorders>
            <w:vAlign w:val="center"/>
          </w:tcPr>
          <w:p w14:paraId="7825FEE3" w14:textId="77777777" w:rsidR="004E6832" w:rsidRPr="008B2D2C" w:rsidRDefault="004E6832" w:rsidP="006828EB">
            <w:pPr>
              <w:spacing w:after="0" w:line="240" w:lineRule="auto"/>
              <w:jc w:val="left"/>
              <w:rPr>
                <w:sz w:val="18"/>
                <w:szCs w:val="18"/>
                <w:lang w:eastAsia="pl-PL"/>
              </w:rPr>
            </w:pPr>
            <w:r w:rsidRPr="007060EE">
              <w:rPr>
                <w:b/>
                <w:color w:val="00B050"/>
                <w:sz w:val="18"/>
                <w:szCs w:val="18"/>
              </w:rPr>
              <w:t>(4)</w:t>
            </w:r>
          </w:p>
        </w:tc>
        <w:tc>
          <w:tcPr>
            <w:tcW w:w="1843" w:type="dxa"/>
            <w:tcBorders>
              <w:top w:val="single" w:sz="2" w:space="0" w:color="F6BB00"/>
              <w:bottom w:val="single" w:sz="2" w:space="0" w:color="F6BB00"/>
            </w:tcBorders>
            <w:vAlign w:val="center"/>
          </w:tcPr>
          <w:p w14:paraId="64B03875" w14:textId="77777777" w:rsidR="004E6832" w:rsidRPr="00684103" w:rsidRDefault="004E6832" w:rsidP="006828EB">
            <w:pPr>
              <w:spacing w:after="0" w:line="240" w:lineRule="auto"/>
              <w:jc w:val="center"/>
              <w:rPr>
                <w:b/>
                <w:sz w:val="18"/>
                <w:szCs w:val="18"/>
                <w:lang w:eastAsia="pl-PL"/>
              </w:rPr>
            </w:pPr>
            <w:r w:rsidRPr="00684103">
              <w:rPr>
                <w:b/>
                <w:sz w:val="18"/>
                <w:szCs w:val="18"/>
              </w:rPr>
              <w:t>0 (5)</w:t>
            </w:r>
          </w:p>
        </w:tc>
      </w:tr>
      <w:tr w:rsidR="004E6832" w:rsidRPr="00EB1427" w14:paraId="6623272C" w14:textId="77777777" w:rsidTr="00734085">
        <w:tc>
          <w:tcPr>
            <w:tcW w:w="5529" w:type="dxa"/>
            <w:tcBorders>
              <w:top w:val="single" w:sz="2" w:space="0" w:color="F6BB00"/>
              <w:bottom w:val="single" w:sz="2" w:space="0" w:color="F6BB00"/>
            </w:tcBorders>
            <w:vAlign w:val="center"/>
          </w:tcPr>
          <w:p w14:paraId="6B1DE8B4" w14:textId="77777777" w:rsidR="004E6832" w:rsidRPr="00EB1427" w:rsidRDefault="004E6832" w:rsidP="006828EB">
            <w:pPr>
              <w:spacing w:after="0" w:line="240" w:lineRule="auto"/>
              <w:jc w:val="left"/>
              <w:rPr>
                <w:sz w:val="18"/>
                <w:szCs w:val="18"/>
                <w:lang w:eastAsia="pl-PL"/>
              </w:rPr>
            </w:pPr>
            <w:r w:rsidRPr="00942877">
              <w:rPr>
                <w:sz w:val="18"/>
                <w:szCs w:val="18"/>
              </w:rPr>
              <w:t>Nakłady na działalność badawczo – rozwojową w relacji do PKB</w:t>
            </w:r>
          </w:p>
        </w:tc>
        <w:tc>
          <w:tcPr>
            <w:tcW w:w="709" w:type="dxa"/>
            <w:tcBorders>
              <w:top w:val="single" w:sz="2" w:space="0" w:color="F6BB00"/>
              <w:bottom w:val="single" w:sz="2" w:space="0" w:color="F6BB00"/>
            </w:tcBorders>
            <w:vAlign w:val="center"/>
          </w:tcPr>
          <w:p w14:paraId="757527AA" w14:textId="77777777" w:rsidR="004E6832" w:rsidRPr="00EB1427" w:rsidRDefault="004E6832" w:rsidP="006828EB">
            <w:pPr>
              <w:spacing w:after="0" w:line="240" w:lineRule="auto"/>
              <w:jc w:val="right"/>
              <w:rPr>
                <w:sz w:val="18"/>
                <w:szCs w:val="18"/>
                <w:lang w:eastAsia="pl-PL"/>
              </w:rPr>
            </w:pPr>
            <w:r w:rsidRPr="007060EE">
              <w:rPr>
                <w:b/>
                <w:color w:val="FF0000"/>
                <w:szCs w:val="22"/>
              </w:rPr>
              <w:t>↓</w:t>
            </w:r>
          </w:p>
        </w:tc>
        <w:tc>
          <w:tcPr>
            <w:tcW w:w="992" w:type="dxa"/>
            <w:tcBorders>
              <w:top w:val="single" w:sz="2" w:space="0" w:color="F6BB00"/>
              <w:bottom w:val="single" w:sz="2" w:space="0" w:color="F6BB00"/>
            </w:tcBorders>
            <w:vAlign w:val="center"/>
          </w:tcPr>
          <w:p w14:paraId="2A7FA2B7" w14:textId="77777777" w:rsidR="004E6832" w:rsidRPr="008B2D2C" w:rsidRDefault="004E6832" w:rsidP="006828EB">
            <w:pPr>
              <w:spacing w:after="0" w:line="240" w:lineRule="auto"/>
              <w:jc w:val="left"/>
              <w:rPr>
                <w:sz w:val="18"/>
                <w:szCs w:val="18"/>
                <w:lang w:eastAsia="pl-PL"/>
              </w:rPr>
            </w:pPr>
            <w:r w:rsidRPr="007060EE">
              <w:rPr>
                <w:b/>
                <w:color w:val="FF0000"/>
                <w:sz w:val="18"/>
                <w:szCs w:val="18"/>
              </w:rPr>
              <w:t>(15)</w:t>
            </w:r>
          </w:p>
        </w:tc>
        <w:tc>
          <w:tcPr>
            <w:tcW w:w="1843" w:type="dxa"/>
            <w:tcBorders>
              <w:top w:val="single" w:sz="2" w:space="0" w:color="F6BB00"/>
              <w:bottom w:val="single" w:sz="2" w:space="0" w:color="F6BB00"/>
            </w:tcBorders>
            <w:vAlign w:val="center"/>
          </w:tcPr>
          <w:p w14:paraId="7D9206FE" w14:textId="77777777" w:rsidR="004E6832" w:rsidRPr="00684103" w:rsidRDefault="004E6832" w:rsidP="006828EB">
            <w:pPr>
              <w:spacing w:after="0" w:line="240" w:lineRule="auto"/>
              <w:jc w:val="center"/>
              <w:rPr>
                <w:b/>
                <w:sz w:val="18"/>
                <w:szCs w:val="18"/>
                <w:lang w:eastAsia="pl-PL"/>
              </w:rPr>
            </w:pPr>
            <w:r w:rsidRPr="00684103">
              <w:rPr>
                <w:b/>
                <w:color w:val="FF0000"/>
                <w:sz w:val="18"/>
                <w:szCs w:val="18"/>
              </w:rPr>
              <w:t>-2 (8)</w:t>
            </w:r>
          </w:p>
        </w:tc>
      </w:tr>
      <w:tr w:rsidR="004E6832" w:rsidRPr="00EB1427" w14:paraId="271BEFD4" w14:textId="77777777" w:rsidTr="00734085">
        <w:tc>
          <w:tcPr>
            <w:tcW w:w="5529" w:type="dxa"/>
            <w:tcBorders>
              <w:top w:val="single" w:sz="2" w:space="0" w:color="F6BB00"/>
              <w:bottom w:val="single" w:sz="2" w:space="0" w:color="F6BB00"/>
            </w:tcBorders>
            <w:vAlign w:val="center"/>
          </w:tcPr>
          <w:p w14:paraId="6DA2A836" w14:textId="77777777" w:rsidR="004E6832" w:rsidRPr="00EB1427" w:rsidRDefault="004E6832" w:rsidP="006828EB">
            <w:pPr>
              <w:spacing w:after="0" w:line="240" w:lineRule="auto"/>
              <w:jc w:val="left"/>
              <w:rPr>
                <w:sz w:val="18"/>
                <w:szCs w:val="18"/>
                <w:lang w:eastAsia="pl-PL"/>
              </w:rPr>
            </w:pPr>
            <w:r w:rsidRPr="00942877">
              <w:rPr>
                <w:sz w:val="18"/>
                <w:szCs w:val="18"/>
              </w:rPr>
              <w:t>Udział ludności w wieku 15 – 64 lat z wyższym wykształceniem w ogólnej liczbie ludności w tym wieku % GUS</w:t>
            </w:r>
          </w:p>
        </w:tc>
        <w:tc>
          <w:tcPr>
            <w:tcW w:w="709" w:type="dxa"/>
            <w:tcBorders>
              <w:top w:val="single" w:sz="2" w:space="0" w:color="F6BB00"/>
              <w:bottom w:val="single" w:sz="2" w:space="0" w:color="F6BB00"/>
            </w:tcBorders>
            <w:vAlign w:val="center"/>
          </w:tcPr>
          <w:p w14:paraId="141C08AB" w14:textId="77777777" w:rsidR="004E6832" w:rsidRPr="00EB1427" w:rsidRDefault="004E6832" w:rsidP="006828EB">
            <w:pPr>
              <w:spacing w:after="0" w:line="240" w:lineRule="auto"/>
              <w:jc w:val="right"/>
              <w:rPr>
                <w:sz w:val="18"/>
                <w:szCs w:val="18"/>
                <w:lang w:eastAsia="pl-PL"/>
              </w:rPr>
            </w:pPr>
            <w:r w:rsidRPr="007060EE">
              <w:rPr>
                <w:b/>
                <w:color w:val="00B050"/>
                <w:szCs w:val="22"/>
              </w:rPr>
              <w:t>↑</w:t>
            </w:r>
          </w:p>
        </w:tc>
        <w:tc>
          <w:tcPr>
            <w:tcW w:w="992" w:type="dxa"/>
            <w:tcBorders>
              <w:top w:val="single" w:sz="2" w:space="0" w:color="F6BB00"/>
              <w:bottom w:val="single" w:sz="2" w:space="0" w:color="F6BB00"/>
            </w:tcBorders>
            <w:vAlign w:val="center"/>
          </w:tcPr>
          <w:p w14:paraId="12855513" w14:textId="77777777" w:rsidR="004E6832" w:rsidRPr="008B2D2C" w:rsidRDefault="004E6832" w:rsidP="006828EB">
            <w:pPr>
              <w:spacing w:after="0" w:line="240" w:lineRule="auto"/>
              <w:jc w:val="left"/>
              <w:rPr>
                <w:sz w:val="18"/>
                <w:szCs w:val="18"/>
                <w:lang w:eastAsia="pl-PL"/>
              </w:rPr>
            </w:pPr>
            <w:r w:rsidRPr="007060EE">
              <w:rPr>
                <w:b/>
                <w:color w:val="00B050"/>
                <w:sz w:val="18"/>
                <w:szCs w:val="18"/>
              </w:rPr>
              <w:t>(15)</w:t>
            </w:r>
          </w:p>
        </w:tc>
        <w:tc>
          <w:tcPr>
            <w:tcW w:w="1843" w:type="dxa"/>
            <w:tcBorders>
              <w:top w:val="single" w:sz="2" w:space="0" w:color="F6BB00"/>
              <w:bottom w:val="single" w:sz="2" w:space="0" w:color="F6BB00"/>
            </w:tcBorders>
            <w:vAlign w:val="center"/>
          </w:tcPr>
          <w:p w14:paraId="201D8249" w14:textId="77777777" w:rsidR="004E6832" w:rsidRPr="00684103" w:rsidRDefault="004E6832" w:rsidP="006828EB">
            <w:pPr>
              <w:spacing w:after="0" w:line="240" w:lineRule="auto"/>
              <w:jc w:val="center"/>
              <w:rPr>
                <w:b/>
                <w:sz w:val="18"/>
                <w:szCs w:val="18"/>
                <w:lang w:eastAsia="pl-PL"/>
              </w:rPr>
            </w:pPr>
            <w:r w:rsidRPr="00684103">
              <w:rPr>
                <w:b/>
                <w:color w:val="FF0000"/>
                <w:sz w:val="18"/>
                <w:szCs w:val="18"/>
              </w:rPr>
              <w:t>-3 (13)</w:t>
            </w:r>
          </w:p>
        </w:tc>
      </w:tr>
    </w:tbl>
    <w:p w14:paraId="75CC7287" w14:textId="77777777" w:rsidR="004E6832" w:rsidRPr="00AB5EAA" w:rsidRDefault="004E6832" w:rsidP="004E6832">
      <w:pPr>
        <w:spacing w:after="160" w:line="259" w:lineRule="auto"/>
        <w:rPr>
          <w:sz w:val="12"/>
          <w:szCs w:val="12"/>
          <w:lang w:eastAsia="pl-PL"/>
        </w:rPr>
      </w:pPr>
      <w:r w:rsidRPr="00AB5EAA">
        <w:rPr>
          <w:sz w:val="12"/>
          <w:szCs w:val="12"/>
          <w:lang w:eastAsia="pl-PL"/>
        </w:rPr>
        <w:t>Źródło: opracowanie własne na podstawie danych GUS.</w:t>
      </w:r>
    </w:p>
    <w:p w14:paraId="3F528F11" w14:textId="77777777" w:rsidR="006828EB" w:rsidRDefault="006828EB" w:rsidP="006828EB">
      <w:pPr>
        <w:pStyle w:val="Nagwek3"/>
        <w:rPr>
          <w:rStyle w:val="5yl5"/>
        </w:rPr>
      </w:pPr>
      <w:bookmarkStart w:id="85" w:name="_Toc5699454"/>
      <w:r>
        <w:rPr>
          <w:rStyle w:val="5yl5"/>
        </w:rPr>
        <w:t>Postępy w realizacji celów strategicznych</w:t>
      </w:r>
      <w:bookmarkEnd w:id="85"/>
    </w:p>
    <w:p w14:paraId="5D4759EA" w14:textId="19FA8F50" w:rsidR="00F232F2" w:rsidRDefault="006828EB" w:rsidP="006828EB">
      <w:pPr>
        <w:rPr>
          <w:lang w:eastAsia="pl-PL"/>
        </w:rPr>
      </w:pPr>
      <w:r>
        <w:rPr>
          <w:lang w:eastAsia="pl-PL"/>
        </w:rPr>
        <w:t xml:space="preserve">Kompleksowa ocena realizacji celów strategicznych oparta o przyjęte wskaźniki może nasuwać pewne trudności ze względu na </w:t>
      </w:r>
      <w:r w:rsidR="00F232F2">
        <w:rPr>
          <w:lang w:eastAsia="pl-PL"/>
        </w:rPr>
        <w:t xml:space="preserve">argumenty, które zaprezentowano w rozdziale </w:t>
      </w:r>
      <w:r w:rsidR="000114F2">
        <w:rPr>
          <w:lang w:eastAsia="pl-PL"/>
        </w:rPr>
        <w:t>6</w:t>
      </w:r>
      <w:r w:rsidR="00F232F2">
        <w:rPr>
          <w:lang w:eastAsia="pl-PL"/>
        </w:rPr>
        <w:t xml:space="preserve">. Poniżej zamieszczono wartości wszystkich wskaźników, które były możliwe do uzupełnienia ze względu na dostępność danych </w:t>
      </w:r>
      <w:r w:rsidR="00F232F2">
        <w:rPr>
          <w:rStyle w:val="5yl5"/>
        </w:rPr>
        <w:t>(</w:t>
      </w:r>
      <w:r w:rsidR="00F232F2" w:rsidRPr="416AC848">
        <w:fldChar w:fldCharType="begin"/>
      </w:r>
      <w:r w:rsidR="00F232F2">
        <w:rPr>
          <w:rStyle w:val="5yl5"/>
        </w:rPr>
        <w:instrText xml:space="preserve"> REF _Ref536645484 \h </w:instrText>
      </w:r>
      <w:r w:rsidR="00F232F2" w:rsidRPr="416AC848">
        <w:rPr>
          <w:rStyle w:val="5yl5"/>
        </w:rPr>
        <w:fldChar w:fldCharType="separate"/>
      </w:r>
      <w:r w:rsidR="007F4FA2">
        <w:t>Tabela</w:t>
      </w:r>
      <w:r w:rsidR="007F4FA2" w:rsidRPr="1FA2818E">
        <w:t xml:space="preserve"> </w:t>
      </w:r>
      <w:r w:rsidR="007F4FA2">
        <w:rPr>
          <w:noProof/>
        </w:rPr>
        <w:t>12</w:t>
      </w:r>
      <w:r w:rsidR="00F232F2" w:rsidRPr="416AC848">
        <w:fldChar w:fldCharType="end"/>
      </w:r>
      <w:r w:rsidR="00F232F2">
        <w:rPr>
          <w:rStyle w:val="5yl5"/>
        </w:rPr>
        <w:t>)</w:t>
      </w:r>
      <w:r w:rsidR="00F232F2">
        <w:rPr>
          <w:lang w:eastAsia="pl-PL"/>
        </w:rPr>
        <w:t>.</w:t>
      </w:r>
    </w:p>
    <w:p w14:paraId="68DA5BB3" w14:textId="0D7004C3" w:rsidR="004E6832" w:rsidRPr="001367A6" w:rsidRDefault="00F232F2" w:rsidP="004E6832">
      <w:pPr>
        <w:rPr>
          <w:lang w:eastAsia="pl-PL"/>
        </w:rPr>
      </w:pPr>
      <w:r>
        <w:rPr>
          <w:lang w:eastAsia="pl-PL"/>
        </w:rPr>
        <w:t xml:space="preserve">Syntetycznie można stwierdzić, że spośród </w:t>
      </w:r>
      <w:r w:rsidR="000114F2">
        <w:rPr>
          <w:lang w:eastAsia="pl-PL"/>
        </w:rPr>
        <w:t>90</w:t>
      </w:r>
      <w:r>
        <w:rPr>
          <w:lang w:eastAsia="pl-PL"/>
        </w:rPr>
        <w:t xml:space="preserve"> wskaźników, osiągnięto pożądany kierunek zmian w przypadku </w:t>
      </w:r>
      <w:r w:rsidR="000114F2">
        <w:rPr>
          <w:lang w:eastAsia="pl-PL"/>
        </w:rPr>
        <w:t xml:space="preserve">62 </w:t>
      </w:r>
      <w:r>
        <w:rPr>
          <w:lang w:eastAsia="pl-PL"/>
        </w:rPr>
        <w:t>wskaźników</w:t>
      </w:r>
      <w:r w:rsidR="000114F2">
        <w:rPr>
          <w:lang w:eastAsia="pl-PL"/>
        </w:rPr>
        <w:t xml:space="preserve"> (69%)</w:t>
      </w:r>
      <w:r>
        <w:rPr>
          <w:lang w:eastAsia="pl-PL"/>
        </w:rPr>
        <w:t>. Prowadzone obliczenia prezentują pozycję regionu w zakresie dynamiki zmiany w stosunku do pozostałych województw, jak i w zakresie aktualnej pozycji rankingo</w:t>
      </w:r>
      <w:r w:rsidR="000114F2">
        <w:rPr>
          <w:lang w:eastAsia="pl-PL"/>
        </w:rPr>
        <w:t>wej (możliwie najświeższe dane).</w:t>
      </w:r>
    </w:p>
    <w:p w14:paraId="1BFCDB1D" w14:textId="5773DA31" w:rsidR="004E6832" w:rsidRDefault="004E6832" w:rsidP="004E6832">
      <w:pPr>
        <w:pStyle w:val="Legenda"/>
        <w:keepNext/>
      </w:pPr>
      <w:bookmarkStart w:id="86" w:name="_Ref536645484"/>
      <w:bookmarkStart w:id="87" w:name="_Toc5699545"/>
      <w:r>
        <w:t>Tabela</w:t>
      </w:r>
      <w:r w:rsidRPr="1FA2818E">
        <w:t xml:space="preserve"> </w:t>
      </w:r>
      <w:r w:rsidRPr="3A105AF1">
        <w:fldChar w:fldCharType="begin"/>
      </w:r>
      <w:r>
        <w:rPr>
          <w:noProof/>
        </w:rPr>
        <w:instrText xml:space="preserve"> SEQ Tabela \* ARABIC </w:instrText>
      </w:r>
      <w:r w:rsidRPr="3A105AF1">
        <w:rPr>
          <w:noProof/>
        </w:rPr>
        <w:fldChar w:fldCharType="separate"/>
      </w:r>
      <w:r w:rsidR="007F4FA2">
        <w:rPr>
          <w:noProof/>
        </w:rPr>
        <w:t>12</w:t>
      </w:r>
      <w:r w:rsidRPr="3A105AF1">
        <w:fldChar w:fldCharType="end"/>
      </w:r>
      <w:bookmarkEnd w:id="86"/>
      <w:r w:rsidRPr="1FA2818E">
        <w:t xml:space="preserve">. </w:t>
      </w:r>
      <w:r>
        <w:t>Wskaźniki celów strategicznych i ich zmiana w latach 2012-2017</w:t>
      </w:r>
      <w:bookmarkEnd w:id="87"/>
    </w:p>
    <w:p w14:paraId="4E6EAF64" w14:textId="49F31E91" w:rsidR="004E6832" w:rsidRPr="0057408C" w:rsidRDefault="007E5D80" w:rsidP="004E6832">
      <w:pPr>
        <w:rPr>
          <w:lang w:eastAsia="pl-PL"/>
        </w:rPr>
      </w:pPr>
      <w:r>
        <w:rPr>
          <w:sz w:val="16"/>
          <w:szCs w:val="16"/>
          <w:lang w:eastAsia="pl-PL"/>
        </w:rPr>
        <w:t xml:space="preserve">Objaśnienia: </w:t>
      </w:r>
      <w:r w:rsidRPr="00984216">
        <w:rPr>
          <w:b/>
          <w:sz w:val="16"/>
          <w:szCs w:val="16"/>
          <w:lang w:eastAsia="pl-PL"/>
        </w:rPr>
        <w:t>kolory strzałek</w:t>
      </w:r>
      <w:r w:rsidRPr="004975E5">
        <w:rPr>
          <w:sz w:val="16"/>
          <w:szCs w:val="16"/>
          <w:lang w:eastAsia="pl-PL"/>
        </w:rPr>
        <w:t xml:space="preserve">: zielona zmiana pozytywna, czerwona – zmiana negatywna; </w:t>
      </w:r>
      <w:r w:rsidRPr="00984216">
        <w:rPr>
          <w:b/>
          <w:sz w:val="16"/>
          <w:szCs w:val="16"/>
          <w:lang w:eastAsia="pl-PL"/>
        </w:rPr>
        <w:t>kierunek strzałek</w:t>
      </w:r>
      <w:r w:rsidRPr="004975E5">
        <w:rPr>
          <w:sz w:val="16"/>
          <w:szCs w:val="16"/>
          <w:lang w:eastAsia="pl-PL"/>
        </w:rPr>
        <w:t>: góra – wzrost; dół – spadek</w:t>
      </w:r>
      <w:r>
        <w:rPr>
          <w:sz w:val="16"/>
          <w:szCs w:val="16"/>
          <w:lang w:eastAsia="pl-PL"/>
        </w:rPr>
        <w:t xml:space="preserve">; </w:t>
      </w:r>
      <w:r w:rsidRPr="007E5D80">
        <w:rPr>
          <w:b/>
          <w:sz w:val="16"/>
          <w:szCs w:val="16"/>
          <w:lang w:eastAsia="pl-PL"/>
        </w:rPr>
        <w:t>„+”</w:t>
      </w:r>
      <w:r>
        <w:rPr>
          <w:sz w:val="16"/>
          <w:szCs w:val="16"/>
          <w:lang w:eastAsia="pl-PL"/>
        </w:rPr>
        <w:t xml:space="preserve"> – oznacza poprawę pozycji w rankingu; </w:t>
      </w:r>
      <w:r w:rsidRPr="007E5D80">
        <w:rPr>
          <w:b/>
          <w:sz w:val="16"/>
          <w:szCs w:val="16"/>
          <w:lang w:eastAsia="pl-PL"/>
        </w:rPr>
        <w:t>„-„</w:t>
      </w:r>
      <w:r>
        <w:rPr>
          <w:sz w:val="16"/>
          <w:szCs w:val="16"/>
          <w:lang w:eastAsia="pl-PL"/>
        </w:rPr>
        <w:t xml:space="preserve"> – pogorszenie pozycji w rankingu; </w:t>
      </w:r>
      <w:r w:rsidRPr="007E5D80">
        <w:rPr>
          <w:b/>
          <w:sz w:val="16"/>
          <w:szCs w:val="16"/>
          <w:lang w:eastAsia="pl-PL"/>
        </w:rPr>
        <w:t>wartości w nawiasach „ranking zmiany”</w:t>
      </w:r>
      <w:r w:rsidRPr="004975E5">
        <w:rPr>
          <w:sz w:val="16"/>
          <w:szCs w:val="16"/>
          <w:lang w:eastAsia="pl-PL"/>
        </w:rPr>
        <w:t>:</w:t>
      </w:r>
      <w:r>
        <w:rPr>
          <w:sz w:val="16"/>
          <w:szCs w:val="16"/>
          <w:lang w:eastAsia="pl-PL"/>
        </w:rPr>
        <w:t xml:space="preserve"> 1 – pozycja najlepsza ze względu na wielkość zmiany – np. najwyższy wzrost PKB lub największy spadek bezrobocia; </w:t>
      </w:r>
      <w:r w:rsidRPr="007E5D80">
        <w:rPr>
          <w:b/>
          <w:sz w:val="16"/>
          <w:szCs w:val="16"/>
          <w:lang w:eastAsia="pl-PL"/>
        </w:rPr>
        <w:t>wartości w nawiasach „pozycja aktualna”</w:t>
      </w:r>
      <w:r>
        <w:rPr>
          <w:sz w:val="16"/>
          <w:szCs w:val="16"/>
          <w:lang w:eastAsia="pl-PL"/>
        </w:rPr>
        <w:t>:</w:t>
      </w:r>
      <w:r w:rsidRPr="004975E5">
        <w:rPr>
          <w:sz w:val="16"/>
          <w:szCs w:val="16"/>
          <w:lang w:eastAsia="pl-PL"/>
        </w:rPr>
        <w:t xml:space="preserve"> 1 pozycja najlepsza…; 16 – pozycja najgorsza</w:t>
      </w:r>
      <w:r>
        <w:rPr>
          <w:sz w:val="16"/>
          <w:szCs w:val="16"/>
          <w:lang w:eastAsia="pl-PL"/>
        </w:rPr>
        <w:t xml:space="preserve">; </w:t>
      </w:r>
      <w:r w:rsidRPr="004975E5">
        <w:rPr>
          <w:sz w:val="16"/>
          <w:szCs w:val="16"/>
          <w:lang w:eastAsia="pl-PL"/>
        </w:rPr>
        <w:t>w przypadku bezrobocia „1” oznacza najniższe bezrobocie, z kolei w przypadku PKB „1” oznacza najwyższe PKB)</w:t>
      </w:r>
      <w:r>
        <w:rPr>
          <w:sz w:val="16"/>
          <w:szCs w:val="16"/>
          <w:lang w:eastAsia="pl-PL"/>
        </w:rPr>
        <w:t>.</w:t>
      </w:r>
    </w:p>
    <w:tbl>
      <w:tblPr>
        <w:tblStyle w:val="Tabela-Siatka"/>
        <w:tblW w:w="8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ela 11. Wskaźniki celów strategicznych i ich zmiana w latach 2012-2017"/>
        <w:tblDescription w:val="Tabela przedstawia zmianę, jaka dokonała się w latach 2012-2017 we wskaźnikach celów strategicznych oraz aktualną pozycję Wielkopolski pod względem każdego ze wskaźników."/>
      </w:tblPr>
      <w:tblGrid>
        <w:gridCol w:w="6237"/>
        <w:gridCol w:w="850"/>
        <w:gridCol w:w="567"/>
        <w:gridCol w:w="255"/>
        <w:gridCol w:w="1023"/>
      </w:tblGrid>
      <w:tr w:rsidR="004E6832" w:rsidRPr="00EB1427" w14:paraId="5DC3E583" w14:textId="77777777" w:rsidTr="00734085">
        <w:trPr>
          <w:tblHeader/>
        </w:trPr>
        <w:tc>
          <w:tcPr>
            <w:tcW w:w="6237" w:type="dxa"/>
            <w:shd w:val="clear" w:color="auto" w:fill="F6BB00"/>
          </w:tcPr>
          <w:p w14:paraId="074B7097" w14:textId="77777777" w:rsidR="004E6832" w:rsidRPr="00EB1427" w:rsidRDefault="004E6832" w:rsidP="006828EB">
            <w:pPr>
              <w:spacing w:after="0" w:line="240" w:lineRule="auto"/>
              <w:jc w:val="center"/>
              <w:rPr>
                <w:b/>
                <w:sz w:val="18"/>
                <w:szCs w:val="18"/>
              </w:rPr>
            </w:pPr>
            <w:r>
              <w:rPr>
                <w:b/>
                <w:sz w:val="18"/>
                <w:szCs w:val="18"/>
              </w:rPr>
              <w:t>Wskaźnik</w:t>
            </w:r>
          </w:p>
        </w:tc>
        <w:tc>
          <w:tcPr>
            <w:tcW w:w="2695" w:type="dxa"/>
            <w:gridSpan w:val="4"/>
            <w:shd w:val="clear" w:color="auto" w:fill="F6BB00"/>
          </w:tcPr>
          <w:p w14:paraId="742AFB7D" w14:textId="77777777" w:rsidR="004E6832" w:rsidRPr="00EB1427" w:rsidRDefault="004E6832" w:rsidP="006828EB">
            <w:pPr>
              <w:spacing w:after="0" w:line="240" w:lineRule="auto"/>
              <w:jc w:val="center"/>
              <w:rPr>
                <w:b/>
                <w:sz w:val="18"/>
                <w:szCs w:val="18"/>
              </w:rPr>
            </w:pPr>
            <w:r>
              <w:rPr>
                <w:b/>
                <w:sz w:val="18"/>
                <w:szCs w:val="18"/>
              </w:rPr>
              <w:t>Zmiana w latach 2012-2017</w:t>
            </w:r>
          </w:p>
          <w:p w14:paraId="2FFED1D0" w14:textId="77777777" w:rsidR="004E6832" w:rsidRDefault="004E6832" w:rsidP="006828EB">
            <w:pPr>
              <w:spacing w:after="0" w:line="240" w:lineRule="auto"/>
              <w:jc w:val="center"/>
              <w:rPr>
                <w:b/>
                <w:sz w:val="18"/>
                <w:szCs w:val="18"/>
              </w:rPr>
            </w:pPr>
          </w:p>
        </w:tc>
      </w:tr>
      <w:tr w:rsidR="004E6832" w:rsidRPr="00EB1427" w14:paraId="3823F252" w14:textId="77777777" w:rsidTr="00734085">
        <w:trPr>
          <w:tblHeader/>
        </w:trPr>
        <w:tc>
          <w:tcPr>
            <w:tcW w:w="6237" w:type="dxa"/>
            <w:shd w:val="clear" w:color="auto" w:fill="F6BB00"/>
          </w:tcPr>
          <w:p w14:paraId="3F48C156" w14:textId="77777777" w:rsidR="004E6832" w:rsidRDefault="004E6832" w:rsidP="006828EB">
            <w:pPr>
              <w:spacing w:after="0" w:line="240" w:lineRule="auto"/>
              <w:jc w:val="center"/>
              <w:rPr>
                <w:b/>
                <w:sz w:val="18"/>
                <w:szCs w:val="18"/>
              </w:rPr>
            </w:pPr>
          </w:p>
        </w:tc>
        <w:tc>
          <w:tcPr>
            <w:tcW w:w="1417" w:type="dxa"/>
            <w:gridSpan w:val="2"/>
            <w:shd w:val="clear" w:color="auto" w:fill="F6BB00"/>
          </w:tcPr>
          <w:p w14:paraId="00AA14D6" w14:textId="77777777" w:rsidR="004E6832" w:rsidRDefault="004E6832" w:rsidP="006828EB">
            <w:pPr>
              <w:spacing w:after="0" w:line="240" w:lineRule="auto"/>
              <w:jc w:val="center"/>
              <w:rPr>
                <w:b/>
                <w:sz w:val="18"/>
                <w:szCs w:val="18"/>
              </w:rPr>
            </w:pPr>
            <w:r>
              <w:rPr>
                <w:b/>
                <w:sz w:val="18"/>
                <w:szCs w:val="18"/>
              </w:rPr>
              <w:t>wartości wskaźnika</w:t>
            </w:r>
          </w:p>
          <w:p w14:paraId="652DC58D" w14:textId="73993265" w:rsidR="00D01435" w:rsidRPr="00EB1427" w:rsidRDefault="00D01435" w:rsidP="006828EB">
            <w:pPr>
              <w:spacing w:after="0" w:line="240" w:lineRule="auto"/>
              <w:jc w:val="center"/>
              <w:rPr>
                <w:b/>
                <w:sz w:val="18"/>
                <w:szCs w:val="18"/>
              </w:rPr>
            </w:pPr>
            <w:r>
              <w:rPr>
                <w:b/>
                <w:sz w:val="18"/>
                <w:szCs w:val="18"/>
              </w:rPr>
              <w:t>(ranking zmiany)</w:t>
            </w:r>
          </w:p>
        </w:tc>
        <w:tc>
          <w:tcPr>
            <w:tcW w:w="1278" w:type="dxa"/>
            <w:gridSpan w:val="2"/>
            <w:shd w:val="clear" w:color="auto" w:fill="F6BB00"/>
          </w:tcPr>
          <w:p w14:paraId="28008CBD" w14:textId="77777777" w:rsidR="004E6832" w:rsidRDefault="004E6832" w:rsidP="006828EB">
            <w:pPr>
              <w:spacing w:after="0" w:line="240" w:lineRule="auto"/>
              <w:jc w:val="center"/>
              <w:rPr>
                <w:b/>
                <w:sz w:val="18"/>
                <w:szCs w:val="18"/>
              </w:rPr>
            </w:pPr>
            <w:r>
              <w:rPr>
                <w:b/>
                <w:sz w:val="18"/>
                <w:szCs w:val="18"/>
              </w:rPr>
              <w:t>pozycji Wielkopolski (aktualna)</w:t>
            </w:r>
          </w:p>
        </w:tc>
      </w:tr>
      <w:tr w:rsidR="004E6832" w:rsidRPr="00EB1427" w14:paraId="5DB87732" w14:textId="77777777" w:rsidTr="00734085">
        <w:tc>
          <w:tcPr>
            <w:tcW w:w="6237" w:type="dxa"/>
            <w:tcBorders>
              <w:top w:val="single" w:sz="2" w:space="0" w:color="F6BB00"/>
              <w:bottom w:val="single" w:sz="2" w:space="0" w:color="F6BB00"/>
            </w:tcBorders>
            <w:vAlign w:val="center"/>
          </w:tcPr>
          <w:p w14:paraId="56140E74" w14:textId="77777777" w:rsidR="004E6832" w:rsidRPr="00EB1427" w:rsidRDefault="004E6832" w:rsidP="006828EB">
            <w:pPr>
              <w:spacing w:after="0" w:line="240" w:lineRule="auto"/>
              <w:jc w:val="left"/>
              <w:rPr>
                <w:sz w:val="18"/>
                <w:szCs w:val="18"/>
              </w:rPr>
            </w:pPr>
          </w:p>
        </w:tc>
        <w:tc>
          <w:tcPr>
            <w:tcW w:w="850" w:type="dxa"/>
            <w:tcBorders>
              <w:top w:val="single" w:sz="2" w:space="0" w:color="F6BB00"/>
              <w:bottom w:val="single" w:sz="2" w:space="0" w:color="F6BB00"/>
            </w:tcBorders>
            <w:vAlign w:val="center"/>
          </w:tcPr>
          <w:p w14:paraId="5A7B49BC" w14:textId="77777777" w:rsidR="004E6832" w:rsidRPr="007060EE" w:rsidRDefault="004E6832" w:rsidP="006828EB">
            <w:pPr>
              <w:spacing w:after="0" w:line="240" w:lineRule="auto"/>
              <w:jc w:val="center"/>
              <w:rPr>
                <w:color w:val="00B050"/>
                <w:sz w:val="18"/>
                <w:szCs w:val="18"/>
              </w:rPr>
            </w:pPr>
          </w:p>
        </w:tc>
        <w:tc>
          <w:tcPr>
            <w:tcW w:w="567" w:type="dxa"/>
            <w:tcBorders>
              <w:top w:val="single" w:sz="2" w:space="0" w:color="F6BB00"/>
              <w:bottom w:val="single" w:sz="2" w:space="0" w:color="F6BB00"/>
            </w:tcBorders>
            <w:vAlign w:val="center"/>
          </w:tcPr>
          <w:p w14:paraId="46C8AA15" w14:textId="77777777" w:rsidR="004E6832" w:rsidRPr="007060EE" w:rsidRDefault="004E6832" w:rsidP="006828EB">
            <w:pPr>
              <w:spacing w:after="0" w:line="240" w:lineRule="auto"/>
              <w:jc w:val="center"/>
              <w:rPr>
                <w:color w:val="00B050"/>
                <w:sz w:val="18"/>
                <w:szCs w:val="18"/>
              </w:rPr>
            </w:pPr>
          </w:p>
        </w:tc>
        <w:tc>
          <w:tcPr>
            <w:tcW w:w="1278" w:type="dxa"/>
            <w:gridSpan w:val="2"/>
            <w:tcBorders>
              <w:top w:val="single" w:sz="2" w:space="0" w:color="F6BB00"/>
              <w:bottom w:val="single" w:sz="2" w:space="0" w:color="F6BB00"/>
            </w:tcBorders>
            <w:vAlign w:val="center"/>
          </w:tcPr>
          <w:p w14:paraId="1B31B9FA" w14:textId="77777777" w:rsidR="004E6832" w:rsidRPr="008B2D2C" w:rsidRDefault="004E6832" w:rsidP="006828EB">
            <w:pPr>
              <w:spacing w:after="0" w:line="240" w:lineRule="auto"/>
              <w:jc w:val="center"/>
              <w:rPr>
                <w:sz w:val="18"/>
                <w:szCs w:val="18"/>
              </w:rPr>
            </w:pPr>
          </w:p>
        </w:tc>
      </w:tr>
      <w:tr w:rsidR="004E6832" w:rsidRPr="00EB1427" w14:paraId="501D5DAB" w14:textId="77777777" w:rsidTr="00734085">
        <w:tc>
          <w:tcPr>
            <w:tcW w:w="6237" w:type="dxa"/>
            <w:tcBorders>
              <w:top w:val="single" w:sz="2" w:space="0" w:color="F6BB00"/>
              <w:bottom w:val="single" w:sz="2" w:space="0" w:color="F6BB00"/>
            </w:tcBorders>
            <w:shd w:val="clear" w:color="auto" w:fill="F6BB00"/>
            <w:vAlign w:val="center"/>
          </w:tcPr>
          <w:p w14:paraId="08C1AF08" w14:textId="77777777" w:rsidR="004E6832" w:rsidRPr="00942877" w:rsidRDefault="004E6832" w:rsidP="006828EB">
            <w:pPr>
              <w:spacing w:after="0" w:line="240" w:lineRule="auto"/>
              <w:jc w:val="left"/>
              <w:rPr>
                <w:sz w:val="18"/>
                <w:szCs w:val="18"/>
              </w:rPr>
            </w:pPr>
            <w:r w:rsidRPr="00AB5EAA">
              <w:rPr>
                <w:sz w:val="18"/>
                <w:szCs w:val="18"/>
              </w:rPr>
              <w:t>Cel strategiczny 1. Poprawa dostępności komunikacyjnej regionu</w:t>
            </w:r>
          </w:p>
        </w:tc>
        <w:tc>
          <w:tcPr>
            <w:tcW w:w="850" w:type="dxa"/>
            <w:tcBorders>
              <w:top w:val="single" w:sz="2" w:space="0" w:color="F6BB00"/>
              <w:bottom w:val="single" w:sz="2" w:space="0" w:color="F6BB00"/>
            </w:tcBorders>
            <w:shd w:val="clear" w:color="auto" w:fill="F6BB00"/>
            <w:vAlign w:val="center"/>
          </w:tcPr>
          <w:p w14:paraId="09646EAC" w14:textId="77777777" w:rsidR="004E6832" w:rsidRPr="00942877" w:rsidRDefault="004E6832" w:rsidP="00734085">
            <w:pPr>
              <w:spacing w:after="0" w:line="240" w:lineRule="auto"/>
              <w:jc w:val="right"/>
              <w:rPr>
                <w:b/>
                <w:color w:val="FF0000"/>
                <w:szCs w:val="22"/>
              </w:rPr>
            </w:pPr>
          </w:p>
        </w:tc>
        <w:tc>
          <w:tcPr>
            <w:tcW w:w="567" w:type="dxa"/>
            <w:tcBorders>
              <w:top w:val="single" w:sz="2" w:space="0" w:color="F6BB00"/>
              <w:bottom w:val="single" w:sz="2" w:space="0" w:color="F6BB00"/>
            </w:tcBorders>
            <w:shd w:val="clear" w:color="auto" w:fill="F6BB00"/>
            <w:vAlign w:val="center"/>
          </w:tcPr>
          <w:p w14:paraId="6CF668C4" w14:textId="77777777" w:rsidR="004E6832" w:rsidRPr="008B2D2C" w:rsidRDefault="004E6832" w:rsidP="006828EB">
            <w:pPr>
              <w:spacing w:after="0" w:line="240" w:lineRule="auto"/>
              <w:jc w:val="center"/>
              <w:rPr>
                <w:b/>
                <w:color w:val="FF0000"/>
                <w:sz w:val="18"/>
                <w:szCs w:val="18"/>
              </w:rPr>
            </w:pPr>
          </w:p>
        </w:tc>
        <w:tc>
          <w:tcPr>
            <w:tcW w:w="1278" w:type="dxa"/>
            <w:gridSpan w:val="2"/>
            <w:tcBorders>
              <w:top w:val="single" w:sz="2" w:space="0" w:color="F6BB00"/>
              <w:bottom w:val="single" w:sz="2" w:space="0" w:color="F6BB00"/>
            </w:tcBorders>
            <w:shd w:val="clear" w:color="auto" w:fill="F6BB00"/>
            <w:vAlign w:val="center"/>
          </w:tcPr>
          <w:p w14:paraId="441E0E74" w14:textId="77777777" w:rsidR="004E6832" w:rsidRPr="008B2D2C" w:rsidRDefault="004E6832" w:rsidP="006828EB">
            <w:pPr>
              <w:spacing w:after="0" w:line="240" w:lineRule="auto"/>
              <w:jc w:val="center"/>
              <w:rPr>
                <w:sz w:val="18"/>
                <w:szCs w:val="18"/>
              </w:rPr>
            </w:pPr>
          </w:p>
        </w:tc>
      </w:tr>
      <w:tr w:rsidR="004E6832" w:rsidRPr="00EB1427" w14:paraId="229FF3C8" w14:textId="77777777" w:rsidTr="00734085">
        <w:tc>
          <w:tcPr>
            <w:tcW w:w="6237" w:type="dxa"/>
            <w:tcBorders>
              <w:top w:val="single" w:sz="2" w:space="0" w:color="F6BB00"/>
              <w:bottom w:val="single" w:sz="2" w:space="0" w:color="F6BB00"/>
            </w:tcBorders>
            <w:vAlign w:val="center"/>
          </w:tcPr>
          <w:p w14:paraId="119F47AF" w14:textId="32117AC7" w:rsidR="004E6832" w:rsidRPr="00942877" w:rsidRDefault="004E6832" w:rsidP="006828EB">
            <w:pPr>
              <w:spacing w:after="0" w:line="240" w:lineRule="auto"/>
              <w:jc w:val="left"/>
              <w:rPr>
                <w:sz w:val="18"/>
                <w:szCs w:val="18"/>
              </w:rPr>
            </w:pPr>
            <w:r w:rsidRPr="00460E62">
              <w:rPr>
                <w:sz w:val="18"/>
                <w:szCs w:val="18"/>
              </w:rPr>
              <w:t>Drogi publiczne o twardej nawierzchni na 100 km</w:t>
            </w:r>
            <w:r w:rsidRPr="0057408C">
              <w:rPr>
                <w:sz w:val="18"/>
                <w:szCs w:val="18"/>
                <w:vertAlign w:val="superscript"/>
              </w:rPr>
              <w:t>2</w:t>
            </w:r>
          </w:p>
        </w:tc>
        <w:tc>
          <w:tcPr>
            <w:tcW w:w="850" w:type="dxa"/>
            <w:tcBorders>
              <w:top w:val="single" w:sz="2" w:space="0" w:color="F6BB00"/>
              <w:bottom w:val="single" w:sz="2" w:space="0" w:color="F6BB00"/>
            </w:tcBorders>
            <w:vAlign w:val="center"/>
          </w:tcPr>
          <w:p w14:paraId="268DC0E5" w14:textId="77777777" w:rsidR="004E6832" w:rsidRPr="00426D3C" w:rsidRDefault="004E6832" w:rsidP="00734085">
            <w:pPr>
              <w:spacing w:after="0" w:line="240" w:lineRule="auto"/>
              <w:jc w:val="right"/>
              <w:rPr>
                <w:b/>
                <w:color w:val="00B050"/>
                <w:szCs w:val="22"/>
              </w:rPr>
            </w:pPr>
            <w:r w:rsidRPr="00426D3C">
              <w:rPr>
                <w:b/>
                <w:color w:val="00B050"/>
                <w:szCs w:val="22"/>
              </w:rPr>
              <w:t>↑</w:t>
            </w:r>
          </w:p>
        </w:tc>
        <w:tc>
          <w:tcPr>
            <w:tcW w:w="567" w:type="dxa"/>
            <w:tcBorders>
              <w:top w:val="single" w:sz="2" w:space="0" w:color="F6BB00"/>
              <w:bottom w:val="single" w:sz="2" w:space="0" w:color="F6BB00"/>
            </w:tcBorders>
            <w:vAlign w:val="center"/>
          </w:tcPr>
          <w:p w14:paraId="272DCD23" w14:textId="77777777" w:rsidR="004E6832" w:rsidRPr="00426D3C" w:rsidRDefault="004E6832" w:rsidP="006828EB">
            <w:pPr>
              <w:spacing w:after="0" w:line="240" w:lineRule="auto"/>
              <w:jc w:val="center"/>
              <w:rPr>
                <w:b/>
                <w:color w:val="00B050"/>
                <w:sz w:val="18"/>
                <w:szCs w:val="18"/>
              </w:rPr>
            </w:pPr>
            <w:r w:rsidRPr="00426D3C">
              <w:rPr>
                <w:b/>
                <w:color w:val="00B050"/>
                <w:sz w:val="18"/>
                <w:szCs w:val="18"/>
              </w:rPr>
              <w:t>(7)</w:t>
            </w:r>
          </w:p>
        </w:tc>
        <w:tc>
          <w:tcPr>
            <w:tcW w:w="1278" w:type="dxa"/>
            <w:gridSpan w:val="2"/>
            <w:tcBorders>
              <w:top w:val="single" w:sz="2" w:space="0" w:color="F6BB00"/>
              <w:bottom w:val="single" w:sz="2" w:space="0" w:color="F6BB00"/>
            </w:tcBorders>
            <w:vAlign w:val="center"/>
          </w:tcPr>
          <w:p w14:paraId="2323772E" w14:textId="77777777" w:rsidR="004E6832" w:rsidRPr="0057408C" w:rsidRDefault="004E6832" w:rsidP="006828EB">
            <w:pPr>
              <w:spacing w:after="0" w:line="240" w:lineRule="auto"/>
              <w:jc w:val="center"/>
              <w:rPr>
                <w:b/>
                <w:sz w:val="18"/>
                <w:szCs w:val="18"/>
              </w:rPr>
            </w:pPr>
            <w:r w:rsidRPr="0057408C">
              <w:rPr>
                <w:b/>
                <w:sz w:val="18"/>
                <w:szCs w:val="18"/>
              </w:rPr>
              <w:t>0 (7)</w:t>
            </w:r>
          </w:p>
        </w:tc>
      </w:tr>
      <w:tr w:rsidR="004E6832" w:rsidRPr="00EB1427" w14:paraId="0ACD68BF" w14:textId="77777777" w:rsidTr="00734085">
        <w:tc>
          <w:tcPr>
            <w:tcW w:w="6237" w:type="dxa"/>
            <w:tcBorders>
              <w:top w:val="single" w:sz="2" w:space="0" w:color="F6BB00"/>
              <w:bottom w:val="single" w:sz="2" w:space="0" w:color="F6BB00"/>
            </w:tcBorders>
            <w:vAlign w:val="center"/>
          </w:tcPr>
          <w:p w14:paraId="6D5811DA" w14:textId="77777777" w:rsidR="004E6832" w:rsidRPr="00942877" w:rsidRDefault="004E6832" w:rsidP="006828EB">
            <w:pPr>
              <w:spacing w:after="0" w:line="240" w:lineRule="auto"/>
              <w:jc w:val="left"/>
              <w:rPr>
                <w:sz w:val="18"/>
                <w:szCs w:val="18"/>
              </w:rPr>
            </w:pPr>
            <w:r w:rsidRPr="00460E62">
              <w:rPr>
                <w:sz w:val="18"/>
                <w:szCs w:val="18"/>
              </w:rPr>
              <w:t>Drogi publiczne o twardej nawierzchni na 10 tys. ludności</w:t>
            </w:r>
          </w:p>
        </w:tc>
        <w:tc>
          <w:tcPr>
            <w:tcW w:w="850" w:type="dxa"/>
            <w:tcBorders>
              <w:top w:val="single" w:sz="2" w:space="0" w:color="F6BB00"/>
              <w:bottom w:val="single" w:sz="2" w:space="0" w:color="F6BB00"/>
            </w:tcBorders>
            <w:vAlign w:val="center"/>
          </w:tcPr>
          <w:p w14:paraId="66B1BBFF" w14:textId="77777777" w:rsidR="004E6832" w:rsidRPr="00426D3C" w:rsidRDefault="004E6832" w:rsidP="00734085">
            <w:pPr>
              <w:spacing w:after="0" w:line="240" w:lineRule="auto"/>
              <w:jc w:val="right"/>
              <w:rPr>
                <w:b/>
                <w:color w:val="00B050"/>
                <w:szCs w:val="22"/>
              </w:rPr>
            </w:pPr>
            <w:r w:rsidRPr="00426D3C">
              <w:rPr>
                <w:b/>
                <w:color w:val="00B050"/>
                <w:szCs w:val="22"/>
              </w:rPr>
              <w:t>↑</w:t>
            </w:r>
          </w:p>
        </w:tc>
        <w:tc>
          <w:tcPr>
            <w:tcW w:w="567" w:type="dxa"/>
            <w:tcBorders>
              <w:top w:val="single" w:sz="2" w:space="0" w:color="F6BB00"/>
              <w:bottom w:val="single" w:sz="2" w:space="0" w:color="F6BB00"/>
            </w:tcBorders>
            <w:vAlign w:val="center"/>
          </w:tcPr>
          <w:p w14:paraId="4B8623BE" w14:textId="77777777" w:rsidR="004E6832" w:rsidRPr="00426D3C" w:rsidRDefault="004E6832" w:rsidP="006828EB">
            <w:pPr>
              <w:spacing w:after="0" w:line="240" w:lineRule="auto"/>
              <w:jc w:val="center"/>
              <w:rPr>
                <w:b/>
                <w:color w:val="00B050"/>
                <w:sz w:val="18"/>
                <w:szCs w:val="18"/>
              </w:rPr>
            </w:pPr>
            <w:r w:rsidRPr="00426D3C">
              <w:rPr>
                <w:b/>
                <w:color w:val="00B050"/>
                <w:sz w:val="18"/>
                <w:szCs w:val="18"/>
              </w:rPr>
              <w:t>(10)</w:t>
            </w:r>
          </w:p>
        </w:tc>
        <w:tc>
          <w:tcPr>
            <w:tcW w:w="1278" w:type="dxa"/>
            <w:gridSpan w:val="2"/>
            <w:tcBorders>
              <w:top w:val="single" w:sz="2" w:space="0" w:color="F6BB00"/>
              <w:bottom w:val="single" w:sz="2" w:space="0" w:color="F6BB00"/>
            </w:tcBorders>
            <w:vAlign w:val="center"/>
          </w:tcPr>
          <w:p w14:paraId="7415FE65" w14:textId="77777777" w:rsidR="004E6832" w:rsidRPr="0057408C" w:rsidRDefault="004E6832" w:rsidP="006828EB">
            <w:pPr>
              <w:spacing w:after="0" w:line="240" w:lineRule="auto"/>
              <w:jc w:val="center"/>
              <w:rPr>
                <w:b/>
                <w:sz w:val="18"/>
                <w:szCs w:val="18"/>
              </w:rPr>
            </w:pPr>
            <w:r w:rsidRPr="0057408C">
              <w:rPr>
                <w:b/>
                <w:sz w:val="18"/>
                <w:szCs w:val="18"/>
              </w:rPr>
              <w:t>0 (8)</w:t>
            </w:r>
          </w:p>
        </w:tc>
      </w:tr>
      <w:tr w:rsidR="004E6832" w:rsidRPr="00EB1427" w14:paraId="1D088E91" w14:textId="77777777" w:rsidTr="00734085">
        <w:tc>
          <w:tcPr>
            <w:tcW w:w="6237" w:type="dxa"/>
            <w:tcBorders>
              <w:top w:val="single" w:sz="2" w:space="0" w:color="F6BB00"/>
              <w:bottom w:val="single" w:sz="2" w:space="0" w:color="F6BB00"/>
            </w:tcBorders>
            <w:vAlign w:val="center"/>
          </w:tcPr>
          <w:p w14:paraId="05382B33" w14:textId="77777777" w:rsidR="004E6832" w:rsidRPr="00942877" w:rsidRDefault="004E6832" w:rsidP="006828EB">
            <w:pPr>
              <w:spacing w:after="0" w:line="240" w:lineRule="auto"/>
              <w:jc w:val="left"/>
              <w:rPr>
                <w:sz w:val="18"/>
                <w:szCs w:val="18"/>
              </w:rPr>
            </w:pPr>
            <w:r w:rsidRPr="00460E62">
              <w:rPr>
                <w:sz w:val="18"/>
                <w:szCs w:val="18"/>
              </w:rPr>
              <w:t>Linie kolejowe ogółem na 10 tys. ludności</w:t>
            </w:r>
          </w:p>
        </w:tc>
        <w:tc>
          <w:tcPr>
            <w:tcW w:w="850" w:type="dxa"/>
            <w:tcBorders>
              <w:top w:val="single" w:sz="2" w:space="0" w:color="F6BB00"/>
              <w:bottom w:val="single" w:sz="2" w:space="0" w:color="F6BB00"/>
            </w:tcBorders>
            <w:vAlign w:val="center"/>
          </w:tcPr>
          <w:p w14:paraId="56DE05C3" w14:textId="77777777" w:rsidR="004E6832" w:rsidRPr="00426D3C" w:rsidRDefault="004E6832" w:rsidP="00734085">
            <w:pPr>
              <w:spacing w:after="0" w:line="240" w:lineRule="auto"/>
              <w:jc w:val="right"/>
              <w:rPr>
                <w:b/>
                <w:color w:val="FF0000"/>
                <w:szCs w:val="22"/>
              </w:rPr>
            </w:pPr>
            <w:r w:rsidRPr="00426D3C">
              <w:rPr>
                <w:b/>
                <w:color w:val="FF0000"/>
                <w:szCs w:val="22"/>
              </w:rPr>
              <w:t>↓</w:t>
            </w:r>
          </w:p>
        </w:tc>
        <w:tc>
          <w:tcPr>
            <w:tcW w:w="567" w:type="dxa"/>
            <w:tcBorders>
              <w:top w:val="single" w:sz="2" w:space="0" w:color="F6BB00"/>
              <w:bottom w:val="single" w:sz="2" w:space="0" w:color="F6BB00"/>
            </w:tcBorders>
            <w:vAlign w:val="center"/>
          </w:tcPr>
          <w:p w14:paraId="1E8FF98F" w14:textId="77777777" w:rsidR="004E6832" w:rsidRPr="00426D3C" w:rsidRDefault="004E6832" w:rsidP="006828EB">
            <w:pPr>
              <w:spacing w:after="0" w:line="240" w:lineRule="auto"/>
              <w:jc w:val="center"/>
              <w:rPr>
                <w:color w:val="FF0000"/>
                <w:sz w:val="18"/>
                <w:szCs w:val="18"/>
              </w:rPr>
            </w:pPr>
            <w:r w:rsidRPr="00426D3C">
              <w:rPr>
                <w:b/>
                <w:color w:val="FF0000"/>
                <w:sz w:val="18"/>
                <w:szCs w:val="18"/>
              </w:rPr>
              <w:t>(14)</w:t>
            </w:r>
          </w:p>
        </w:tc>
        <w:tc>
          <w:tcPr>
            <w:tcW w:w="1278" w:type="dxa"/>
            <w:gridSpan w:val="2"/>
            <w:tcBorders>
              <w:top w:val="single" w:sz="2" w:space="0" w:color="F6BB00"/>
              <w:bottom w:val="single" w:sz="2" w:space="0" w:color="F6BB00"/>
            </w:tcBorders>
            <w:vAlign w:val="center"/>
          </w:tcPr>
          <w:p w14:paraId="1465B61F" w14:textId="77777777" w:rsidR="004E6832" w:rsidRPr="0057408C" w:rsidRDefault="004E6832" w:rsidP="006828EB">
            <w:pPr>
              <w:spacing w:after="0" w:line="240" w:lineRule="auto"/>
              <w:jc w:val="center"/>
              <w:rPr>
                <w:b/>
                <w:color w:val="FF0000"/>
                <w:sz w:val="18"/>
                <w:szCs w:val="18"/>
              </w:rPr>
            </w:pPr>
            <w:r w:rsidRPr="0057408C">
              <w:rPr>
                <w:b/>
                <w:color w:val="FF0000"/>
                <w:sz w:val="18"/>
                <w:szCs w:val="18"/>
              </w:rPr>
              <w:t>-3 (10)</w:t>
            </w:r>
          </w:p>
        </w:tc>
      </w:tr>
      <w:tr w:rsidR="004E6832" w:rsidRPr="00EB1427" w14:paraId="0428341F" w14:textId="77777777" w:rsidTr="00734085">
        <w:tc>
          <w:tcPr>
            <w:tcW w:w="6237" w:type="dxa"/>
            <w:tcBorders>
              <w:top w:val="single" w:sz="2" w:space="0" w:color="F6BB00"/>
              <w:bottom w:val="single" w:sz="2" w:space="0" w:color="F6BB00"/>
            </w:tcBorders>
            <w:vAlign w:val="center"/>
          </w:tcPr>
          <w:p w14:paraId="6C521934" w14:textId="77777777" w:rsidR="004E6832" w:rsidRPr="00942877" w:rsidRDefault="004E6832" w:rsidP="006828EB">
            <w:pPr>
              <w:spacing w:after="0" w:line="240" w:lineRule="auto"/>
              <w:jc w:val="left"/>
              <w:rPr>
                <w:sz w:val="18"/>
                <w:szCs w:val="18"/>
              </w:rPr>
            </w:pPr>
            <w:r w:rsidRPr="00460E62">
              <w:rPr>
                <w:sz w:val="18"/>
                <w:szCs w:val="18"/>
              </w:rPr>
              <w:t>Ruch pasażerów w portach lotniczych (przyjazdy, wyjazdy, tranzyt) - ogółem</w:t>
            </w:r>
          </w:p>
        </w:tc>
        <w:tc>
          <w:tcPr>
            <w:tcW w:w="850" w:type="dxa"/>
            <w:tcBorders>
              <w:top w:val="single" w:sz="2" w:space="0" w:color="F6BB00"/>
              <w:bottom w:val="single" w:sz="2" w:space="0" w:color="F6BB00"/>
            </w:tcBorders>
            <w:vAlign w:val="center"/>
          </w:tcPr>
          <w:p w14:paraId="249DD980" w14:textId="77777777" w:rsidR="004E6832" w:rsidRPr="00426D3C" w:rsidRDefault="004E6832" w:rsidP="00734085">
            <w:pPr>
              <w:spacing w:after="0" w:line="240" w:lineRule="auto"/>
              <w:jc w:val="right"/>
              <w:rPr>
                <w:b/>
                <w:color w:val="00B050"/>
                <w:szCs w:val="22"/>
              </w:rPr>
            </w:pPr>
            <w:r w:rsidRPr="00426D3C">
              <w:rPr>
                <w:b/>
                <w:color w:val="00B050"/>
                <w:szCs w:val="22"/>
              </w:rPr>
              <w:t>↑</w:t>
            </w:r>
          </w:p>
        </w:tc>
        <w:tc>
          <w:tcPr>
            <w:tcW w:w="567" w:type="dxa"/>
            <w:tcBorders>
              <w:top w:val="single" w:sz="2" w:space="0" w:color="F6BB00"/>
              <w:bottom w:val="single" w:sz="2" w:space="0" w:color="F6BB00"/>
            </w:tcBorders>
            <w:vAlign w:val="center"/>
          </w:tcPr>
          <w:p w14:paraId="56ADD5D8" w14:textId="77777777" w:rsidR="004E6832" w:rsidRPr="00426D3C" w:rsidRDefault="004E6832" w:rsidP="006828EB">
            <w:pPr>
              <w:spacing w:after="0" w:line="240" w:lineRule="auto"/>
              <w:jc w:val="center"/>
              <w:rPr>
                <w:b/>
                <w:color w:val="00B050"/>
                <w:sz w:val="18"/>
                <w:szCs w:val="18"/>
              </w:rPr>
            </w:pPr>
            <w:r w:rsidRPr="00426D3C">
              <w:rPr>
                <w:b/>
                <w:color w:val="00B050"/>
                <w:sz w:val="18"/>
                <w:szCs w:val="18"/>
              </w:rPr>
              <w:t>(10)</w:t>
            </w:r>
          </w:p>
        </w:tc>
        <w:tc>
          <w:tcPr>
            <w:tcW w:w="1278" w:type="dxa"/>
            <w:gridSpan w:val="2"/>
            <w:tcBorders>
              <w:top w:val="single" w:sz="2" w:space="0" w:color="F6BB00"/>
              <w:bottom w:val="single" w:sz="2" w:space="0" w:color="F6BB00"/>
            </w:tcBorders>
            <w:vAlign w:val="center"/>
          </w:tcPr>
          <w:p w14:paraId="65F1B135" w14:textId="77777777" w:rsidR="004E6832" w:rsidRPr="0057408C" w:rsidRDefault="004E6832" w:rsidP="006828EB">
            <w:pPr>
              <w:spacing w:after="0" w:line="240" w:lineRule="auto"/>
              <w:jc w:val="center"/>
              <w:rPr>
                <w:b/>
                <w:color w:val="00B050"/>
                <w:sz w:val="18"/>
                <w:szCs w:val="18"/>
              </w:rPr>
            </w:pPr>
            <w:r w:rsidRPr="0057408C">
              <w:rPr>
                <w:b/>
                <w:color w:val="00B050"/>
                <w:sz w:val="18"/>
                <w:szCs w:val="18"/>
              </w:rPr>
              <w:t>+1 (5)</w:t>
            </w:r>
          </w:p>
        </w:tc>
      </w:tr>
      <w:tr w:rsidR="004E6832" w:rsidRPr="00EB1427" w14:paraId="65E1A23B" w14:textId="77777777" w:rsidTr="00734085">
        <w:tc>
          <w:tcPr>
            <w:tcW w:w="6237" w:type="dxa"/>
            <w:tcBorders>
              <w:top w:val="single" w:sz="2" w:space="0" w:color="F6BB00"/>
              <w:bottom w:val="single" w:sz="2" w:space="0" w:color="F6BB00"/>
            </w:tcBorders>
            <w:vAlign w:val="center"/>
          </w:tcPr>
          <w:p w14:paraId="15643207" w14:textId="77777777" w:rsidR="004E6832" w:rsidRPr="00942877" w:rsidRDefault="004E6832" w:rsidP="006828EB">
            <w:pPr>
              <w:spacing w:after="0" w:line="240" w:lineRule="auto"/>
              <w:jc w:val="left"/>
              <w:rPr>
                <w:sz w:val="18"/>
                <w:szCs w:val="18"/>
              </w:rPr>
            </w:pPr>
            <w:r w:rsidRPr="00460E62">
              <w:rPr>
                <w:sz w:val="18"/>
                <w:szCs w:val="18"/>
              </w:rPr>
              <w:t>Ruch pasażerów w portach lotniczych (przyjazdy)</w:t>
            </w:r>
          </w:p>
        </w:tc>
        <w:tc>
          <w:tcPr>
            <w:tcW w:w="850" w:type="dxa"/>
            <w:tcBorders>
              <w:top w:val="single" w:sz="2" w:space="0" w:color="F6BB00"/>
              <w:bottom w:val="single" w:sz="2" w:space="0" w:color="F6BB00"/>
            </w:tcBorders>
            <w:vAlign w:val="center"/>
          </w:tcPr>
          <w:p w14:paraId="3FDFE2D3" w14:textId="77777777" w:rsidR="004E6832" w:rsidRPr="00426D3C" w:rsidRDefault="004E6832" w:rsidP="00734085">
            <w:pPr>
              <w:spacing w:after="0" w:line="240" w:lineRule="auto"/>
              <w:jc w:val="right"/>
              <w:rPr>
                <w:b/>
                <w:color w:val="00B050"/>
                <w:szCs w:val="22"/>
              </w:rPr>
            </w:pPr>
            <w:r w:rsidRPr="00426D3C">
              <w:rPr>
                <w:b/>
                <w:color w:val="00B050"/>
                <w:szCs w:val="22"/>
              </w:rPr>
              <w:t>↑</w:t>
            </w:r>
          </w:p>
        </w:tc>
        <w:tc>
          <w:tcPr>
            <w:tcW w:w="567" w:type="dxa"/>
            <w:tcBorders>
              <w:top w:val="single" w:sz="2" w:space="0" w:color="F6BB00"/>
              <w:bottom w:val="single" w:sz="2" w:space="0" w:color="F6BB00"/>
            </w:tcBorders>
            <w:vAlign w:val="center"/>
          </w:tcPr>
          <w:p w14:paraId="0B0D9FE8" w14:textId="77777777" w:rsidR="004E6832" w:rsidRPr="00426D3C" w:rsidRDefault="004E6832" w:rsidP="006828EB">
            <w:pPr>
              <w:spacing w:after="0" w:line="240" w:lineRule="auto"/>
              <w:jc w:val="center"/>
              <w:rPr>
                <w:b/>
                <w:color w:val="00B050"/>
                <w:sz w:val="18"/>
                <w:szCs w:val="18"/>
              </w:rPr>
            </w:pPr>
            <w:r w:rsidRPr="00426D3C">
              <w:rPr>
                <w:b/>
                <w:color w:val="00B050"/>
                <w:sz w:val="18"/>
                <w:szCs w:val="18"/>
              </w:rPr>
              <w:t>(11)</w:t>
            </w:r>
          </w:p>
        </w:tc>
        <w:tc>
          <w:tcPr>
            <w:tcW w:w="1278" w:type="dxa"/>
            <w:gridSpan w:val="2"/>
            <w:tcBorders>
              <w:top w:val="single" w:sz="2" w:space="0" w:color="F6BB00"/>
              <w:bottom w:val="single" w:sz="2" w:space="0" w:color="F6BB00"/>
            </w:tcBorders>
            <w:vAlign w:val="center"/>
          </w:tcPr>
          <w:p w14:paraId="24BC464C" w14:textId="77777777" w:rsidR="004E6832" w:rsidRPr="0057408C" w:rsidRDefault="004E6832" w:rsidP="006828EB">
            <w:pPr>
              <w:spacing w:after="0" w:line="240" w:lineRule="auto"/>
              <w:jc w:val="center"/>
              <w:rPr>
                <w:b/>
                <w:sz w:val="18"/>
                <w:szCs w:val="18"/>
              </w:rPr>
            </w:pPr>
            <w:r w:rsidRPr="0057408C">
              <w:rPr>
                <w:b/>
                <w:sz w:val="18"/>
                <w:szCs w:val="18"/>
              </w:rPr>
              <w:t>0 (6)</w:t>
            </w:r>
          </w:p>
        </w:tc>
      </w:tr>
      <w:tr w:rsidR="004E6832" w:rsidRPr="00EB1427" w14:paraId="5B37FCFA" w14:textId="77777777" w:rsidTr="00734085">
        <w:tc>
          <w:tcPr>
            <w:tcW w:w="6237" w:type="dxa"/>
            <w:tcBorders>
              <w:top w:val="single" w:sz="2" w:space="0" w:color="F6BB00"/>
              <w:bottom w:val="single" w:sz="2" w:space="0" w:color="F6BB00"/>
            </w:tcBorders>
            <w:vAlign w:val="center"/>
          </w:tcPr>
          <w:p w14:paraId="1C199C5C" w14:textId="77777777" w:rsidR="004E6832" w:rsidRPr="00942877" w:rsidRDefault="004E6832" w:rsidP="006828EB">
            <w:pPr>
              <w:spacing w:after="0" w:line="240" w:lineRule="auto"/>
              <w:jc w:val="left"/>
              <w:rPr>
                <w:sz w:val="18"/>
                <w:szCs w:val="18"/>
              </w:rPr>
            </w:pPr>
            <w:r w:rsidRPr="00460E62">
              <w:rPr>
                <w:sz w:val="18"/>
                <w:szCs w:val="18"/>
              </w:rPr>
              <w:t>Ruch pasażerów w portach lotniczych (wyjazdy)</w:t>
            </w:r>
          </w:p>
        </w:tc>
        <w:tc>
          <w:tcPr>
            <w:tcW w:w="850" w:type="dxa"/>
            <w:tcBorders>
              <w:top w:val="single" w:sz="2" w:space="0" w:color="F6BB00"/>
              <w:bottom w:val="single" w:sz="2" w:space="0" w:color="F6BB00"/>
            </w:tcBorders>
            <w:vAlign w:val="center"/>
          </w:tcPr>
          <w:p w14:paraId="1D90309E" w14:textId="77777777" w:rsidR="004E6832" w:rsidRPr="00426D3C" w:rsidRDefault="004E6832" w:rsidP="00734085">
            <w:pPr>
              <w:spacing w:after="0" w:line="240" w:lineRule="auto"/>
              <w:jc w:val="right"/>
              <w:rPr>
                <w:b/>
                <w:color w:val="00B050"/>
                <w:szCs w:val="22"/>
              </w:rPr>
            </w:pPr>
            <w:r w:rsidRPr="00426D3C">
              <w:rPr>
                <w:b/>
                <w:color w:val="00B050"/>
                <w:szCs w:val="22"/>
              </w:rPr>
              <w:t>↑</w:t>
            </w:r>
          </w:p>
        </w:tc>
        <w:tc>
          <w:tcPr>
            <w:tcW w:w="567" w:type="dxa"/>
            <w:tcBorders>
              <w:top w:val="single" w:sz="2" w:space="0" w:color="F6BB00"/>
              <w:bottom w:val="single" w:sz="2" w:space="0" w:color="F6BB00"/>
            </w:tcBorders>
            <w:vAlign w:val="center"/>
          </w:tcPr>
          <w:p w14:paraId="3FA5E3E8" w14:textId="77777777" w:rsidR="004E6832" w:rsidRPr="00426D3C" w:rsidRDefault="004E6832" w:rsidP="006828EB">
            <w:pPr>
              <w:spacing w:after="0" w:line="240" w:lineRule="auto"/>
              <w:jc w:val="center"/>
              <w:rPr>
                <w:b/>
                <w:color w:val="00B050"/>
                <w:sz w:val="18"/>
                <w:szCs w:val="18"/>
              </w:rPr>
            </w:pPr>
            <w:r w:rsidRPr="00426D3C">
              <w:rPr>
                <w:b/>
                <w:color w:val="00B050"/>
                <w:sz w:val="18"/>
                <w:szCs w:val="18"/>
              </w:rPr>
              <w:t>(11)</w:t>
            </w:r>
          </w:p>
        </w:tc>
        <w:tc>
          <w:tcPr>
            <w:tcW w:w="1278" w:type="dxa"/>
            <w:gridSpan w:val="2"/>
            <w:tcBorders>
              <w:top w:val="single" w:sz="2" w:space="0" w:color="F6BB00"/>
              <w:bottom w:val="single" w:sz="2" w:space="0" w:color="F6BB00"/>
            </w:tcBorders>
            <w:vAlign w:val="center"/>
          </w:tcPr>
          <w:p w14:paraId="5A251232" w14:textId="77777777" w:rsidR="004E6832" w:rsidRPr="0057408C" w:rsidRDefault="004E6832" w:rsidP="006828EB">
            <w:pPr>
              <w:spacing w:after="0" w:line="240" w:lineRule="auto"/>
              <w:jc w:val="center"/>
              <w:rPr>
                <w:b/>
                <w:sz w:val="18"/>
                <w:szCs w:val="18"/>
              </w:rPr>
            </w:pPr>
            <w:r w:rsidRPr="0057408C">
              <w:rPr>
                <w:b/>
                <w:sz w:val="18"/>
                <w:szCs w:val="18"/>
              </w:rPr>
              <w:t>0 (6)</w:t>
            </w:r>
          </w:p>
        </w:tc>
      </w:tr>
      <w:tr w:rsidR="004E6832" w:rsidRPr="00EB1427" w14:paraId="078D0241" w14:textId="77777777" w:rsidTr="00734085">
        <w:tc>
          <w:tcPr>
            <w:tcW w:w="6237" w:type="dxa"/>
            <w:tcBorders>
              <w:top w:val="single" w:sz="2" w:space="0" w:color="F6BB00"/>
              <w:bottom w:val="single" w:sz="2" w:space="0" w:color="F6BB00"/>
            </w:tcBorders>
            <w:vAlign w:val="center"/>
          </w:tcPr>
          <w:p w14:paraId="0DF0E37B" w14:textId="77777777" w:rsidR="004E6832" w:rsidRPr="00942877" w:rsidRDefault="004E6832" w:rsidP="006828EB">
            <w:pPr>
              <w:spacing w:after="0" w:line="240" w:lineRule="auto"/>
              <w:jc w:val="left"/>
              <w:rPr>
                <w:sz w:val="18"/>
                <w:szCs w:val="18"/>
              </w:rPr>
            </w:pPr>
            <w:r w:rsidRPr="00460E62">
              <w:rPr>
                <w:sz w:val="18"/>
                <w:szCs w:val="18"/>
              </w:rPr>
              <w:t>Ruch pasażerów w portach lotniczych (tranzyt)</w:t>
            </w:r>
          </w:p>
        </w:tc>
        <w:tc>
          <w:tcPr>
            <w:tcW w:w="850" w:type="dxa"/>
            <w:tcBorders>
              <w:top w:val="single" w:sz="2" w:space="0" w:color="F6BB00"/>
              <w:bottom w:val="single" w:sz="2" w:space="0" w:color="F6BB00"/>
            </w:tcBorders>
            <w:vAlign w:val="center"/>
          </w:tcPr>
          <w:p w14:paraId="6D53A54C" w14:textId="77777777" w:rsidR="004E6832" w:rsidRPr="00426D3C" w:rsidRDefault="004E6832" w:rsidP="00734085">
            <w:pPr>
              <w:spacing w:after="0" w:line="240" w:lineRule="auto"/>
              <w:jc w:val="right"/>
              <w:rPr>
                <w:b/>
                <w:color w:val="FF0000"/>
                <w:szCs w:val="22"/>
              </w:rPr>
            </w:pPr>
            <w:r w:rsidRPr="00426D3C">
              <w:rPr>
                <w:b/>
                <w:color w:val="FF0000"/>
                <w:szCs w:val="22"/>
              </w:rPr>
              <w:t>↓</w:t>
            </w:r>
          </w:p>
        </w:tc>
        <w:tc>
          <w:tcPr>
            <w:tcW w:w="567" w:type="dxa"/>
            <w:tcBorders>
              <w:top w:val="single" w:sz="2" w:space="0" w:color="F6BB00"/>
              <w:bottom w:val="single" w:sz="2" w:space="0" w:color="F6BB00"/>
            </w:tcBorders>
            <w:vAlign w:val="center"/>
          </w:tcPr>
          <w:p w14:paraId="3CF9369E" w14:textId="77777777" w:rsidR="004E6832" w:rsidRPr="00426D3C" w:rsidRDefault="004E6832" w:rsidP="006828EB">
            <w:pPr>
              <w:spacing w:after="0" w:line="240" w:lineRule="auto"/>
              <w:jc w:val="center"/>
              <w:rPr>
                <w:color w:val="FF0000"/>
                <w:sz w:val="18"/>
                <w:szCs w:val="18"/>
              </w:rPr>
            </w:pPr>
            <w:r w:rsidRPr="00426D3C">
              <w:rPr>
                <w:b/>
                <w:color w:val="FF0000"/>
                <w:sz w:val="18"/>
                <w:szCs w:val="18"/>
              </w:rPr>
              <w:t>(11)</w:t>
            </w:r>
          </w:p>
        </w:tc>
        <w:tc>
          <w:tcPr>
            <w:tcW w:w="1278" w:type="dxa"/>
            <w:gridSpan w:val="2"/>
            <w:tcBorders>
              <w:top w:val="single" w:sz="2" w:space="0" w:color="F6BB00"/>
              <w:bottom w:val="single" w:sz="2" w:space="0" w:color="F6BB00"/>
            </w:tcBorders>
            <w:vAlign w:val="center"/>
          </w:tcPr>
          <w:p w14:paraId="3FB1155A" w14:textId="77777777" w:rsidR="004E6832" w:rsidRPr="0057408C" w:rsidRDefault="004E6832" w:rsidP="006828EB">
            <w:pPr>
              <w:spacing w:after="0" w:line="240" w:lineRule="auto"/>
              <w:jc w:val="center"/>
              <w:rPr>
                <w:b/>
                <w:color w:val="FF0000"/>
                <w:sz w:val="18"/>
                <w:szCs w:val="18"/>
              </w:rPr>
            </w:pPr>
            <w:r w:rsidRPr="0057408C">
              <w:rPr>
                <w:b/>
                <w:color w:val="FF0000"/>
                <w:sz w:val="18"/>
                <w:szCs w:val="18"/>
              </w:rPr>
              <w:t>-3 (4)</w:t>
            </w:r>
          </w:p>
        </w:tc>
      </w:tr>
      <w:tr w:rsidR="004E6832" w:rsidRPr="00EB1427" w14:paraId="59E31A75" w14:textId="77777777" w:rsidTr="00734085">
        <w:tc>
          <w:tcPr>
            <w:tcW w:w="6237" w:type="dxa"/>
            <w:tcBorders>
              <w:top w:val="single" w:sz="2" w:space="0" w:color="F6BB00"/>
              <w:bottom w:val="single" w:sz="2" w:space="0" w:color="F6BB00"/>
            </w:tcBorders>
            <w:vAlign w:val="center"/>
          </w:tcPr>
          <w:p w14:paraId="479C21F3" w14:textId="77777777" w:rsidR="004E6832" w:rsidRPr="00460E62" w:rsidRDefault="004E6832" w:rsidP="006828EB">
            <w:pPr>
              <w:spacing w:after="0" w:line="240" w:lineRule="auto"/>
              <w:jc w:val="left"/>
              <w:rPr>
                <w:sz w:val="18"/>
                <w:szCs w:val="18"/>
              </w:rPr>
            </w:pPr>
            <w:r w:rsidRPr="00460E62">
              <w:rPr>
                <w:sz w:val="18"/>
                <w:szCs w:val="18"/>
              </w:rPr>
              <w:lastRenderedPageBreak/>
              <w:t>Wyposażenie gospodarstw domowych w komputer osobisty z dostępem do Internetu w % ogółu gospodarstw domowych</w:t>
            </w:r>
          </w:p>
        </w:tc>
        <w:tc>
          <w:tcPr>
            <w:tcW w:w="850" w:type="dxa"/>
            <w:tcBorders>
              <w:top w:val="single" w:sz="2" w:space="0" w:color="F6BB00"/>
              <w:bottom w:val="single" w:sz="2" w:space="0" w:color="F6BB00"/>
            </w:tcBorders>
            <w:vAlign w:val="center"/>
          </w:tcPr>
          <w:p w14:paraId="4BCF32CE" w14:textId="77777777" w:rsidR="004E6832" w:rsidRPr="00426D3C" w:rsidRDefault="004E6832" w:rsidP="00734085">
            <w:pPr>
              <w:spacing w:after="0" w:line="240" w:lineRule="auto"/>
              <w:jc w:val="right"/>
              <w:rPr>
                <w:b/>
                <w:color w:val="00B050"/>
                <w:szCs w:val="22"/>
              </w:rPr>
            </w:pPr>
            <w:r w:rsidRPr="00426D3C">
              <w:rPr>
                <w:b/>
                <w:color w:val="00B050"/>
                <w:szCs w:val="22"/>
              </w:rPr>
              <w:t>↑</w:t>
            </w:r>
          </w:p>
        </w:tc>
        <w:tc>
          <w:tcPr>
            <w:tcW w:w="567" w:type="dxa"/>
            <w:tcBorders>
              <w:top w:val="single" w:sz="2" w:space="0" w:color="F6BB00"/>
              <w:bottom w:val="single" w:sz="2" w:space="0" w:color="F6BB00"/>
            </w:tcBorders>
            <w:vAlign w:val="center"/>
          </w:tcPr>
          <w:p w14:paraId="66DCE645" w14:textId="77777777" w:rsidR="004E6832" w:rsidRPr="00426D3C" w:rsidRDefault="004E6832" w:rsidP="00734085">
            <w:pPr>
              <w:spacing w:after="0" w:line="240" w:lineRule="auto"/>
              <w:jc w:val="center"/>
              <w:rPr>
                <w:b/>
                <w:color w:val="00B050"/>
                <w:sz w:val="18"/>
                <w:szCs w:val="18"/>
              </w:rPr>
            </w:pPr>
            <w:r w:rsidRPr="00426D3C">
              <w:rPr>
                <w:b/>
                <w:color w:val="00B050"/>
                <w:sz w:val="18"/>
                <w:szCs w:val="18"/>
              </w:rPr>
              <w:t>(12)</w:t>
            </w:r>
          </w:p>
        </w:tc>
        <w:tc>
          <w:tcPr>
            <w:tcW w:w="1278" w:type="dxa"/>
            <w:gridSpan w:val="2"/>
            <w:tcBorders>
              <w:top w:val="single" w:sz="2" w:space="0" w:color="F6BB00"/>
              <w:bottom w:val="single" w:sz="2" w:space="0" w:color="F6BB00"/>
            </w:tcBorders>
            <w:vAlign w:val="center"/>
          </w:tcPr>
          <w:p w14:paraId="437AD250" w14:textId="77777777" w:rsidR="004E6832" w:rsidRPr="0057408C" w:rsidRDefault="004E6832" w:rsidP="006828EB">
            <w:pPr>
              <w:spacing w:after="0" w:line="240" w:lineRule="auto"/>
              <w:jc w:val="center"/>
              <w:rPr>
                <w:b/>
                <w:sz w:val="18"/>
                <w:szCs w:val="18"/>
              </w:rPr>
            </w:pPr>
            <w:r w:rsidRPr="0057408C">
              <w:rPr>
                <w:b/>
                <w:sz w:val="18"/>
                <w:szCs w:val="18"/>
              </w:rPr>
              <w:t>0 (3)</w:t>
            </w:r>
          </w:p>
        </w:tc>
      </w:tr>
      <w:tr w:rsidR="004E6832" w:rsidRPr="00EB1427" w14:paraId="00B8FECD" w14:textId="77777777" w:rsidTr="00734085">
        <w:tc>
          <w:tcPr>
            <w:tcW w:w="6237" w:type="dxa"/>
            <w:tcBorders>
              <w:top w:val="single" w:sz="2" w:space="0" w:color="F6BB00"/>
              <w:bottom w:val="single" w:sz="2" w:space="0" w:color="F6BB00"/>
            </w:tcBorders>
            <w:vAlign w:val="center"/>
          </w:tcPr>
          <w:p w14:paraId="787ADAB5" w14:textId="77777777" w:rsidR="004E6832" w:rsidRPr="00460E62" w:rsidRDefault="004E6832" w:rsidP="006828EB">
            <w:pPr>
              <w:spacing w:after="0" w:line="240" w:lineRule="auto"/>
              <w:jc w:val="left"/>
              <w:rPr>
                <w:sz w:val="18"/>
                <w:szCs w:val="18"/>
              </w:rPr>
            </w:pPr>
            <w:r w:rsidRPr="00460E62">
              <w:rPr>
                <w:sz w:val="18"/>
                <w:szCs w:val="18"/>
              </w:rPr>
              <w:t>Przedsiębiorstwa ogółem (przedsiębiorstwa sektora niefinansowego) posiadające dostęp do Internetu</w:t>
            </w:r>
          </w:p>
        </w:tc>
        <w:tc>
          <w:tcPr>
            <w:tcW w:w="850" w:type="dxa"/>
            <w:tcBorders>
              <w:top w:val="single" w:sz="2" w:space="0" w:color="F6BB00"/>
              <w:bottom w:val="single" w:sz="2" w:space="0" w:color="F6BB00"/>
            </w:tcBorders>
            <w:vAlign w:val="center"/>
          </w:tcPr>
          <w:p w14:paraId="1C255AA7" w14:textId="77777777" w:rsidR="004E6832" w:rsidRPr="00426D3C" w:rsidRDefault="004E6832" w:rsidP="00734085">
            <w:pPr>
              <w:spacing w:after="0" w:line="240" w:lineRule="auto"/>
              <w:jc w:val="right"/>
              <w:rPr>
                <w:b/>
                <w:color w:val="00B050"/>
                <w:szCs w:val="22"/>
              </w:rPr>
            </w:pPr>
            <w:r w:rsidRPr="00426D3C">
              <w:rPr>
                <w:b/>
                <w:color w:val="00B050"/>
                <w:szCs w:val="22"/>
              </w:rPr>
              <w:t>↑</w:t>
            </w:r>
          </w:p>
        </w:tc>
        <w:tc>
          <w:tcPr>
            <w:tcW w:w="567" w:type="dxa"/>
            <w:tcBorders>
              <w:top w:val="single" w:sz="2" w:space="0" w:color="F6BB00"/>
              <w:bottom w:val="single" w:sz="2" w:space="0" w:color="F6BB00"/>
            </w:tcBorders>
            <w:vAlign w:val="center"/>
          </w:tcPr>
          <w:p w14:paraId="601366BF" w14:textId="77777777" w:rsidR="004E6832" w:rsidRPr="00426D3C" w:rsidRDefault="004E6832" w:rsidP="00734085">
            <w:pPr>
              <w:spacing w:after="0" w:line="240" w:lineRule="auto"/>
              <w:jc w:val="center"/>
              <w:rPr>
                <w:b/>
                <w:color w:val="00B050"/>
                <w:sz w:val="18"/>
                <w:szCs w:val="18"/>
              </w:rPr>
            </w:pPr>
            <w:r w:rsidRPr="00426D3C">
              <w:rPr>
                <w:b/>
                <w:color w:val="00B050"/>
                <w:sz w:val="18"/>
                <w:szCs w:val="18"/>
              </w:rPr>
              <w:t>(12)</w:t>
            </w:r>
          </w:p>
        </w:tc>
        <w:tc>
          <w:tcPr>
            <w:tcW w:w="1278" w:type="dxa"/>
            <w:gridSpan w:val="2"/>
            <w:tcBorders>
              <w:top w:val="single" w:sz="2" w:space="0" w:color="F6BB00"/>
              <w:bottom w:val="single" w:sz="2" w:space="0" w:color="F6BB00"/>
            </w:tcBorders>
            <w:vAlign w:val="center"/>
          </w:tcPr>
          <w:p w14:paraId="6359A26C" w14:textId="77777777" w:rsidR="004E6832" w:rsidRPr="0057408C" w:rsidRDefault="004E6832" w:rsidP="006828EB">
            <w:pPr>
              <w:spacing w:after="0" w:line="240" w:lineRule="auto"/>
              <w:jc w:val="center"/>
              <w:rPr>
                <w:b/>
                <w:sz w:val="18"/>
                <w:szCs w:val="18"/>
              </w:rPr>
            </w:pPr>
            <w:r w:rsidRPr="0057408C">
              <w:rPr>
                <w:b/>
                <w:color w:val="FF0000"/>
                <w:sz w:val="18"/>
                <w:szCs w:val="18"/>
              </w:rPr>
              <w:t>- 4 (14)</w:t>
            </w:r>
          </w:p>
        </w:tc>
      </w:tr>
      <w:tr w:rsidR="004E6832" w:rsidRPr="00EB1427" w14:paraId="05141E41" w14:textId="77777777" w:rsidTr="00734085">
        <w:tc>
          <w:tcPr>
            <w:tcW w:w="6237" w:type="dxa"/>
            <w:tcBorders>
              <w:top w:val="single" w:sz="2" w:space="0" w:color="F6BB00"/>
              <w:bottom w:val="single" w:sz="2" w:space="0" w:color="F6BB00"/>
            </w:tcBorders>
            <w:vAlign w:val="center"/>
          </w:tcPr>
          <w:p w14:paraId="5413B1B9" w14:textId="77777777" w:rsidR="004E6832" w:rsidRPr="00460E62" w:rsidRDefault="004E6832" w:rsidP="006828EB">
            <w:pPr>
              <w:spacing w:after="0" w:line="240" w:lineRule="auto"/>
              <w:jc w:val="left"/>
              <w:rPr>
                <w:sz w:val="18"/>
                <w:szCs w:val="18"/>
              </w:rPr>
            </w:pPr>
            <w:r w:rsidRPr="00460E62">
              <w:rPr>
                <w:sz w:val="18"/>
                <w:szCs w:val="18"/>
              </w:rPr>
              <w:t>Linie komunikacji miejskiej</w:t>
            </w:r>
          </w:p>
        </w:tc>
        <w:tc>
          <w:tcPr>
            <w:tcW w:w="850" w:type="dxa"/>
            <w:tcBorders>
              <w:top w:val="single" w:sz="2" w:space="0" w:color="F6BB00"/>
              <w:bottom w:val="single" w:sz="2" w:space="0" w:color="F6BB00"/>
            </w:tcBorders>
            <w:vAlign w:val="center"/>
          </w:tcPr>
          <w:p w14:paraId="1295E957" w14:textId="77777777" w:rsidR="004E6832" w:rsidRPr="00426D3C" w:rsidRDefault="004E6832" w:rsidP="00734085">
            <w:pPr>
              <w:spacing w:after="0" w:line="240" w:lineRule="auto"/>
              <w:jc w:val="right"/>
              <w:rPr>
                <w:b/>
                <w:color w:val="00B050"/>
                <w:szCs w:val="22"/>
              </w:rPr>
            </w:pPr>
            <w:r w:rsidRPr="00426D3C">
              <w:rPr>
                <w:b/>
                <w:color w:val="00B050"/>
                <w:szCs w:val="22"/>
              </w:rPr>
              <w:t>↑</w:t>
            </w:r>
          </w:p>
        </w:tc>
        <w:tc>
          <w:tcPr>
            <w:tcW w:w="567" w:type="dxa"/>
            <w:tcBorders>
              <w:top w:val="single" w:sz="2" w:space="0" w:color="F6BB00"/>
              <w:bottom w:val="single" w:sz="2" w:space="0" w:color="F6BB00"/>
            </w:tcBorders>
            <w:vAlign w:val="center"/>
          </w:tcPr>
          <w:p w14:paraId="1C257976" w14:textId="77777777" w:rsidR="004E6832" w:rsidRPr="00426D3C" w:rsidRDefault="004E6832" w:rsidP="00734085">
            <w:pPr>
              <w:spacing w:after="0" w:line="240" w:lineRule="auto"/>
              <w:jc w:val="center"/>
              <w:rPr>
                <w:b/>
                <w:color w:val="00B050"/>
                <w:sz w:val="18"/>
                <w:szCs w:val="18"/>
              </w:rPr>
            </w:pPr>
            <w:r w:rsidRPr="00426D3C">
              <w:rPr>
                <w:b/>
                <w:color w:val="00B050"/>
                <w:sz w:val="18"/>
                <w:szCs w:val="18"/>
              </w:rPr>
              <w:t>(2)</w:t>
            </w:r>
          </w:p>
        </w:tc>
        <w:tc>
          <w:tcPr>
            <w:tcW w:w="1278" w:type="dxa"/>
            <w:gridSpan w:val="2"/>
            <w:tcBorders>
              <w:top w:val="single" w:sz="2" w:space="0" w:color="F6BB00"/>
              <w:bottom w:val="single" w:sz="2" w:space="0" w:color="F6BB00"/>
            </w:tcBorders>
            <w:vAlign w:val="center"/>
          </w:tcPr>
          <w:p w14:paraId="64B168F3" w14:textId="77777777" w:rsidR="004E6832" w:rsidRPr="0057408C" w:rsidRDefault="004E6832" w:rsidP="006828EB">
            <w:pPr>
              <w:spacing w:after="0" w:line="240" w:lineRule="auto"/>
              <w:jc w:val="center"/>
              <w:rPr>
                <w:b/>
                <w:color w:val="00B050"/>
                <w:sz w:val="18"/>
                <w:szCs w:val="18"/>
              </w:rPr>
            </w:pPr>
            <w:r w:rsidRPr="0057408C">
              <w:rPr>
                <w:b/>
                <w:color w:val="00B050"/>
                <w:sz w:val="18"/>
                <w:szCs w:val="18"/>
              </w:rPr>
              <w:t>+2 (3)</w:t>
            </w:r>
          </w:p>
        </w:tc>
      </w:tr>
      <w:tr w:rsidR="000114F2" w:rsidRPr="00EB1427" w14:paraId="7E764FF7" w14:textId="77777777" w:rsidTr="00734085">
        <w:tc>
          <w:tcPr>
            <w:tcW w:w="8932" w:type="dxa"/>
            <w:gridSpan w:val="5"/>
            <w:tcBorders>
              <w:top w:val="single" w:sz="2" w:space="0" w:color="F6BB00"/>
              <w:bottom w:val="single" w:sz="2" w:space="0" w:color="F6BB00"/>
            </w:tcBorders>
            <w:shd w:val="clear" w:color="auto" w:fill="F6BB00"/>
            <w:vAlign w:val="center"/>
          </w:tcPr>
          <w:p w14:paraId="6FD94D45" w14:textId="77777777" w:rsidR="000114F2" w:rsidRPr="0057408C" w:rsidRDefault="000114F2" w:rsidP="000114F2">
            <w:pPr>
              <w:spacing w:after="0" w:line="240" w:lineRule="auto"/>
              <w:jc w:val="left"/>
              <w:rPr>
                <w:b/>
                <w:sz w:val="18"/>
                <w:szCs w:val="18"/>
              </w:rPr>
            </w:pPr>
            <w:r w:rsidRPr="00AB5EAA">
              <w:rPr>
                <w:sz w:val="18"/>
                <w:szCs w:val="18"/>
              </w:rPr>
              <w:t>Cel strategiczny 2. Poprawa stanu środowiska i racjonalne gospodarowanie jego zasobami</w:t>
            </w:r>
          </w:p>
        </w:tc>
      </w:tr>
      <w:tr w:rsidR="004E6832" w:rsidRPr="00EB1427" w14:paraId="5016CC93" w14:textId="77777777" w:rsidTr="00734085">
        <w:tc>
          <w:tcPr>
            <w:tcW w:w="6237" w:type="dxa"/>
            <w:tcBorders>
              <w:top w:val="single" w:sz="2" w:space="0" w:color="F6BB00"/>
              <w:bottom w:val="single" w:sz="2" w:space="0" w:color="F6BB00"/>
            </w:tcBorders>
            <w:vAlign w:val="center"/>
          </w:tcPr>
          <w:p w14:paraId="1BE6B955" w14:textId="77777777" w:rsidR="004E6832" w:rsidRPr="00942877" w:rsidRDefault="004E6832" w:rsidP="006828EB">
            <w:pPr>
              <w:spacing w:after="0" w:line="240" w:lineRule="auto"/>
              <w:jc w:val="left"/>
              <w:rPr>
                <w:sz w:val="18"/>
                <w:szCs w:val="18"/>
              </w:rPr>
            </w:pPr>
            <w:r w:rsidRPr="00460E62">
              <w:rPr>
                <w:sz w:val="18"/>
                <w:szCs w:val="18"/>
              </w:rPr>
              <w:t>Udział obszarów prawnie chronionych w powierzchni ogółem</w:t>
            </w:r>
          </w:p>
        </w:tc>
        <w:tc>
          <w:tcPr>
            <w:tcW w:w="850" w:type="dxa"/>
            <w:tcBorders>
              <w:top w:val="single" w:sz="2" w:space="0" w:color="F6BB00"/>
              <w:bottom w:val="single" w:sz="2" w:space="0" w:color="F6BB00"/>
            </w:tcBorders>
            <w:vAlign w:val="center"/>
          </w:tcPr>
          <w:p w14:paraId="7D60BC6E" w14:textId="77777777" w:rsidR="004E6832" w:rsidRPr="00C1298F" w:rsidRDefault="004E6832" w:rsidP="00734085">
            <w:pPr>
              <w:spacing w:after="0" w:line="240" w:lineRule="auto"/>
              <w:jc w:val="right"/>
              <w:rPr>
                <w:b/>
                <w:color w:val="FF0000"/>
                <w:szCs w:val="22"/>
              </w:rPr>
            </w:pPr>
            <w:r w:rsidRPr="00C1298F">
              <w:rPr>
                <w:b/>
                <w:color w:val="FF0000"/>
                <w:szCs w:val="22"/>
              </w:rPr>
              <w:t>↓</w:t>
            </w:r>
          </w:p>
        </w:tc>
        <w:tc>
          <w:tcPr>
            <w:tcW w:w="567" w:type="dxa"/>
            <w:tcBorders>
              <w:top w:val="single" w:sz="2" w:space="0" w:color="F6BB00"/>
              <w:bottom w:val="single" w:sz="2" w:space="0" w:color="F6BB00"/>
            </w:tcBorders>
            <w:vAlign w:val="center"/>
          </w:tcPr>
          <w:p w14:paraId="0329BDE7" w14:textId="77777777" w:rsidR="004E6832" w:rsidRPr="00C1298F" w:rsidRDefault="004E6832" w:rsidP="006828EB">
            <w:pPr>
              <w:spacing w:after="0" w:line="240" w:lineRule="auto"/>
              <w:jc w:val="center"/>
              <w:rPr>
                <w:color w:val="FF0000"/>
                <w:sz w:val="18"/>
                <w:szCs w:val="18"/>
              </w:rPr>
            </w:pPr>
            <w:r w:rsidRPr="00C1298F">
              <w:rPr>
                <w:b/>
                <w:color w:val="FF0000"/>
                <w:sz w:val="18"/>
                <w:szCs w:val="18"/>
              </w:rPr>
              <w:t>(13)</w:t>
            </w:r>
          </w:p>
        </w:tc>
        <w:tc>
          <w:tcPr>
            <w:tcW w:w="1278" w:type="dxa"/>
            <w:gridSpan w:val="2"/>
            <w:tcBorders>
              <w:top w:val="single" w:sz="2" w:space="0" w:color="F6BB00"/>
              <w:bottom w:val="single" w:sz="2" w:space="0" w:color="F6BB00"/>
            </w:tcBorders>
            <w:vAlign w:val="center"/>
          </w:tcPr>
          <w:p w14:paraId="7366F6CB" w14:textId="77777777" w:rsidR="004E6832" w:rsidRPr="0057408C" w:rsidRDefault="004E6832" w:rsidP="006828EB">
            <w:pPr>
              <w:spacing w:after="0" w:line="240" w:lineRule="auto"/>
              <w:jc w:val="center"/>
              <w:rPr>
                <w:b/>
                <w:color w:val="FF0000"/>
                <w:sz w:val="18"/>
                <w:szCs w:val="18"/>
              </w:rPr>
            </w:pPr>
            <w:r w:rsidRPr="0057408C">
              <w:rPr>
                <w:b/>
                <w:color w:val="FF0000"/>
                <w:sz w:val="18"/>
                <w:szCs w:val="18"/>
              </w:rPr>
              <w:t>-1 (9)</w:t>
            </w:r>
          </w:p>
        </w:tc>
      </w:tr>
      <w:tr w:rsidR="004E6832" w:rsidRPr="00EB1427" w14:paraId="146BA259" w14:textId="77777777" w:rsidTr="00734085">
        <w:tc>
          <w:tcPr>
            <w:tcW w:w="6237" w:type="dxa"/>
            <w:tcBorders>
              <w:top w:val="single" w:sz="2" w:space="0" w:color="F6BB00"/>
              <w:bottom w:val="single" w:sz="2" w:space="0" w:color="F6BB00"/>
            </w:tcBorders>
            <w:vAlign w:val="center"/>
          </w:tcPr>
          <w:p w14:paraId="15B2F381" w14:textId="77777777" w:rsidR="004E6832" w:rsidRPr="00942877" w:rsidRDefault="004E6832" w:rsidP="006828EB">
            <w:pPr>
              <w:spacing w:after="0" w:line="240" w:lineRule="auto"/>
              <w:jc w:val="left"/>
              <w:rPr>
                <w:sz w:val="18"/>
                <w:szCs w:val="18"/>
              </w:rPr>
            </w:pPr>
            <w:r w:rsidRPr="00554979">
              <w:rPr>
                <w:sz w:val="18"/>
                <w:szCs w:val="18"/>
              </w:rPr>
              <w:t>Lesistość</w:t>
            </w:r>
          </w:p>
        </w:tc>
        <w:tc>
          <w:tcPr>
            <w:tcW w:w="850" w:type="dxa"/>
            <w:tcBorders>
              <w:top w:val="single" w:sz="2" w:space="0" w:color="F6BB00"/>
              <w:bottom w:val="single" w:sz="2" w:space="0" w:color="F6BB00"/>
            </w:tcBorders>
            <w:vAlign w:val="center"/>
          </w:tcPr>
          <w:p w14:paraId="0D345603" w14:textId="77777777" w:rsidR="004E6832" w:rsidRPr="00C1298F" w:rsidRDefault="004E6832" w:rsidP="00734085">
            <w:pPr>
              <w:spacing w:after="0" w:line="240" w:lineRule="auto"/>
              <w:jc w:val="right"/>
              <w:rPr>
                <w:b/>
                <w:color w:val="00B050"/>
                <w:szCs w:val="22"/>
              </w:rPr>
            </w:pPr>
            <w:r w:rsidRPr="00C1298F">
              <w:rPr>
                <w:b/>
                <w:color w:val="00B050"/>
                <w:szCs w:val="22"/>
              </w:rPr>
              <w:t>↑</w:t>
            </w:r>
          </w:p>
        </w:tc>
        <w:tc>
          <w:tcPr>
            <w:tcW w:w="567" w:type="dxa"/>
            <w:tcBorders>
              <w:top w:val="single" w:sz="2" w:space="0" w:color="F6BB00"/>
              <w:bottom w:val="single" w:sz="2" w:space="0" w:color="F6BB00"/>
            </w:tcBorders>
            <w:vAlign w:val="center"/>
          </w:tcPr>
          <w:p w14:paraId="2BD462C5" w14:textId="77777777" w:rsidR="004E6832" w:rsidRPr="00C1298F" w:rsidRDefault="004E6832" w:rsidP="006828EB">
            <w:pPr>
              <w:spacing w:after="0" w:line="240" w:lineRule="auto"/>
              <w:jc w:val="center"/>
              <w:rPr>
                <w:b/>
                <w:color w:val="00B050"/>
                <w:sz w:val="18"/>
                <w:szCs w:val="18"/>
              </w:rPr>
            </w:pPr>
            <w:r w:rsidRPr="00C1298F">
              <w:rPr>
                <w:b/>
                <w:color w:val="00B050"/>
                <w:sz w:val="18"/>
                <w:szCs w:val="18"/>
              </w:rPr>
              <w:t>(13)</w:t>
            </w:r>
          </w:p>
        </w:tc>
        <w:tc>
          <w:tcPr>
            <w:tcW w:w="1278" w:type="dxa"/>
            <w:gridSpan w:val="2"/>
            <w:tcBorders>
              <w:top w:val="single" w:sz="2" w:space="0" w:color="F6BB00"/>
              <w:bottom w:val="single" w:sz="2" w:space="0" w:color="F6BB00"/>
            </w:tcBorders>
            <w:vAlign w:val="center"/>
          </w:tcPr>
          <w:p w14:paraId="0DDDE374" w14:textId="77777777" w:rsidR="004E6832" w:rsidRPr="0057408C" w:rsidRDefault="004E6832" w:rsidP="006828EB">
            <w:pPr>
              <w:spacing w:after="0" w:line="240" w:lineRule="auto"/>
              <w:jc w:val="center"/>
              <w:rPr>
                <w:b/>
                <w:sz w:val="18"/>
                <w:szCs w:val="18"/>
              </w:rPr>
            </w:pPr>
            <w:r w:rsidRPr="0057408C">
              <w:rPr>
                <w:b/>
                <w:sz w:val="18"/>
                <w:szCs w:val="18"/>
              </w:rPr>
              <w:t>0 (12)</w:t>
            </w:r>
          </w:p>
        </w:tc>
      </w:tr>
      <w:tr w:rsidR="004E6832" w:rsidRPr="00EB1427" w14:paraId="7794DD50" w14:textId="77777777" w:rsidTr="00734085">
        <w:tc>
          <w:tcPr>
            <w:tcW w:w="6237" w:type="dxa"/>
            <w:tcBorders>
              <w:top w:val="single" w:sz="2" w:space="0" w:color="F6BB00"/>
              <w:bottom w:val="single" w:sz="2" w:space="0" w:color="F6BB00"/>
            </w:tcBorders>
            <w:vAlign w:val="center"/>
          </w:tcPr>
          <w:p w14:paraId="003FF592" w14:textId="77777777" w:rsidR="004E6832" w:rsidRPr="00942877" w:rsidRDefault="004E6832" w:rsidP="006828EB">
            <w:pPr>
              <w:spacing w:after="0" w:line="240" w:lineRule="auto"/>
              <w:jc w:val="left"/>
              <w:rPr>
                <w:sz w:val="18"/>
                <w:szCs w:val="18"/>
              </w:rPr>
            </w:pPr>
            <w:r w:rsidRPr="00554979">
              <w:rPr>
                <w:sz w:val="18"/>
                <w:szCs w:val="18"/>
              </w:rPr>
              <w:t>Grunty zdewastowane i zdegradowane wymagające rekultywacji</w:t>
            </w:r>
          </w:p>
        </w:tc>
        <w:tc>
          <w:tcPr>
            <w:tcW w:w="850" w:type="dxa"/>
            <w:tcBorders>
              <w:top w:val="single" w:sz="2" w:space="0" w:color="F6BB00"/>
              <w:bottom w:val="single" w:sz="2" w:space="0" w:color="F6BB00"/>
            </w:tcBorders>
            <w:vAlign w:val="center"/>
          </w:tcPr>
          <w:p w14:paraId="30BC8F39" w14:textId="77777777" w:rsidR="004E6832" w:rsidRPr="00942877" w:rsidRDefault="004E6832" w:rsidP="00734085">
            <w:pPr>
              <w:spacing w:after="0" w:line="240" w:lineRule="auto"/>
              <w:jc w:val="right"/>
              <w:rPr>
                <w:b/>
                <w:color w:val="FF0000"/>
                <w:szCs w:val="22"/>
              </w:rPr>
            </w:pPr>
            <w:r w:rsidRPr="00942877">
              <w:rPr>
                <w:b/>
                <w:color w:val="FF0000"/>
                <w:szCs w:val="22"/>
              </w:rPr>
              <w:t>↑</w:t>
            </w:r>
          </w:p>
        </w:tc>
        <w:tc>
          <w:tcPr>
            <w:tcW w:w="567" w:type="dxa"/>
            <w:tcBorders>
              <w:top w:val="single" w:sz="2" w:space="0" w:color="F6BB00"/>
              <w:bottom w:val="single" w:sz="2" w:space="0" w:color="F6BB00"/>
            </w:tcBorders>
            <w:vAlign w:val="center"/>
          </w:tcPr>
          <w:p w14:paraId="4CCF457D" w14:textId="77777777" w:rsidR="004E6832" w:rsidRPr="008B2D2C" w:rsidRDefault="004E6832" w:rsidP="006828EB">
            <w:pPr>
              <w:spacing w:after="0" w:line="240" w:lineRule="auto"/>
              <w:jc w:val="center"/>
              <w:rPr>
                <w:b/>
                <w:color w:val="FF0000"/>
                <w:sz w:val="18"/>
                <w:szCs w:val="18"/>
              </w:rPr>
            </w:pPr>
            <w:r>
              <w:rPr>
                <w:b/>
                <w:color w:val="FF0000"/>
                <w:sz w:val="18"/>
                <w:szCs w:val="18"/>
              </w:rPr>
              <w:t>(5)</w:t>
            </w:r>
          </w:p>
        </w:tc>
        <w:tc>
          <w:tcPr>
            <w:tcW w:w="1278" w:type="dxa"/>
            <w:gridSpan w:val="2"/>
            <w:tcBorders>
              <w:top w:val="single" w:sz="2" w:space="0" w:color="F6BB00"/>
              <w:bottom w:val="single" w:sz="2" w:space="0" w:color="F6BB00"/>
            </w:tcBorders>
            <w:vAlign w:val="center"/>
          </w:tcPr>
          <w:p w14:paraId="46A9B516" w14:textId="77777777" w:rsidR="004E6832" w:rsidRPr="0057408C" w:rsidRDefault="004E6832" w:rsidP="006828EB">
            <w:pPr>
              <w:spacing w:after="0" w:line="240" w:lineRule="auto"/>
              <w:jc w:val="center"/>
              <w:rPr>
                <w:b/>
                <w:sz w:val="18"/>
                <w:szCs w:val="18"/>
              </w:rPr>
            </w:pPr>
            <w:r w:rsidRPr="0057408C">
              <w:rPr>
                <w:b/>
                <w:sz w:val="18"/>
                <w:szCs w:val="18"/>
              </w:rPr>
              <w:t>0 (1)</w:t>
            </w:r>
          </w:p>
        </w:tc>
      </w:tr>
      <w:tr w:rsidR="004E6832" w:rsidRPr="00EB1427" w14:paraId="7E113347" w14:textId="77777777" w:rsidTr="00734085">
        <w:tc>
          <w:tcPr>
            <w:tcW w:w="6237" w:type="dxa"/>
            <w:tcBorders>
              <w:top w:val="single" w:sz="2" w:space="0" w:color="F6BB00"/>
              <w:bottom w:val="single" w:sz="2" w:space="0" w:color="F6BB00"/>
            </w:tcBorders>
            <w:vAlign w:val="center"/>
          </w:tcPr>
          <w:p w14:paraId="24FB3B7A" w14:textId="77777777" w:rsidR="004E6832" w:rsidRPr="00942877" w:rsidRDefault="004E6832" w:rsidP="006828EB">
            <w:pPr>
              <w:spacing w:after="0" w:line="240" w:lineRule="auto"/>
              <w:jc w:val="left"/>
              <w:rPr>
                <w:sz w:val="18"/>
                <w:szCs w:val="18"/>
              </w:rPr>
            </w:pPr>
            <w:r w:rsidRPr="00554979">
              <w:rPr>
                <w:sz w:val="18"/>
                <w:szCs w:val="18"/>
              </w:rPr>
              <w:t>Zanieczyszczenia gazowe zatrzymane lub zneutralizowane w urządzeniach do redukcji zanieczyszczeń w % zanieczyszczeń wytworzonych zakładów szczególnie uciążliwych</w:t>
            </w:r>
          </w:p>
        </w:tc>
        <w:tc>
          <w:tcPr>
            <w:tcW w:w="850" w:type="dxa"/>
            <w:tcBorders>
              <w:top w:val="single" w:sz="2" w:space="0" w:color="F6BB00"/>
              <w:bottom w:val="single" w:sz="2" w:space="0" w:color="F6BB00"/>
            </w:tcBorders>
            <w:vAlign w:val="center"/>
          </w:tcPr>
          <w:p w14:paraId="55258312" w14:textId="77777777" w:rsidR="004E6832" w:rsidRPr="00205163" w:rsidRDefault="004E6832" w:rsidP="00734085">
            <w:pPr>
              <w:spacing w:after="0" w:line="240" w:lineRule="auto"/>
              <w:jc w:val="right"/>
              <w:rPr>
                <w:b/>
                <w:color w:val="00B050"/>
                <w:szCs w:val="22"/>
              </w:rPr>
            </w:pPr>
            <w:r w:rsidRPr="00205163">
              <w:rPr>
                <w:b/>
                <w:color w:val="00B050"/>
                <w:szCs w:val="22"/>
              </w:rPr>
              <w:t>↑</w:t>
            </w:r>
          </w:p>
        </w:tc>
        <w:tc>
          <w:tcPr>
            <w:tcW w:w="567" w:type="dxa"/>
            <w:tcBorders>
              <w:top w:val="single" w:sz="2" w:space="0" w:color="F6BB00"/>
              <w:bottom w:val="single" w:sz="2" w:space="0" w:color="F6BB00"/>
            </w:tcBorders>
            <w:vAlign w:val="center"/>
          </w:tcPr>
          <w:p w14:paraId="1B223BE2" w14:textId="77777777" w:rsidR="004E6832" w:rsidRPr="00205163" w:rsidRDefault="004E6832" w:rsidP="006828EB">
            <w:pPr>
              <w:spacing w:after="0" w:line="240" w:lineRule="auto"/>
              <w:jc w:val="center"/>
              <w:rPr>
                <w:b/>
                <w:color w:val="00B050"/>
                <w:sz w:val="18"/>
                <w:szCs w:val="18"/>
              </w:rPr>
            </w:pPr>
            <w:r w:rsidRPr="00205163">
              <w:rPr>
                <w:b/>
                <w:color w:val="00B050"/>
                <w:sz w:val="18"/>
                <w:szCs w:val="18"/>
              </w:rPr>
              <w:t>(8)</w:t>
            </w:r>
          </w:p>
        </w:tc>
        <w:tc>
          <w:tcPr>
            <w:tcW w:w="1278" w:type="dxa"/>
            <w:gridSpan w:val="2"/>
            <w:tcBorders>
              <w:top w:val="single" w:sz="2" w:space="0" w:color="F6BB00"/>
              <w:bottom w:val="single" w:sz="2" w:space="0" w:color="F6BB00"/>
            </w:tcBorders>
            <w:vAlign w:val="center"/>
          </w:tcPr>
          <w:p w14:paraId="0B6007A0" w14:textId="77777777" w:rsidR="004E6832" w:rsidRPr="0057408C" w:rsidRDefault="004E6832" w:rsidP="006828EB">
            <w:pPr>
              <w:spacing w:after="0" w:line="240" w:lineRule="auto"/>
              <w:jc w:val="center"/>
              <w:rPr>
                <w:b/>
                <w:sz w:val="18"/>
                <w:szCs w:val="18"/>
              </w:rPr>
            </w:pPr>
            <w:r w:rsidRPr="0057408C">
              <w:rPr>
                <w:b/>
                <w:color w:val="FF0000"/>
                <w:sz w:val="18"/>
                <w:szCs w:val="18"/>
              </w:rPr>
              <w:t>-2 (8)</w:t>
            </w:r>
          </w:p>
        </w:tc>
      </w:tr>
      <w:tr w:rsidR="004E6832" w:rsidRPr="00EB1427" w14:paraId="28C09F50" w14:textId="77777777" w:rsidTr="00734085">
        <w:tc>
          <w:tcPr>
            <w:tcW w:w="6237" w:type="dxa"/>
            <w:tcBorders>
              <w:top w:val="single" w:sz="2" w:space="0" w:color="F6BB00"/>
              <w:bottom w:val="single" w:sz="2" w:space="0" w:color="F6BB00"/>
            </w:tcBorders>
            <w:vAlign w:val="center"/>
          </w:tcPr>
          <w:p w14:paraId="74E926CC" w14:textId="77777777" w:rsidR="004E6832" w:rsidRPr="00942877" w:rsidRDefault="004E6832" w:rsidP="006828EB">
            <w:pPr>
              <w:spacing w:after="0" w:line="240" w:lineRule="auto"/>
              <w:jc w:val="left"/>
              <w:rPr>
                <w:sz w:val="18"/>
                <w:szCs w:val="18"/>
              </w:rPr>
            </w:pPr>
            <w:r w:rsidRPr="00554979">
              <w:rPr>
                <w:sz w:val="18"/>
                <w:szCs w:val="18"/>
              </w:rPr>
              <w:t>Emisja zanieczyszczeń gazowych z zakładów szczególnie uciążliwych: dwutlenek węgla</w:t>
            </w:r>
          </w:p>
        </w:tc>
        <w:tc>
          <w:tcPr>
            <w:tcW w:w="850" w:type="dxa"/>
            <w:tcBorders>
              <w:top w:val="single" w:sz="2" w:space="0" w:color="F6BB00"/>
              <w:bottom w:val="single" w:sz="2" w:space="0" w:color="F6BB00"/>
            </w:tcBorders>
            <w:vAlign w:val="center"/>
          </w:tcPr>
          <w:p w14:paraId="2F8251A1" w14:textId="77777777" w:rsidR="004E6832" w:rsidRPr="00E44C37" w:rsidRDefault="004E6832" w:rsidP="00734085">
            <w:pPr>
              <w:spacing w:after="0" w:line="240" w:lineRule="auto"/>
              <w:jc w:val="right"/>
              <w:rPr>
                <w:b/>
                <w:color w:val="00B050"/>
                <w:szCs w:val="22"/>
              </w:rPr>
            </w:pPr>
            <w:r w:rsidRPr="00E44C37">
              <w:rPr>
                <w:b/>
                <w:color w:val="00B050"/>
                <w:szCs w:val="22"/>
              </w:rPr>
              <w:t>↓</w:t>
            </w:r>
          </w:p>
        </w:tc>
        <w:tc>
          <w:tcPr>
            <w:tcW w:w="567" w:type="dxa"/>
            <w:tcBorders>
              <w:top w:val="single" w:sz="2" w:space="0" w:color="F6BB00"/>
              <w:bottom w:val="single" w:sz="2" w:space="0" w:color="F6BB00"/>
            </w:tcBorders>
            <w:vAlign w:val="center"/>
          </w:tcPr>
          <w:p w14:paraId="35824828" w14:textId="77777777" w:rsidR="004E6832" w:rsidRPr="00E44C37" w:rsidRDefault="004E6832" w:rsidP="006828EB">
            <w:pPr>
              <w:spacing w:after="0" w:line="240" w:lineRule="auto"/>
              <w:jc w:val="center"/>
              <w:rPr>
                <w:color w:val="00B050"/>
                <w:sz w:val="18"/>
                <w:szCs w:val="18"/>
              </w:rPr>
            </w:pPr>
            <w:r w:rsidRPr="00E44C37">
              <w:rPr>
                <w:b/>
                <w:color w:val="00B050"/>
                <w:sz w:val="18"/>
                <w:szCs w:val="18"/>
              </w:rPr>
              <w:t>(13)</w:t>
            </w:r>
          </w:p>
        </w:tc>
        <w:tc>
          <w:tcPr>
            <w:tcW w:w="1278" w:type="dxa"/>
            <w:gridSpan w:val="2"/>
            <w:tcBorders>
              <w:top w:val="single" w:sz="2" w:space="0" w:color="F6BB00"/>
              <w:bottom w:val="single" w:sz="2" w:space="0" w:color="F6BB00"/>
            </w:tcBorders>
            <w:vAlign w:val="center"/>
          </w:tcPr>
          <w:p w14:paraId="621708FC" w14:textId="77777777" w:rsidR="004E6832" w:rsidRPr="0057408C" w:rsidRDefault="004E6832" w:rsidP="006828EB">
            <w:pPr>
              <w:spacing w:after="0" w:line="240" w:lineRule="auto"/>
              <w:jc w:val="center"/>
              <w:rPr>
                <w:b/>
                <w:sz w:val="18"/>
                <w:szCs w:val="18"/>
              </w:rPr>
            </w:pPr>
            <w:r w:rsidRPr="0057408C">
              <w:rPr>
                <w:b/>
                <w:sz w:val="18"/>
                <w:szCs w:val="18"/>
              </w:rPr>
              <w:t>0 (4)</w:t>
            </w:r>
          </w:p>
        </w:tc>
      </w:tr>
      <w:tr w:rsidR="004E6832" w:rsidRPr="00EB1427" w14:paraId="73D6E7AA" w14:textId="77777777" w:rsidTr="00734085">
        <w:tc>
          <w:tcPr>
            <w:tcW w:w="6237" w:type="dxa"/>
            <w:tcBorders>
              <w:top w:val="single" w:sz="2" w:space="0" w:color="F6BB00"/>
              <w:bottom w:val="single" w:sz="2" w:space="0" w:color="F6BB00"/>
            </w:tcBorders>
            <w:vAlign w:val="center"/>
          </w:tcPr>
          <w:p w14:paraId="767F7CC5" w14:textId="1E1B3679" w:rsidR="004E6832" w:rsidRPr="00942877" w:rsidRDefault="004E6832" w:rsidP="00734085">
            <w:pPr>
              <w:spacing w:after="0" w:line="240" w:lineRule="auto"/>
              <w:jc w:val="left"/>
              <w:rPr>
                <w:sz w:val="18"/>
                <w:szCs w:val="18"/>
              </w:rPr>
            </w:pPr>
            <w:r w:rsidRPr="00554979">
              <w:rPr>
                <w:sz w:val="18"/>
                <w:szCs w:val="18"/>
              </w:rPr>
              <w:t>Zanieczyszczenia pyłowe zatrzymane lub zneutralizowane w urządzeniach do redukcji zanieczyszczeń w</w:t>
            </w:r>
            <w:r w:rsidR="00734085">
              <w:rPr>
                <w:sz w:val="18"/>
                <w:szCs w:val="18"/>
              </w:rPr>
              <w:t xml:space="preserve"> </w:t>
            </w:r>
            <w:r w:rsidRPr="00554979">
              <w:rPr>
                <w:sz w:val="18"/>
                <w:szCs w:val="18"/>
              </w:rPr>
              <w:t>% zanieczyszczeń wytworzonych zakładów szczególnie uciążliwych</w:t>
            </w:r>
          </w:p>
        </w:tc>
        <w:tc>
          <w:tcPr>
            <w:tcW w:w="850" w:type="dxa"/>
            <w:tcBorders>
              <w:top w:val="single" w:sz="2" w:space="0" w:color="F6BB00"/>
              <w:bottom w:val="single" w:sz="2" w:space="0" w:color="F6BB00"/>
            </w:tcBorders>
            <w:vAlign w:val="center"/>
          </w:tcPr>
          <w:p w14:paraId="13E294B2" w14:textId="77777777" w:rsidR="004E6832" w:rsidRPr="00C1298F" w:rsidRDefault="004E6832" w:rsidP="006828EB">
            <w:pPr>
              <w:spacing w:after="0" w:line="240" w:lineRule="auto"/>
              <w:jc w:val="center"/>
              <w:rPr>
                <w:b/>
                <w:sz w:val="16"/>
                <w:szCs w:val="22"/>
              </w:rPr>
            </w:pPr>
            <w:r w:rsidRPr="00C1298F">
              <w:rPr>
                <w:b/>
                <w:sz w:val="16"/>
                <w:szCs w:val="22"/>
              </w:rPr>
              <w:t>brak zmiany</w:t>
            </w:r>
          </w:p>
        </w:tc>
        <w:tc>
          <w:tcPr>
            <w:tcW w:w="567" w:type="dxa"/>
            <w:tcBorders>
              <w:top w:val="single" w:sz="2" w:space="0" w:color="F6BB00"/>
              <w:bottom w:val="single" w:sz="2" w:space="0" w:color="F6BB00"/>
            </w:tcBorders>
            <w:vAlign w:val="center"/>
          </w:tcPr>
          <w:p w14:paraId="766F2ABB" w14:textId="77777777" w:rsidR="004E6832" w:rsidRPr="00C1298F" w:rsidRDefault="004E6832" w:rsidP="006828EB">
            <w:pPr>
              <w:spacing w:after="0" w:line="240" w:lineRule="auto"/>
              <w:jc w:val="center"/>
              <w:rPr>
                <w:b/>
                <w:sz w:val="18"/>
                <w:szCs w:val="18"/>
              </w:rPr>
            </w:pPr>
            <w:r w:rsidRPr="00C1298F">
              <w:rPr>
                <w:b/>
                <w:sz w:val="18"/>
                <w:szCs w:val="18"/>
              </w:rPr>
              <w:t>(11)</w:t>
            </w:r>
          </w:p>
        </w:tc>
        <w:tc>
          <w:tcPr>
            <w:tcW w:w="1278" w:type="dxa"/>
            <w:gridSpan w:val="2"/>
            <w:tcBorders>
              <w:top w:val="single" w:sz="2" w:space="0" w:color="F6BB00"/>
              <w:bottom w:val="single" w:sz="2" w:space="0" w:color="F6BB00"/>
            </w:tcBorders>
            <w:vAlign w:val="center"/>
          </w:tcPr>
          <w:p w14:paraId="21C73F5F" w14:textId="77777777" w:rsidR="004E6832" w:rsidRPr="0057408C" w:rsidRDefault="004E6832" w:rsidP="006828EB">
            <w:pPr>
              <w:spacing w:after="0" w:line="240" w:lineRule="auto"/>
              <w:jc w:val="center"/>
              <w:rPr>
                <w:b/>
                <w:sz w:val="18"/>
                <w:szCs w:val="18"/>
              </w:rPr>
            </w:pPr>
            <w:r w:rsidRPr="0057408C">
              <w:rPr>
                <w:b/>
                <w:color w:val="FF0000"/>
                <w:sz w:val="18"/>
                <w:szCs w:val="18"/>
              </w:rPr>
              <w:t>-1 (6)</w:t>
            </w:r>
          </w:p>
        </w:tc>
      </w:tr>
      <w:tr w:rsidR="004E6832" w:rsidRPr="00EB1427" w14:paraId="17FDD7D0" w14:textId="77777777" w:rsidTr="00734085">
        <w:tc>
          <w:tcPr>
            <w:tcW w:w="6237" w:type="dxa"/>
            <w:tcBorders>
              <w:top w:val="single" w:sz="2" w:space="0" w:color="F6BB00"/>
              <w:bottom w:val="single" w:sz="2" w:space="0" w:color="F6BB00"/>
            </w:tcBorders>
            <w:vAlign w:val="center"/>
          </w:tcPr>
          <w:p w14:paraId="168261E4" w14:textId="77777777" w:rsidR="004E6832" w:rsidRPr="00942877" w:rsidRDefault="004E6832" w:rsidP="006828EB">
            <w:pPr>
              <w:spacing w:after="0" w:line="240" w:lineRule="auto"/>
              <w:jc w:val="left"/>
              <w:rPr>
                <w:sz w:val="18"/>
                <w:szCs w:val="18"/>
              </w:rPr>
            </w:pPr>
            <w:r w:rsidRPr="00554979">
              <w:rPr>
                <w:sz w:val="18"/>
                <w:szCs w:val="18"/>
              </w:rPr>
              <w:t>Udział odpadów zdeponowanych na składowiskach w ilości odpadów zebranych zmieszanych</w:t>
            </w:r>
          </w:p>
        </w:tc>
        <w:tc>
          <w:tcPr>
            <w:tcW w:w="850" w:type="dxa"/>
            <w:tcBorders>
              <w:top w:val="single" w:sz="2" w:space="0" w:color="F6BB00"/>
              <w:bottom w:val="single" w:sz="2" w:space="0" w:color="F6BB00"/>
            </w:tcBorders>
            <w:vAlign w:val="center"/>
          </w:tcPr>
          <w:p w14:paraId="22F2287E" w14:textId="77777777" w:rsidR="004E6832" w:rsidRPr="009311EE" w:rsidRDefault="004E6832" w:rsidP="00734085">
            <w:pPr>
              <w:spacing w:after="0" w:line="240" w:lineRule="auto"/>
              <w:jc w:val="right"/>
              <w:rPr>
                <w:b/>
                <w:color w:val="00B050"/>
                <w:szCs w:val="22"/>
              </w:rPr>
            </w:pPr>
            <w:r w:rsidRPr="009311EE">
              <w:rPr>
                <w:b/>
                <w:color w:val="00B050"/>
                <w:szCs w:val="22"/>
              </w:rPr>
              <w:t>↓</w:t>
            </w:r>
          </w:p>
        </w:tc>
        <w:tc>
          <w:tcPr>
            <w:tcW w:w="567" w:type="dxa"/>
            <w:tcBorders>
              <w:top w:val="single" w:sz="2" w:space="0" w:color="F6BB00"/>
              <w:bottom w:val="single" w:sz="2" w:space="0" w:color="F6BB00"/>
            </w:tcBorders>
            <w:vAlign w:val="center"/>
          </w:tcPr>
          <w:p w14:paraId="3F083A3F" w14:textId="77777777" w:rsidR="004E6832" w:rsidRPr="009311EE" w:rsidRDefault="004E6832" w:rsidP="006828EB">
            <w:pPr>
              <w:spacing w:after="0" w:line="240" w:lineRule="auto"/>
              <w:jc w:val="center"/>
              <w:rPr>
                <w:color w:val="00B050"/>
                <w:sz w:val="18"/>
                <w:szCs w:val="18"/>
              </w:rPr>
            </w:pPr>
            <w:r w:rsidRPr="009311EE">
              <w:rPr>
                <w:b/>
                <w:color w:val="00B050"/>
                <w:sz w:val="18"/>
                <w:szCs w:val="18"/>
              </w:rPr>
              <w:t>(15)</w:t>
            </w:r>
          </w:p>
        </w:tc>
        <w:tc>
          <w:tcPr>
            <w:tcW w:w="1278" w:type="dxa"/>
            <w:gridSpan w:val="2"/>
            <w:tcBorders>
              <w:top w:val="single" w:sz="2" w:space="0" w:color="F6BB00"/>
              <w:bottom w:val="single" w:sz="2" w:space="0" w:color="F6BB00"/>
            </w:tcBorders>
            <w:vAlign w:val="center"/>
          </w:tcPr>
          <w:p w14:paraId="39AF5FE0" w14:textId="77777777" w:rsidR="004E6832" w:rsidRPr="0057408C" w:rsidRDefault="004E6832" w:rsidP="006828EB">
            <w:pPr>
              <w:spacing w:after="0" w:line="240" w:lineRule="auto"/>
              <w:jc w:val="center"/>
              <w:rPr>
                <w:b/>
                <w:sz w:val="18"/>
                <w:szCs w:val="18"/>
              </w:rPr>
            </w:pPr>
            <w:r w:rsidRPr="0057408C">
              <w:rPr>
                <w:b/>
                <w:color w:val="00B050"/>
                <w:sz w:val="18"/>
                <w:szCs w:val="18"/>
              </w:rPr>
              <w:t>-9 (15)</w:t>
            </w:r>
          </w:p>
        </w:tc>
      </w:tr>
      <w:tr w:rsidR="004E6832" w:rsidRPr="00EB1427" w14:paraId="617BA411" w14:textId="77777777" w:rsidTr="00734085">
        <w:tc>
          <w:tcPr>
            <w:tcW w:w="6237" w:type="dxa"/>
            <w:tcBorders>
              <w:top w:val="single" w:sz="2" w:space="0" w:color="F6BB00"/>
              <w:bottom w:val="single" w:sz="2" w:space="0" w:color="F6BB00"/>
            </w:tcBorders>
            <w:vAlign w:val="center"/>
          </w:tcPr>
          <w:p w14:paraId="004D0C53" w14:textId="77777777" w:rsidR="004E6832" w:rsidRPr="00554979" w:rsidRDefault="004E6832" w:rsidP="006828EB">
            <w:pPr>
              <w:spacing w:after="0" w:line="240" w:lineRule="auto"/>
              <w:jc w:val="left"/>
              <w:rPr>
                <w:sz w:val="18"/>
                <w:szCs w:val="18"/>
              </w:rPr>
            </w:pPr>
            <w:r w:rsidRPr="00554979">
              <w:rPr>
                <w:sz w:val="18"/>
                <w:szCs w:val="18"/>
              </w:rPr>
              <w:t>Odpady zebrane selektywnie w relacji do ogółu odpadów z gospodarstw domowych</w:t>
            </w:r>
          </w:p>
        </w:tc>
        <w:tc>
          <w:tcPr>
            <w:tcW w:w="850" w:type="dxa"/>
            <w:tcBorders>
              <w:top w:val="single" w:sz="2" w:space="0" w:color="F6BB00"/>
              <w:bottom w:val="single" w:sz="2" w:space="0" w:color="F6BB00"/>
            </w:tcBorders>
            <w:vAlign w:val="center"/>
          </w:tcPr>
          <w:p w14:paraId="26DE83C0" w14:textId="77777777" w:rsidR="004E6832" w:rsidRPr="009311EE" w:rsidRDefault="004E6832" w:rsidP="00734085">
            <w:pPr>
              <w:spacing w:after="0" w:line="240" w:lineRule="auto"/>
              <w:jc w:val="right"/>
              <w:rPr>
                <w:b/>
                <w:color w:val="FF0000"/>
                <w:szCs w:val="22"/>
              </w:rPr>
            </w:pPr>
            <w:r w:rsidRPr="009311EE">
              <w:rPr>
                <w:b/>
                <w:color w:val="FF0000"/>
                <w:szCs w:val="22"/>
              </w:rPr>
              <w:t>↓</w:t>
            </w:r>
          </w:p>
        </w:tc>
        <w:tc>
          <w:tcPr>
            <w:tcW w:w="567" w:type="dxa"/>
            <w:tcBorders>
              <w:top w:val="single" w:sz="2" w:space="0" w:color="F6BB00"/>
              <w:bottom w:val="single" w:sz="2" w:space="0" w:color="F6BB00"/>
            </w:tcBorders>
            <w:vAlign w:val="center"/>
          </w:tcPr>
          <w:p w14:paraId="41712E0D" w14:textId="77777777" w:rsidR="004E6832" w:rsidRPr="009311EE" w:rsidRDefault="004E6832" w:rsidP="006828EB">
            <w:pPr>
              <w:spacing w:after="0" w:line="240" w:lineRule="auto"/>
              <w:jc w:val="center"/>
              <w:rPr>
                <w:color w:val="FF0000"/>
                <w:sz w:val="18"/>
                <w:szCs w:val="18"/>
              </w:rPr>
            </w:pPr>
            <w:r w:rsidRPr="009311EE">
              <w:rPr>
                <w:b/>
                <w:color w:val="FF0000"/>
                <w:sz w:val="18"/>
                <w:szCs w:val="18"/>
              </w:rPr>
              <w:t>(14)</w:t>
            </w:r>
          </w:p>
        </w:tc>
        <w:tc>
          <w:tcPr>
            <w:tcW w:w="1278" w:type="dxa"/>
            <w:gridSpan w:val="2"/>
            <w:tcBorders>
              <w:top w:val="single" w:sz="2" w:space="0" w:color="F6BB00"/>
              <w:bottom w:val="single" w:sz="2" w:space="0" w:color="F6BB00"/>
            </w:tcBorders>
            <w:vAlign w:val="center"/>
          </w:tcPr>
          <w:p w14:paraId="2E006DA8" w14:textId="77777777" w:rsidR="004E6832" w:rsidRPr="0057408C" w:rsidRDefault="004E6832" w:rsidP="006828EB">
            <w:pPr>
              <w:spacing w:after="0" w:line="240" w:lineRule="auto"/>
              <w:jc w:val="center"/>
              <w:rPr>
                <w:b/>
                <w:color w:val="FF0000"/>
                <w:sz w:val="18"/>
                <w:szCs w:val="18"/>
              </w:rPr>
            </w:pPr>
            <w:r w:rsidRPr="0057408C">
              <w:rPr>
                <w:b/>
                <w:color w:val="FF0000"/>
                <w:sz w:val="18"/>
                <w:szCs w:val="18"/>
              </w:rPr>
              <w:t>-9 (12)</w:t>
            </w:r>
          </w:p>
        </w:tc>
      </w:tr>
      <w:tr w:rsidR="004E6832" w:rsidRPr="00EB1427" w14:paraId="05275D38" w14:textId="77777777" w:rsidTr="00734085">
        <w:tc>
          <w:tcPr>
            <w:tcW w:w="6237" w:type="dxa"/>
            <w:tcBorders>
              <w:top w:val="single" w:sz="2" w:space="0" w:color="F6BB00"/>
              <w:bottom w:val="single" w:sz="2" w:space="0" w:color="F6BB00"/>
            </w:tcBorders>
            <w:vAlign w:val="center"/>
          </w:tcPr>
          <w:p w14:paraId="5F51F871" w14:textId="77777777" w:rsidR="004E6832" w:rsidRPr="00554979" w:rsidRDefault="004E6832" w:rsidP="006828EB">
            <w:pPr>
              <w:spacing w:after="0" w:line="240" w:lineRule="auto"/>
              <w:jc w:val="left"/>
              <w:rPr>
                <w:sz w:val="18"/>
                <w:szCs w:val="18"/>
              </w:rPr>
            </w:pPr>
            <w:r w:rsidRPr="00554979">
              <w:rPr>
                <w:sz w:val="18"/>
                <w:szCs w:val="18"/>
              </w:rPr>
              <w:t>Zużycie wody na potrzeby gospodarki narodowej i ludności</w:t>
            </w:r>
          </w:p>
        </w:tc>
        <w:tc>
          <w:tcPr>
            <w:tcW w:w="850" w:type="dxa"/>
            <w:tcBorders>
              <w:top w:val="single" w:sz="2" w:space="0" w:color="F6BB00"/>
              <w:bottom w:val="single" w:sz="2" w:space="0" w:color="F6BB00"/>
            </w:tcBorders>
            <w:vAlign w:val="center"/>
          </w:tcPr>
          <w:p w14:paraId="66B4DFD7" w14:textId="77777777" w:rsidR="004E6832" w:rsidRPr="009311EE" w:rsidRDefault="004E6832" w:rsidP="00734085">
            <w:pPr>
              <w:spacing w:after="0" w:line="240" w:lineRule="auto"/>
              <w:jc w:val="right"/>
              <w:rPr>
                <w:b/>
                <w:color w:val="00B050"/>
                <w:szCs w:val="22"/>
              </w:rPr>
            </w:pPr>
            <w:r w:rsidRPr="009311EE">
              <w:rPr>
                <w:b/>
                <w:color w:val="00B050"/>
                <w:szCs w:val="22"/>
              </w:rPr>
              <w:t>↓</w:t>
            </w:r>
          </w:p>
        </w:tc>
        <w:tc>
          <w:tcPr>
            <w:tcW w:w="567" w:type="dxa"/>
            <w:tcBorders>
              <w:top w:val="single" w:sz="2" w:space="0" w:color="F6BB00"/>
              <w:bottom w:val="single" w:sz="2" w:space="0" w:color="F6BB00"/>
            </w:tcBorders>
            <w:vAlign w:val="center"/>
          </w:tcPr>
          <w:p w14:paraId="43FC1E50" w14:textId="77777777" w:rsidR="004E6832" w:rsidRPr="009311EE" w:rsidRDefault="004E6832" w:rsidP="006828EB">
            <w:pPr>
              <w:spacing w:after="0" w:line="240" w:lineRule="auto"/>
              <w:jc w:val="center"/>
              <w:rPr>
                <w:color w:val="00B050"/>
                <w:sz w:val="18"/>
                <w:szCs w:val="18"/>
              </w:rPr>
            </w:pPr>
            <w:r w:rsidRPr="009311EE">
              <w:rPr>
                <w:b/>
                <w:color w:val="00B050"/>
                <w:sz w:val="18"/>
                <w:szCs w:val="18"/>
              </w:rPr>
              <w:t>(16)</w:t>
            </w:r>
          </w:p>
        </w:tc>
        <w:tc>
          <w:tcPr>
            <w:tcW w:w="1278" w:type="dxa"/>
            <w:gridSpan w:val="2"/>
            <w:tcBorders>
              <w:top w:val="single" w:sz="2" w:space="0" w:color="F6BB00"/>
              <w:bottom w:val="single" w:sz="2" w:space="0" w:color="F6BB00"/>
            </w:tcBorders>
            <w:vAlign w:val="center"/>
          </w:tcPr>
          <w:p w14:paraId="3A23A96C" w14:textId="77777777" w:rsidR="004E6832" w:rsidRPr="0057408C" w:rsidRDefault="004E6832" w:rsidP="006828EB">
            <w:pPr>
              <w:spacing w:after="0" w:line="240" w:lineRule="auto"/>
              <w:jc w:val="center"/>
              <w:rPr>
                <w:b/>
                <w:color w:val="00B050"/>
                <w:sz w:val="18"/>
                <w:szCs w:val="18"/>
              </w:rPr>
            </w:pPr>
            <w:r w:rsidRPr="0057408C">
              <w:rPr>
                <w:b/>
                <w:color w:val="00B050"/>
                <w:sz w:val="18"/>
                <w:szCs w:val="18"/>
              </w:rPr>
              <w:t>-1 (4)</w:t>
            </w:r>
          </w:p>
        </w:tc>
      </w:tr>
      <w:tr w:rsidR="004E6832" w:rsidRPr="00EB1427" w14:paraId="19BC02CC" w14:textId="77777777" w:rsidTr="00734085">
        <w:tc>
          <w:tcPr>
            <w:tcW w:w="6237" w:type="dxa"/>
            <w:tcBorders>
              <w:top w:val="single" w:sz="2" w:space="0" w:color="F6BB00"/>
              <w:bottom w:val="single" w:sz="2" w:space="0" w:color="F6BB00"/>
            </w:tcBorders>
            <w:vAlign w:val="center"/>
          </w:tcPr>
          <w:p w14:paraId="522FDDAC" w14:textId="77777777" w:rsidR="004E6832" w:rsidRPr="00554979" w:rsidRDefault="004E6832" w:rsidP="006828EB">
            <w:pPr>
              <w:spacing w:after="0" w:line="240" w:lineRule="auto"/>
              <w:jc w:val="left"/>
              <w:rPr>
                <w:sz w:val="18"/>
                <w:szCs w:val="18"/>
              </w:rPr>
            </w:pPr>
            <w:r w:rsidRPr="00554979">
              <w:rPr>
                <w:sz w:val="18"/>
                <w:szCs w:val="18"/>
              </w:rPr>
              <w:t>Ludność korzystająca z oczyszczalni ścieków w % ogólnej liczby ludności</w:t>
            </w:r>
          </w:p>
        </w:tc>
        <w:tc>
          <w:tcPr>
            <w:tcW w:w="850" w:type="dxa"/>
            <w:tcBorders>
              <w:top w:val="single" w:sz="2" w:space="0" w:color="F6BB00"/>
              <w:bottom w:val="single" w:sz="2" w:space="0" w:color="F6BB00"/>
            </w:tcBorders>
            <w:vAlign w:val="center"/>
          </w:tcPr>
          <w:p w14:paraId="1157EF65" w14:textId="77777777" w:rsidR="004E6832" w:rsidRPr="009311EE" w:rsidRDefault="004E6832" w:rsidP="00734085">
            <w:pPr>
              <w:spacing w:after="0" w:line="240" w:lineRule="auto"/>
              <w:jc w:val="right"/>
              <w:rPr>
                <w:b/>
                <w:color w:val="00B050"/>
                <w:szCs w:val="22"/>
              </w:rPr>
            </w:pPr>
            <w:r w:rsidRPr="009311EE">
              <w:rPr>
                <w:b/>
                <w:color w:val="00B050"/>
                <w:szCs w:val="22"/>
              </w:rPr>
              <w:t>↑</w:t>
            </w:r>
          </w:p>
        </w:tc>
        <w:tc>
          <w:tcPr>
            <w:tcW w:w="567" w:type="dxa"/>
            <w:tcBorders>
              <w:top w:val="single" w:sz="2" w:space="0" w:color="F6BB00"/>
              <w:bottom w:val="single" w:sz="2" w:space="0" w:color="F6BB00"/>
            </w:tcBorders>
            <w:vAlign w:val="center"/>
          </w:tcPr>
          <w:p w14:paraId="7587BC59" w14:textId="77777777" w:rsidR="004E6832" w:rsidRPr="009311EE" w:rsidRDefault="004E6832" w:rsidP="006828EB">
            <w:pPr>
              <w:spacing w:after="0" w:line="240" w:lineRule="auto"/>
              <w:jc w:val="center"/>
              <w:rPr>
                <w:b/>
                <w:color w:val="00B050"/>
                <w:sz w:val="18"/>
                <w:szCs w:val="18"/>
              </w:rPr>
            </w:pPr>
            <w:r w:rsidRPr="009311EE">
              <w:rPr>
                <w:b/>
                <w:color w:val="00B050"/>
                <w:sz w:val="18"/>
                <w:szCs w:val="18"/>
              </w:rPr>
              <w:t>(4)</w:t>
            </w:r>
          </w:p>
        </w:tc>
        <w:tc>
          <w:tcPr>
            <w:tcW w:w="1278" w:type="dxa"/>
            <w:gridSpan w:val="2"/>
            <w:tcBorders>
              <w:top w:val="single" w:sz="2" w:space="0" w:color="F6BB00"/>
              <w:bottom w:val="single" w:sz="2" w:space="0" w:color="F6BB00"/>
            </w:tcBorders>
            <w:vAlign w:val="center"/>
          </w:tcPr>
          <w:p w14:paraId="7351872F" w14:textId="77777777" w:rsidR="004E6832" w:rsidRPr="0057408C" w:rsidRDefault="004E6832" w:rsidP="006828EB">
            <w:pPr>
              <w:spacing w:after="0" w:line="240" w:lineRule="auto"/>
              <w:jc w:val="center"/>
              <w:rPr>
                <w:b/>
                <w:color w:val="00B050"/>
                <w:sz w:val="18"/>
                <w:szCs w:val="18"/>
              </w:rPr>
            </w:pPr>
            <w:r w:rsidRPr="0057408C">
              <w:rPr>
                <w:b/>
                <w:color w:val="00B050"/>
                <w:sz w:val="18"/>
                <w:szCs w:val="18"/>
              </w:rPr>
              <w:t>+2 (9)</w:t>
            </w:r>
          </w:p>
        </w:tc>
      </w:tr>
      <w:tr w:rsidR="004E6832" w:rsidRPr="00EB1427" w14:paraId="7ADF9C6D" w14:textId="77777777" w:rsidTr="00734085">
        <w:tc>
          <w:tcPr>
            <w:tcW w:w="6237" w:type="dxa"/>
            <w:tcBorders>
              <w:top w:val="single" w:sz="2" w:space="0" w:color="F6BB00"/>
              <w:bottom w:val="single" w:sz="2" w:space="0" w:color="F6BB00"/>
            </w:tcBorders>
            <w:vAlign w:val="center"/>
          </w:tcPr>
          <w:p w14:paraId="5CC4152A" w14:textId="77777777" w:rsidR="004E6832" w:rsidRPr="00554979" w:rsidRDefault="004E6832" w:rsidP="006828EB">
            <w:pPr>
              <w:spacing w:after="0" w:line="240" w:lineRule="auto"/>
              <w:jc w:val="left"/>
              <w:rPr>
                <w:sz w:val="18"/>
                <w:szCs w:val="18"/>
              </w:rPr>
            </w:pPr>
            <w:r w:rsidRPr="00554979">
              <w:rPr>
                <w:sz w:val="18"/>
                <w:szCs w:val="18"/>
              </w:rPr>
              <w:t>Pojemność obiektów małej retencji wodnej</w:t>
            </w:r>
          </w:p>
        </w:tc>
        <w:tc>
          <w:tcPr>
            <w:tcW w:w="850" w:type="dxa"/>
            <w:tcBorders>
              <w:top w:val="single" w:sz="2" w:space="0" w:color="F6BB00"/>
              <w:bottom w:val="single" w:sz="2" w:space="0" w:color="F6BB00"/>
            </w:tcBorders>
            <w:vAlign w:val="center"/>
          </w:tcPr>
          <w:p w14:paraId="696CC9EA" w14:textId="77777777" w:rsidR="004E6832" w:rsidRPr="009311EE" w:rsidRDefault="004E6832" w:rsidP="00734085">
            <w:pPr>
              <w:spacing w:after="0" w:line="240" w:lineRule="auto"/>
              <w:jc w:val="right"/>
              <w:rPr>
                <w:b/>
                <w:color w:val="00B050"/>
                <w:szCs w:val="22"/>
              </w:rPr>
            </w:pPr>
            <w:r w:rsidRPr="009311EE">
              <w:rPr>
                <w:b/>
                <w:color w:val="00B050"/>
                <w:szCs w:val="22"/>
              </w:rPr>
              <w:t>↑</w:t>
            </w:r>
          </w:p>
        </w:tc>
        <w:tc>
          <w:tcPr>
            <w:tcW w:w="567" w:type="dxa"/>
            <w:tcBorders>
              <w:top w:val="single" w:sz="2" w:space="0" w:color="F6BB00"/>
              <w:bottom w:val="single" w:sz="2" w:space="0" w:color="F6BB00"/>
            </w:tcBorders>
            <w:vAlign w:val="center"/>
          </w:tcPr>
          <w:p w14:paraId="0D8B1829" w14:textId="77777777" w:rsidR="004E6832" w:rsidRPr="009311EE" w:rsidRDefault="004E6832" w:rsidP="006828EB">
            <w:pPr>
              <w:spacing w:after="0" w:line="240" w:lineRule="auto"/>
              <w:jc w:val="center"/>
              <w:rPr>
                <w:b/>
                <w:color w:val="00B050"/>
                <w:sz w:val="18"/>
                <w:szCs w:val="18"/>
              </w:rPr>
            </w:pPr>
            <w:r w:rsidRPr="009311EE">
              <w:rPr>
                <w:b/>
                <w:color w:val="00B050"/>
                <w:sz w:val="18"/>
                <w:szCs w:val="18"/>
              </w:rPr>
              <w:t>(13)</w:t>
            </w:r>
          </w:p>
        </w:tc>
        <w:tc>
          <w:tcPr>
            <w:tcW w:w="1278" w:type="dxa"/>
            <w:gridSpan w:val="2"/>
            <w:tcBorders>
              <w:top w:val="single" w:sz="2" w:space="0" w:color="F6BB00"/>
              <w:bottom w:val="single" w:sz="2" w:space="0" w:color="F6BB00"/>
            </w:tcBorders>
            <w:vAlign w:val="center"/>
          </w:tcPr>
          <w:p w14:paraId="2C2AA3EE" w14:textId="77777777" w:rsidR="004E6832" w:rsidRPr="0057408C" w:rsidRDefault="004E6832" w:rsidP="006828EB">
            <w:pPr>
              <w:spacing w:after="0" w:line="240" w:lineRule="auto"/>
              <w:jc w:val="center"/>
              <w:rPr>
                <w:b/>
                <w:sz w:val="18"/>
                <w:szCs w:val="18"/>
              </w:rPr>
            </w:pPr>
            <w:r w:rsidRPr="0057408C">
              <w:rPr>
                <w:b/>
                <w:sz w:val="18"/>
                <w:szCs w:val="18"/>
              </w:rPr>
              <w:t>0 (1) (dane dla 2016)</w:t>
            </w:r>
          </w:p>
        </w:tc>
      </w:tr>
      <w:tr w:rsidR="004E6832" w:rsidRPr="00EB1427" w14:paraId="37AA4422" w14:textId="77777777" w:rsidTr="00734085">
        <w:tc>
          <w:tcPr>
            <w:tcW w:w="6237" w:type="dxa"/>
            <w:tcBorders>
              <w:top w:val="single" w:sz="2" w:space="0" w:color="F6BB00"/>
              <w:bottom w:val="single" w:sz="2" w:space="0" w:color="F6BB00"/>
            </w:tcBorders>
            <w:shd w:val="clear" w:color="auto" w:fill="F6BB00"/>
            <w:vAlign w:val="center"/>
          </w:tcPr>
          <w:p w14:paraId="6F80FFED" w14:textId="77777777" w:rsidR="004E6832" w:rsidRPr="00EB1427" w:rsidRDefault="004E6832" w:rsidP="006828EB">
            <w:pPr>
              <w:spacing w:after="0" w:line="240" w:lineRule="auto"/>
              <w:jc w:val="left"/>
              <w:rPr>
                <w:sz w:val="18"/>
                <w:szCs w:val="18"/>
              </w:rPr>
            </w:pPr>
            <w:r w:rsidRPr="00AB5EAA">
              <w:rPr>
                <w:sz w:val="18"/>
                <w:szCs w:val="18"/>
              </w:rPr>
              <w:t>Cel strategiczny 3. Lepsze zarządzanie energią</w:t>
            </w:r>
          </w:p>
        </w:tc>
        <w:tc>
          <w:tcPr>
            <w:tcW w:w="850" w:type="dxa"/>
            <w:tcBorders>
              <w:top w:val="single" w:sz="2" w:space="0" w:color="F6BB00"/>
              <w:bottom w:val="single" w:sz="2" w:space="0" w:color="F6BB00"/>
            </w:tcBorders>
            <w:shd w:val="clear" w:color="auto" w:fill="F6BB00"/>
            <w:vAlign w:val="center"/>
          </w:tcPr>
          <w:p w14:paraId="42E70A87" w14:textId="77777777" w:rsidR="004E6832" w:rsidRPr="00942877" w:rsidRDefault="004E6832" w:rsidP="006828EB">
            <w:pPr>
              <w:spacing w:after="0" w:line="240" w:lineRule="auto"/>
              <w:jc w:val="center"/>
              <w:rPr>
                <w:b/>
                <w:color w:val="FF0000"/>
                <w:szCs w:val="22"/>
              </w:rPr>
            </w:pPr>
          </w:p>
        </w:tc>
        <w:tc>
          <w:tcPr>
            <w:tcW w:w="567" w:type="dxa"/>
            <w:tcBorders>
              <w:top w:val="single" w:sz="2" w:space="0" w:color="F6BB00"/>
              <w:bottom w:val="single" w:sz="2" w:space="0" w:color="F6BB00"/>
            </w:tcBorders>
            <w:shd w:val="clear" w:color="auto" w:fill="F6BB00"/>
            <w:vAlign w:val="center"/>
          </w:tcPr>
          <w:p w14:paraId="348BB862" w14:textId="77777777" w:rsidR="004E6832" w:rsidRPr="008B2D2C" w:rsidRDefault="004E6832" w:rsidP="006828EB">
            <w:pPr>
              <w:spacing w:after="0" w:line="240" w:lineRule="auto"/>
              <w:jc w:val="center"/>
              <w:rPr>
                <w:b/>
                <w:color w:val="FF0000"/>
                <w:sz w:val="18"/>
                <w:szCs w:val="18"/>
              </w:rPr>
            </w:pPr>
          </w:p>
        </w:tc>
        <w:tc>
          <w:tcPr>
            <w:tcW w:w="1278" w:type="dxa"/>
            <w:gridSpan w:val="2"/>
            <w:tcBorders>
              <w:top w:val="single" w:sz="2" w:space="0" w:color="F6BB00"/>
              <w:bottom w:val="single" w:sz="2" w:space="0" w:color="F6BB00"/>
            </w:tcBorders>
            <w:shd w:val="clear" w:color="auto" w:fill="F6BB00"/>
            <w:vAlign w:val="center"/>
          </w:tcPr>
          <w:p w14:paraId="6F2D4B2F" w14:textId="77777777" w:rsidR="004E6832" w:rsidRPr="0057408C" w:rsidRDefault="004E6832" w:rsidP="006828EB">
            <w:pPr>
              <w:spacing w:after="0" w:line="240" w:lineRule="auto"/>
              <w:jc w:val="center"/>
              <w:rPr>
                <w:b/>
                <w:sz w:val="18"/>
                <w:szCs w:val="18"/>
              </w:rPr>
            </w:pPr>
          </w:p>
        </w:tc>
      </w:tr>
      <w:tr w:rsidR="004E6832" w:rsidRPr="00EB1427" w14:paraId="4DB045C7" w14:textId="77777777" w:rsidTr="00734085">
        <w:tc>
          <w:tcPr>
            <w:tcW w:w="6237" w:type="dxa"/>
            <w:tcBorders>
              <w:top w:val="single" w:sz="2" w:space="0" w:color="F6BB00"/>
              <w:bottom w:val="single" w:sz="2" w:space="0" w:color="F6BB00"/>
            </w:tcBorders>
            <w:vAlign w:val="center"/>
          </w:tcPr>
          <w:p w14:paraId="1A04A226" w14:textId="77777777" w:rsidR="004E6832" w:rsidRPr="00AB5EAA" w:rsidRDefault="004E6832" w:rsidP="006828EB">
            <w:pPr>
              <w:spacing w:after="0" w:line="240" w:lineRule="auto"/>
              <w:jc w:val="left"/>
              <w:rPr>
                <w:sz w:val="18"/>
                <w:szCs w:val="18"/>
              </w:rPr>
            </w:pPr>
            <w:r w:rsidRPr="00554979">
              <w:rPr>
                <w:sz w:val="18"/>
                <w:szCs w:val="18"/>
              </w:rPr>
              <w:t>Zużycie energii elektrycznej</w:t>
            </w:r>
          </w:p>
        </w:tc>
        <w:tc>
          <w:tcPr>
            <w:tcW w:w="850" w:type="dxa"/>
            <w:tcBorders>
              <w:top w:val="single" w:sz="2" w:space="0" w:color="F6BB00"/>
              <w:bottom w:val="single" w:sz="2" w:space="0" w:color="F6BB00"/>
            </w:tcBorders>
            <w:vAlign w:val="center"/>
          </w:tcPr>
          <w:p w14:paraId="3ECD3E75" w14:textId="77777777" w:rsidR="004E6832" w:rsidRPr="007C3D9A" w:rsidRDefault="004E6832" w:rsidP="00734085">
            <w:pPr>
              <w:spacing w:after="0" w:line="240" w:lineRule="auto"/>
              <w:jc w:val="right"/>
              <w:rPr>
                <w:b/>
                <w:color w:val="FF0000"/>
                <w:szCs w:val="22"/>
              </w:rPr>
            </w:pPr>
            <w:r w:rsidRPr="007C3D9A">
              <w:rPr>
                <w:b/>
                <w:color w:val="FF0000"/>
                <w:szCs w:val="22"/>
              </w:rPr>
              <w:t>↑</w:t>
            </w:r>
          </w:p>
        </w:tc>
        <w:tc>
          <w:tcPr>
            <w:tcW w:w="567" w:type="dxa"/>
            <w:tcBorders>
              <w:top w:val="single" w:sz="2" w:space="0" w:color="F6BB00"/>
              <w:bottom w:val="single" w:sz="2" w:space="0" w:color="F6BB00"/>
            </w:tcBorders>
            <w:vAlign w:val="center"/>
          </w:tcPr>
          <w:p w14:paraId="62E1E040" w14:textId="77777777" w:rsidR="004E6832" w:rsidRPr="007C3D9A" w:rsidRDefault="004E6832" w:rsidP="006828EB">
            <w:pPr>
              <w:spacing w:after="0" w:line="240" w:lineRule="auto"/>
              <w:jc w:val="center"/>
              <w:rPr>
                <w:b/>
                <w:color w:val="FF0000"/>
                <w:sz w:val="18"/>
                <w:szCs w:val="18"/>
              </w:rPr>
            </w:pPr>
            <w:r w:rsidRPr="007C3D9A">
              <w:rPr>
                <w:b/>
                <w:color w:val="FF0000"/>
                <w:sz w:val="18"/>
                <w:szCs w:val="18"/>
              </w:rPr>
              <w:t>(1)</w:t>
            </w:r>
          </w:p>
        </w:tc>
        <w:tc>
          <w:tcPr>
            <w:tcW w:w="1278" w:type="dxa"/>
            <w:gridSpan w:val="2"/>
            <w:tcBorders>
              <w:top w:val="single" w:sz="2" w:space="0" w:color="F6BB00"/>
              <w:bottom w:val="single" w:sz="2" w:space="0" w:color="F6BB00"/>
            </w:tcBorders>
            <w:vAlign w:val="center"/>
          </w:tcPr>
          <w:p w14:paraId="0E64D79C" w14:textId="77777777" w:rsidR="004E6832" w:rsidRPr="0057408C" w:rsidRDefault="004E6832" w:rsidP="006828EB">
            <w:pPr>
              <w:spacing w:after="0" w:line="240" w:lineRule="auto"/>
              <w:jc w:val="center"/>
              <w:rPr>
                <w:b/>
                <w:color w:val="FF0000"/>
                <w:sz w:val="18"/>
                <w:szCs w:val="18"/>
              </w:rPr>
            </w:pPr>
            <w:r w:rsidRPr="0057408C">
              <w:rPr>
                <w:b/>
                <w:color w:val="FF0000"/>
                <w:sz w:val="18"/>
                <w:szCs w:val="18"/>
              </w:rPr>
              <w:t>+1 (4)</w:t>
            </w:r>
          </w:p>
        </w:tc>
      </w:tr>
      <w:tr w:rsidR="004E6832" w:rsidRPr="00EB1427" w14:paraId="34D4DAD2" w14:textId="77777777" w:rsidTr="00734085">
        <w:tc>
          <w:tcPr>
            <w:tcW w:w="6237" w:type="dxa"/>
            <w:tcBorders>
              <w:top w:val="single" w:sz="2" w:space="0" w:color="F6BB00"/>
              <w:bottom w:val="single" w:sz="2" w:space="0" w:color="F6BB00"/>
            </w:tcBorders>
            <w:vAlign w:val="center"/>
          </w:tcPr>
          <w:p w14:paraId="7E71AF6B" w14:textId="77777777" w:rsidR="004E6832" w:rsidRPr="00AB5EAA" w:rsidRDefault="004E6832" w:rsidP="006828EB">
            <w:pPr>
              <w:spacing w:after="0" w:line="240" w:lineRule="auto"/>
              <w:jc w:val="left"/>
              <w:rPr>
                <w:sz w:val="18"/>
                <w:szCs w:val="18"/>
              </w:rPr>
            </w:pPr>
            <w:r w:rsidRPr="009D5C18">
              <w:rPr>
                <w:sz w:val="18"/>
                <w:szCs w:val="18"/>
              </w:rPr>
              <w:t>Produkcja energii elektrycznej z odnawialnych nośników energii</w:t>
            </w:r>
          </w:p>
        </w:tc>
        <w:tc>
          <w:tcPr>
            <w:tcW w:w="850" w:type="dxa"/>
            <w:tcBorders>
              <w:top w:val="single" w:sz="2" w:space="0" w:color="F6BB00"/>
              <w:bottom w:val="single" w:sz="2" w:space="0" w:color="F6BB00"/>
            </w:tcBorders>
            <w:vAlign w:val="center"/>
          </w:tcPr>
          <w:p w14:paraId="6A638AB0" w14:textId="77777777" w:rsidR="004E6832" w:rsidRPr="007C3D9A" w:rsidRDefault="004E6832" w:rsidP="00734085">
            <w:pPr>
              <w:spacing w:after="0" w:line="240" w:lineRule="auto"/>
              <w:jc w:val="right"/>
              <w:rPr>
                <w:b/>
                <w:color w:val="00B050"/>
                <w:szCs w:val="22"/>
              </w:rPr>
            </w:pPr>
            <w:r w:rsidRPr="007C3D9A">
              <w:rPr>
                <w:b/>
                <w:color w:val="00B050"/>
                <w:szCs w:val="22"/>
              </w:rPr>
              <w:t>↑</w:t>
            </w:r>
          </w:p>
        </w:tc>
        <w:tc>
          <w:tcPr>
            <w:tcW w:w="567" w:type="dxa"/>
            <w:tcBorders>
              <w:top w:val="single" w:sz="2" w:space="0" w:color="F6BB00"/>
              <w:bottom w:val="single" w:sz="2" w:space="0" w:color="F6BB00"/>
            </w:tcBorders>
            <w:vAlign w:val="center"/>
          </w:tcPr>
          <w:p w14:paraId="07CC74A8" w14:textId="77777777" w:rsidR="004E6832" w:rsidRPr="007C3D9A" w:rsidRDefault="004E6832" w:rsidP="006828EB">
            <w:pPr>
              <w:spacing w:after="0" w:line="240" w:lineRule="auto"/>
              <w:jc w:val="center"/>
              <w:rPr>
                <w:b/>
                <w:color w:val="00B050"/>
                <w:sz w:val="18"/>
                <w:szCs w:val="18"/>
              </w:rPr>
            </w:pPr>
            <w:r w:rsidRPr="007C3D9A">
              <w:rPr>
                <w:b/>
                <w:color w:val="00B050"/>
                <w:sz w:val="18"/>
                <w:szCs w:val="18"/>
              </w:rPr>
              <w:t>(12)</w:t>
            </w:r>
          </w:p>
        </w:tc>
        <w:tc>
          <w:tcPr>
            <w:tcW w:w="1278" w:type="dxa"/>
            <w:gridSpan w:val="2"/>
            <w:tcBorders>
              <w:top w:val="single" w:sz="2" w:space="0" w:color="F6BB00"/>
              <w:bottom w:val="single" w:sz="2" w:space="0" w:color="F6BB00"/>
            </w:tcBorders>
            <w:vAlign w:val="center"/>
          </w:tcPr>
          <w:p w14:paraId="49A40807" w14:textId="77777777" w:rsidR="004E6832" w:rsidRPr="0057408C" w:rsidRDefault="004E6832" w:rsidP="006828EB">
            <w:pPr>
              <w:spacing w:after="0" w:line="240" w:lineRule="auto"/>
              <w:jc w:val="center"/>
              <w:rPr>
                <w:b/>
                <w:sz w:val="18"/>
                <w:szCs w:val="18"/>
              </w:rPr>
            </w:pPr>
            <w:r w:rsidRPr="0057408C">
              <w:rPr>
                <w:b/>
                <w:sz w:val="18"/>
                <w:szCs w:val="18"/>
              </w:rPr>
              <w:t>0 (5)</w:t>
            </w:r>
          </w:p>
        </w:tc>
      </w:tr>
      <w:tr w:rsidR="004E6832" w:rsidRPr="00EB1427" w14:paraId="28DA6047" w14:textId="77777777" w:rsidTr="00734085">
        <w:tc>
          <w:tcPr>
            <w:tcW w:w="6237" w:type="dxa"/>
            <w:tcBorders>
              <w:top w:val="single" w:sz="2" w:space="0" w:color="F6BB00"/>
              <w:bottom w:val="single" w:sz="2" w:space="0" w:color="F6BB00"/>
            </w:tcBorders>
            <w:vAlign w:val="center"/>
          </w:tcPr>
          <w:p w14:paraId="64DB81CE" w14:textId="77777777" w:rsidR="004E6832" w:rsidRPr="00AB5EAA" w:rsidRDefault="004E6832" w:rsidP="006828EB">
            <w:pPr>
              <w:spacing w:after="0" w:line="240" w:lineRule="auto"/>
              <w:jc w:val="left"/>
              <w:rPr>
                <w:sz w:val="18"/>
                <w:szCs w:val="18"/>
              </w:rPr>
            </w:pPr>
            <w:r w:rsidRPr="009D5C18">
              <w:rPr>
                <w:sz w:val="18"/>
                <w:szCs w:val="18"/>
              </w:rPr>
              <w:t>Korzystający z instalacji gazowej w % ogółu ludności</w:t>
            </w:r>
          </w:p>
        </w:tc>
        <w:tc>
          <w:tcPr>
            <w:tcW w:w="850" w:type="dxa"/>
            <w:tcBorders>
              <w:top w:val="single" w:sz="2" w:space="0" w:color="F6BB00"/>
              <w:bottom w:val="single" w:sz="2" w:space="0" w:color="F6BB00"/>
            </w:tcBorders>
            <w:vAlign w:val="center"/>
          </w:tcPr>
          <w:p w14:paraId="540F9BAB" w14:textId="77777777" w:rsidR="004E6832" w:rsidRPr="007C3D9A" w:rsidRDefault="004E6832" w:rsidP="00734085">
            <w:pPr>
              <w:spacing w:after="0" w:line="240" w:lineRule="auto"/>
              <w:jc w:val="right"/>
              <w:rPr>
                <w:b/>
                <w:color w:val="FF0000"/>
                <w:szCs w:val="22"/>
              </w:rPr>
            </w:pPr>
            <w:r w:rsidRPr="007C3D9A">
              <w:rPr>
                <w:b/>
                <w:color w:val="FF0000"/>
                <w:szCs w:val="22"/>
              </w:rPr>
              <w:t>↓</w:t>
            </w:r>
          </w:p>
        </w:tc>
        <w:tc>
          <w:tcPr>
            <w:tcW w:w="567" w:type="dxa"/>
            <w:tcBorders>
              <w:top w:val="single" w:sz="2" w:space="0" w:color="F6BB00"/>
              <w:bottom w:val="single" w:sz="2" w:space="0" w:color="F6BB00"/>
            </w:tcBorders>
            <w:vAlign w:val="center"/>
          </w:tcPr>
          <w:p w14:paraId="75D3D52C" w14:textId="77777777" w:rsidR="004E6832" w:rsidRPr="007C3D9A" w:rsidRDefault="004E6832" w:rsidP="006828EB">
            <w:pPr>
              <w:spacing w:after="0" w:line="240" w:lineRule="auto"/>
              <w:jc w:val="center"/>
              <w:rPr>
                <w:b/>
                <w:color w:val="FF0000"/>
                <w:sz w:val="18"/>
                <w:szCs w:val="18"/>
              </w:rPr>
            </w:pPr>
            <w:r w:rsidRPr="007C3D9A">
              <w:rPr>
                <w:b/>
                <w:color w:val="FF0000"/>
                <w:sz w:val="18"/>
                <w:szCs w:val="18"/>
              </w:rPr>
              <w:t>(4)</w:t>
            </w:r>
          </w:p>
        </w:tc>
        <w:tc>
          <w:tcPr>
            <w:tcW w:w="1278" w:type="dxa"/>
            <w:gridSpan w:val="2"/>
            <w:tcBorders>
              <w:top w:val="single" w:sz="2" w:space="0" w:color="F6BB00"/>
              <w:bottom w:val="single" w:sz="2" w:space="0" w:color="F6BB00"/>
            </w:tcBorders>
            <w:vAlign w:val="center"/>
          </w:tcPr>
          <w:p w14:paraId="5AA5E1F5" w14:textId="77777777" w:rsidR="004E6832" w:rsidRPr="0057408C" w:rsidRDefault="004E6832" w:rsidP="006828EB">
            <w:pPr>
              <w:spacing w:after="0" w:line="240" w:lineRule="auto"/>
              <w:jc w:val="center"/>
              <w:rPr>
                <w:b/>
                <w:sz w:val="18"/>
                <w:szCs w:val="18"/>
              </w:rPr>
            </w:pPr>
            <w:r w:rsidRPr="0057408C">
              <w:rPr>
                <w:b/>
                <w:sz w:val="18"/>
                <w:szCs w:val="18"/>
              </w:rPr>
              <w:t>0 (9) (dane za 2016)</w:t>
            </w:r>
          </w:p>
        </w:tc>
      </w:tr>
      <w:tr w:rsidR="004E6832" w:rsidRPr="00EB1427" w14:paraId="53B4F0F5" w14:textId="77777777" w:rsidTr="00734085">
        <w:tc>
          <w:tcPr>
            <w:tcW w:w="6237" w:type="dxa"/>
            <w:tcBorders>
              <w:top w:val="single" w:sz="2" w:space="0" w:color="F6BB00"/>
              <w:bottom w:val="single" w:sz="2" w:space="0" w:color="F6BB00"/>
            </w:tcBorders>
            <w:vAlign w:val="center"/>
          </w:tcPr>
          <w:p w14:paraId="5CAC4953" w14:textId="77777777" w:rsidR="004E6832" w:rsidRPr="00AB5EAA" w:rsidRDefault="004E6832" w:rsidP="006828EB">
            <w:pPr>
              <w:spacing w:after="0" w:line="240" w:lineRule="auto"/>
              <w:jc w:val="left"/>
              <w:rPr>
                <w:sz w:val="18"/>
                <w:szCs w:val="18"/>
              </w:rPr>
            </w:pPr>
            <w:r w:rsidRPr="009D5C18">
              <w:rPr>
                <w:sz w:val="18"/>
                <w:szCs w:val="18"/>
              </w:rPr>
              <w:t>Zużycie gazu z sieci w gospodarstwach domowych</w:t>
            </w:r>
          </w:p>
        </w:tc>
        <w:tc>
          <w:tcPr>
            <w:tcW w:w="850" w:type="dxa"/>
            <w:tcBorders>
              <w:top w:val="single" w:sz="2" w:space="0" w:color="F6BB00"/>
              <w:bottom w:val="single" w:sz="2" w:space="0" w:color="F6BB00"/>
            </w:tcBorders>
            <w:vAlign w:val="center"/>
          </w:tcPr>
          <w:p w14:paraId="5885E492" w14:textId="77777777" w:rsidR="004E6832" w:rsidRPr="007C3D9A" w:rsidRDefault="004E6832" w:rsidP="00734085">
            <w:pPr>
              <w:spacing w:after="0" w:line="240" w:lineRule="auto"/>
              <w:jc w:val="right"/>
              <w:rPr>
                <w:b/>
                <w:color w:val="00B050"/>
                <w:szCs w:val="22"/>
              </w:rPr>
            </w:pPr>
            <w:r w:rsidRPr="007C3D9A">
              <w:rPr>
                <w:b/>
                <w:color w:val="00B050"/>
                <w:szCs w:val="22"/>
              </w:rPr>
              <w:t>↑</w:t>
            </w:r>
          </w:p>
        </w:tc>
        <w:tc>
          <w:tcPr>
            <w:tcW w:w="567" w:type="dxa"/>
            <w:tcBorders>
              <w:top w:val="single" w:sz="2" w:space="0" w:color="F6BB00"/>
              <w:bottom w:val="single" w:sz="2" w:space="0" w:color="F6BB00"/>
            </w:tcBorders>
            <w:vAlign w:val="center"/>
          </w:tcPr>
          <w:p w14:paraId="239E92B4" w14:textId="77777777" w:rsidR="004E6832" w:rsidRPr="007C3D9A" w:rsidRDefault="004E6832" w:rsidP="006828EB">
            <w:pPr>
              <w:spacing w:after="0" w:line="240" w:lineRule="auto"/>
              <w:jc w:val="center"/>
              <w:rPr>
                <w:b/>
                <w:color w:val="00B050"/>
                <w:sz w:val="18"/>
                <w:szCs w:val="18"/>
              </w:rPr>
            </w:pPr>
            <w:r w:rsidRPr="007C3D9A">
              <w:rPr>
                <w:b/>
                <w:color w:val="00B050"/>
                <w:sz w:val="18"/>
                <w:szCs w:val="18"/>
              </w:rPr>
              <w:t>(8)</w:t>
            </w:r>
          </w:p>
        </w:tc>
        <w:tc>
          <w:tcPr>
            <w:tcW w:w="1278" w:type="dxa"/>
            <w:gridSpan w:val="2"/>
            <w:tcBorders>
              <w:top w:val="single" w:sz="2" w:space="0" w:color="F6BB00"/>
              <w:bottom w:val="single" w:sz="2" w:space="0" w:color="F6BB00"/>
            </w:tcBorders>
            <w:vAlign w:val="center"/>
          </w:tcPr>
          <w:p w14:paraId="156EB8D1" w14:textId="77777777" w:rsidR="004E6832" w:rsidRPr="0057408C" w:rsidRDefault="004E6832" w:rsidP="006828EB">
            <w:pPr>
              <w:spacing w:after="0" w:line="240" w:lineRule="auto"/>
              <w:jc w:val="center"/>
              <w:rPr>
                <w:b/>
                <w:color w:val="00B050"/>
                <w:sz w:val="18"/>
                <w:szCs w:val="18"/>
              </w:rPr>
            </w:pPr>
            <w:r w:rsidRPr="0057408C">
              <w:rPr>
                <w:b/>
                <w:color w:val="00B050"/>
                <w:sz w:val="18"/>
                <w:szCs w:val="18"/>
              </w:rPr>
              <w:t>+1 (2) (dane za 2016)</w:t>
            </w:r>
          </w:p>
        </w:tc>
      </w:tr>
      <w:tr w:rsidR="000114F2" w:rsidRPr="00EB1427" w14:paraId="36EE6335" w14:textId="77777777" w:rsidTr="00734085">
        <w:tc>
          <w:tcPr>
            <w:tcW w:w="8932" w:type="dxa"/>
            <w:gridSpan w:val="5"/>
            <w:tcBorders>
              <w:top w:val="single" w:sz="2" w:space="0" w:color="F6BB00"/>
              <w:bottom w:val="single" w:sz="2" w:space="0" w:color="F6BB00"/>
            </w:tcBorders>
            <w:shd w:val="clear" w:color="auto" w:fill="F6BB00"/>
            <w:vAlign w:val="center"/>
          </w:tcPr>
          <w:p w14:paraId="5F8CC856" w14:textId="77777777" w:rsidR="000114F2" w:rsidRPr="0057408C" w:rsidRDefault="000114F2" w:rsidP="000114F2">
            <w:pPr>
              <w:spacing w:after="0" w:line="240" w:lineRule="auto"/>
              <w:jc w:val="left"/>
              <w:rPr>
                <w:b/>
                <w:sz w:val="18"/>
                <w:szCs w:val="18"/>
              </w:rPr>
            </w:pPr>
            <w:r w:rsidRPr="00AB5EAA">
              <w:rPr>
                <w:sz w:val="18"/>
                <w:szCs w:val="18"/>
              </w:rPr>
              <w:t>Cel strategiczny 4. Zwiększanie konkurencyjności metropolii poznańskiej i innych ośrodków wzrostu w województwie</w:t>
            </w:r>
          </w:p>
        </w:tc>
      </w:tr>
      <w:tr w:rsidR="004E6832" w:rsidRPr="00EB1427" w14:paraId="41946CC9" w14:textId="77777777" w:rsidTr="00734085">
        <w:tc>
          <w:tcPr>
            <w:tcW w:w="6237" w:type="dxa"/>
            <w:tcBorders>
              <w:top w:val="single" w:sz="2" w:space="0" w:color="F6BB00"/>
              <w:bottom w:val="single" w:sz="2" w:space="0" w:color="F6BB00"/>
            </w:tcBorders>
            <w:vAlign w:val="center"/>
          </w:tcPr>
          <w:p w14:paraId="7260CB88" w14:textId="77777777" w:rsidR="004E6832" w:rsidRPr="00AB5EAA" w:rsidRDefault="004E6832" w:rsidP="006828EB">
            <w:pPr>
              <w:spacing w:after="0" w:line="240" w:lineRule="auto"/>
              <w:jc w:val="left"/>
              <w:rPr>
                <w:sz w:val="18"/>
                <w:szCs w:val="18"/>
              </w:rPr>
            </w:pPr>
            <w:r w:rsidRPr="009D5C18">
              <w:rPr>
                <w:sz w:val="18"/>
                <w:szCs w:val="18"/>
              </w:rPr>
              <w:t>Ludność w wieku przedprodukcyjnym</w:t>
            </w:r>
            <w:r>
              <w:rPr>
                <w:sz w:val="18"/>
                <w:szCs w:val="18"/>
              </w:rPr>
              <w:t>,</w:t>
            </w:r>
            <w:r w:rsidRPr="009D5C18">
              <w:rPr>
                <w:sz w:val="18"/>
                <w:szCs w:val="18"/>
              </w:rPr>
              <w:t xml:space="preserve"> produkcyjnym i poprodukcyjnym</w:t>
            </w:r>
          </w:p>
        </w:tc>
        <w:tc>
          <w:tcPr>
            <w:tcW w:w="850" w:type="dxa"/>
            <w:tcBorders>
              <w:top w:val="single" w:sz="2" w:space="0" w:color="F6BB00"/>
              <w:bottom w:val="single" w:sz="2" w:space="0" w:color="F6BB00"/>
            </w:tcBorders>
            <w:vAlign w:val="center"/>
          </w:tcPr>
          <w:p w14:paraId="066D1419" w14:textId="77777777" w:rsidR="004E6832" w:rsidRPr="00A31B47" w:rsidRDefault="004E6832" w:rsidP="00734085">
            <w:pPr>
              <w:spacing w:after="0" w:line="240" w:lineRule="auto"/>
              <w:jc w:val="right"/>
              <w:rPr>
                <w:b/>
                <w:color w:val="00B050"/>
                <w:szCs w:val="22"/>
              </w:rPr>
            </w:pPr>
            <w:r w:rsidRPr="00A31B47">
              <w:rPr>
                <w:b/>
                <w:color w:val="00B050"/>
                <w:szCs w:val="22"/>
              </w:rPr>
              <w:t>↑</w:t>
            </w:r>
          </w:p>
        </w:tc>
        <w:tc>
          <w:tcPr>
            <w:tcW w:w="567" w:type="dxa"/>
            <w:tcBorders>
              <w:top w:val="single" w:sz="2" w:space="0" w:color="F6BB00"/>
              <w:bottom w:val="single" w:sz="2" w:space="0" w:color="F6BB00"/>
            </w:tcBorders>
            <w:vAlign w:val="center"/>
          </w:tcPr>
          <w:p w14:paraId="21A8C7F1" w14:textId="77777777" w:rsidR="004E6832" w:rsidRPr="00A31B47" w:rsidRDefault="004E6832" w:rsidP="006828EB">
            <w:pPr>
              <w:spacing w:after="0" w:line="240" w:lineRule="auto"/>
              <w:jc w:val="center"/>
              <w:rPr>
                <w:b/>
                <w:color w:val="00B050"/>
                <w:sz w:val="18"/>
                <w:szCs w:val="18"/>
              </w:rPr>
            </w:pPr>
            <w:r w:rsidRPr="00A31B47">
              <w:rPr>
                <w:b/>
                <w:color w:val="00B050"/>
                <w:sz w:val="18"/>
                <w:szCs w:val="18"/>
              </w:rPr>
              <w:t>(4)</w:t>
            </w:r>
          </w:p>
        </w:tc>
        <w:tc>
          <w:tcPr>
            <w:tcW w:w="1278" w:type="dxa"/>
            <w:gridSpan w:val="2"/>
            <w:tcBorders>
              <w:top w:val="single" w:sz="2" w:space="0" w:color="F6BB00"/>
              <w:bottom w:val="single" w:sz="2" w:space="0" w:color="F6BB00"/>
            </w:tcBorders>
            <w:vAlign w:val="center"/>
          </w:tcPr>
          <w:p w14:paraId="630B3F9E" w14:textId="77777777" w:rsidR="004E6832" w:rsidRPr="0057408C" w:rsidRDefault="004E6832" w:rsidP="006828EB">
            <w:pPr>
              <w:spacing w:after="0" w:line="240" w:lineRule="auto"/>
              <w:jc w:val="center"/>
              <w:rPr>
                <w:b/>
                <w:sz w:val="18"/>
                <w:szCs w:val="18"/>
              </w:rPr>
            </w:pPr>
            <w:r w:rsidRPr="0057408C">
              <w:rPr>
                <w:b/>
                <w:sz w:val="18"/>
                <w:szCs w:val="18"/>
              </w:rPr>
              <w:t>0 (3)</w:t>
            </w:r>
          </w:p>
        </w:tc>
      </w:tr>
      <w:tr w:rsidR="004E6832" w:rsidRPr="00EB1427" w14:paraId="501B4822" w14:textId="77777777" w:rsidTr="00734085">
        <w:tc>
          <w:tcPr>
            <w:tcW w:w="6237" w:type="dxa"/>
            <w:tcBorders>
              <w:top w:val="single" w:sz="2" w:space="0" w:color="F6BB00"/>
              <w:bottom w:val="single" w:sz="2" w:space="0" w:color="F6BB00"/>
            </w:tcBorders>
            <w:vAlign w:val="center"/>
          </w:tcPr>
          <w:p w14:paraId="761E336F" w14:textId="77777777" w:rsidR="004E6832" w:rsidRPr="00AB5EAA" w:rsidRDefault="004E6832" w:rsidP="006828EB">
            <w:pPr>
              <w:spacing w:after="0" w:line="240" w:lineRule="auto"/>
              <w:jc w:val="left"/>
              <w:rPr>
                <w:sz w:val="18"/>
                <w:szCs w:val="18"/>
              </w:rPr>
            </w:pPr>
            <w:r w:rsidRPr="00522AFA">
              <w:rPr>
                <w:sz w:val="18"/>
                <w:szCs w:val="18"/>
              </w:rPr>
              <w:t>Ludność w wieku przedprodukcyjnym</w:t>
            </w:r>
          </w:p>
        </w:tc>
        <w:tc>
          <w:tcPr>
            <w:tcW w:w="850" w:type="dxa"/>
            <w:tcBorders>
              <w:top w:val="single" w:sz="2" w:space="0" w:color="F6BB00"/>
              <w:bottom w:val="single" w:sz="2" w:space="0" w:color="F6BB00"/>
            </w:tcBorders>
            <w:vAlign w:val="center"/>
          </w:tcPr>
          <w:p w14:paraId="7FA8100C" w14:textId="77777777" w:rsidR="004E6832" w:rsidRPr="00B039CE" w:rsidRDefault="004E6832" w:rsidP="00734085">
            <w:pPr>
              <w:spacing w:after="0" w:line="240" w:lineRule="auto"/>
              <w:jc w:val="right"/>
              <w:rPr>
                <w:b/>
                <w:color w:val="FF0000"/>
                <w:szCs w:val="22"/>
              </w:rPr>
            </w:pPr>
            <w:r w:rsidRPr="00B039CE">
              <w:rPr>
                <w:b/>
                <w:color w:val="FF0000"/>
                <w:szCs w:val="22"/>
              </w:rPr>
              <w:t>↓</w:t>
            </w:r>
          </w:p>
        </w:tc>
        <w:tc>
          <w:tcPr>
            <w:tcW w:w="567" w:type="dxa"/>
            <w:tcBorders>
              <w:top w:val="single" w:sz="2" w:space="0" w:color="F6BB00"/>
              <w:bottom w:val="single" w:sz="2" w:space="0" w:color="F6BB00"/>
            </w:tcBorders>
            <w:vAlign w:val="center"/>
          </w:tcPr>
          <w:p w14:paraId="6D7C9DC2" w14:textId="77777777" w:rsidR="004E6832" w:rsidRPr="00B039CE" w:rsidRDefault="004E6832" w:rsidP="006828EB">
            <w:pPr>
              <w:spacing w:after="0" w:line="240" w:lineRule="auto"/>
              <w:jc w:val="center"/>
              <w:rPr>
                <w:b/>
                <w:color w:val="FF0000"/>
                <w:sz w:val="18"/>
                <w:szCs w:val="18"/>
              </w:rPr>
            </w:pPr>
            <w:r w:rsidRPr="00B039CE">
              <w:rPr>
                <w:b/>
                <w:color w:val="FF0000"/>
                <w:sz w:val="18"/>
                <w:szCs w:val="18"/>
              </w:rPr>
              <w:t>(3)</w:t>
            </w:r>
          </w:p>
        </w:tc>
        <w:tc>
          <w:tcPr>
            <w:tcW w:w="1278" w:type="dxa"/>
            <w:gridSpan w:val="2"/>
            <w:tcBorders>
              <w:top w:val="single" w:sz="2" w:space="0" w:color="F6BB00"/>
              <w:bottom w:val="single" w:sz="2" w:space="0" w:color="F6BB00"/>
            </w:tcBorders>
            <w:vAlign w:val="center"/>
          </w:tcPr>
          <w:p w14:paraId="60BD0FFD" w14:textId="77777777" w:rsidR="004E6832" w:rsidRPr="0057408C" w:rsidRDefault="004E6832" w:rsidP="006828EB">
            <w:pPr>
              <w:spacing w:after="0" w:line="240" w:lineRule="auto"/>
              <w:jc w:val="center"/>
              <w:rPr>
                <w:b/>
                <w:sz w:val="18"/>
                <w:szCs w:val="18"/>
              </w:rPr>
            </w:pPr>
            <w:r w:rsidRPr="0057408C">
              <w:rPr>
                <w:b/>
                <w:sz w:val="18"/>
                <w:szCs w:val="18"/>
              </w:rPr>
              <w:t>0 (3)</w:t>
            </w:r>
          </w:p>
        </w:tc>
      </w:tr>
      <w:tr w:rsidR="004E6832" w:rsidRPr="00EB1427" w14:paraId="15EF470D" w14:textId="77777777" w:rsidTr="00734085">
        <w:tc>
          <w:tcPr>
            <w:tcW w:w="6237" w:type="dxa"/>
            <w:tcBorders>
              <w:top w:val="single" w:sz="2" w:space="0" w:color="F6BB00"/>
              <w:bottom w:val="single" w:sz="2" w:space="0" w:color="F6BB00"/>
            </w:tcBorders>
            <w:vAlign w:val="center"/>
          </w:tcPr>
          <w:p w14:paraId="41AB176B" w14:textId="77777777" w:rsidR="004E6832" w:rsidRPr="00AB5EAA" w:rsidRDefault="004E6832" w:rsidP="006828EB">
            <w:pPr>
              <w:spacing w:after="0" w:line="240" w:lineRule="auto"/>
              <w:jc w:val="left"/>
              <w:rPr>
                <w:sz w:val="18"/>
                <w:szCs w:val="18"/>
              </w:rPr>
            </w:pPr>
            <w:r w:rsidRPr="00522AFA">
              <w:rPr>
                <w:sz w:val="18"/>
                <w:szCs w:val="18"/>
              </w:rPr>
              <w:t>Ludność w wieku produkcyjnym</w:t>
            </w:r>
          </w:p>
        </w:tc>
        <w:tc>
          <w:tcPr>
            <w:tcW w:w="850" w:type="dxa"/>
            <w:tcBorders>
              <w:top w:val="single" w:sz="2" w:space="0" w:color="F6BB00"/>
              <w:bottom w:val="single" w:sz="2" w:space="0" w:color="F6BB00"/>
            </w:tcBorders>
            <w:vAlign w:val="center"/>
          </w:tcPr>
          <w:p w14:paraId="5BAE4042" w14:textId="77777777" w:rsidR="004E6832" w:rsidRPr="00B62E18" w:rsidRDefault="004E6832" w:rsidP="00734085">
            <w:pPr>
              <w:spacing w:after="0" w:line="240" w:lineRule="auto"/>
              <w:jc w:val="right"/>
              <w:rPr>
                <w:b/>
                <w:color w:val="FF0000"/>
                <w:szCs w:val="22"/>
              </w:rPr>
            </w:pPr>
            <w:r w:rsidRPr="00B62E18">
              <w:rPr>
                <w:b/>
                <w:color w:val="FF0000"/>
                <w:szCs w:val="22"/>
              </w:rPr>
              <w:t>↓</w:t>
            </w:r>
          </w:p>
        </w:tc>
        <w:tc>
          <w:tcPr>
            <w:tcW w:w="567" w:type="dxa"/>
            <w:tcBorders>
              <w:top w:val="single" w:sz="2" w:space="0" w:color="F6BB00"/>
              <w:bottom w:val="single" w:sz="2" w:space="0" w:color="F6BB00"/>
            </w:tcBorders>
            <w:vAlign w:val="center"/>
          </w:tcPr>
          <w:p w14:paraId="46E3FC64" w14:textId="77777777" w:rsidR="004E6832" w:rsidRPr="00B62E18" w:rsidRDefault="004E6832" w:rsidP="006828EB">
            <w:pPr>
              <w:spacing w:after="0" w:line="240" w:lineRule="auto"/>
              <w:jc w:val="center"/>
              <w:rPr>
                <w:b/>
                <w:color w:val="FF0000"/>
                <w:sz w:val="18"/>
                <w:szCs w:val="18"/>
              </w:rPr>
            </w:pPr>
            <w:r w:rsidRPr="00B62E18">
              <w:rPr>
                <w:b/>
                <w:color w:val="FF0000"/>
                <w:sz w:val="18"/>
                <w:szCs w:val="18"/>
              </w:rPr>
              <w:t>(6)</w:t>
            </w:r>
          </w:p>
        </w:tc>
        <w:tc>
          <w:tcPr>
            <w:tcW w:w="1278" w:type="dxa"/>
            <w:gridSpan w:val="2"/>
            <w:tcBorders>
              <w:top w:val="single" w:sz="2" w:space="0" w:color="F6BB00"/>
              <w:bottom w:val="single" w:sz="2" w:space="0" w:color="F6BB00"/>
            </w:tcBorders>
            <w:vAlign w:val="center"/>
          </w:tcPr>
          <w:p w14:paraId="33566F0E" w14:textId="77777777" w:rsidR="004E6832" w:rsidRPr="0057408C" w:rsidRDefault="004E6832" w:rsidP="006828EB">
            <w:pPr>
              <w:spacing w:after="0" w:line="240" w:lineRule="auto"/>
              <w:jc w:val="center"/>
              <w:rPr>
                <w:b/>
                <w:sz w:val="18"/>
                <w:szCs w:val="18"/>
              </w:rPr>
            </w:pPr>
            <w:r w:rsidRPr="0057408C">
              <w:rPr>
                <w:b/>
                <w:sz w:val="18"/>
                <w:szCs w:val="18"/>
              </w:rPr>
              <w:t>0 (3)</w:t>
            </w:r>
          </w:p>
        </w:tc>
      </w:tr>
      <w:tr w:rsidR="004E6832" w:rsidRPr="00EB1427" w14:paraId="555088E2" w14:textId="77777777" w:rsidTr="00734085">
        <w:tc>
          <w:tcPr>
            <w:tcW w:w="6237" w:type="dxa"/>
            <w:tcBorders>
              <w:top w:val="single" w:sz="2" w:space="0" w:color="F6BB00"/>
              <w:bottom w:val="single" w:sz="2" w:space="0" w:color="F6BB00"/>
            </w:tcBorders>
            <w:vAlign w:val="center"/>
          </w:tcPr>
          <w:p w14:paraId="178584D5" w14:textId="77777777" w:rsidR="004E6832" w:rsidRPr="00AB5EAA" w:rsidRDefault="004E6832" w:rsidP="006828EB">
            <w:pPr>
              <w:spacing w:after="0" w:line="240" w:lineRule="auto"/>
              <w:jc w:val="left"/>
              <w:rPr>
                <w:sz w:val="18"/>
                <w:szCs w:val="18"/>
              </w:rPr>
            </w:pPr>
            <w:r w:rsidRPr="00522AFA">
              <w:rPr>
                <w:sz w:val="18"/>
                <w:szCs w:val="18"/>
              </w:rPr>
              <w:t>Ludność w wieku poprodukcyjnym</w:t>
            </w:r>
          </w:p>
        </w:tc>
        <w:tc>
          <w:tcPr>
            <w:tcW w:w="850" w:type="dxa"/>
            <w:tcBorders>
              <w:top w:val="single" w:sz="2" w:space="0" w:color="F6BB00"/>
              <w:bottom w:val="single" w:sz="2" w:space="0" w:color="F6BB00"/>
            </w:tcBorders>
            <w:vAlign w:val="center"/>
          </w:tcPr>
          <w:p w14:paraId="7845A150" w14:textId="77777777" w:rsidR="004E6832" w:rsidRPr="00942877" w:rsidRDefault="004E6832" w:rsidP="00734085">
            <w:pPr>
              <w:spacing w:after="0" w:line="240" w:lineRule="auto"/>
              <w:jc w:val="right"/>
              <w:rPr>
                <w:b/>
                <w:color w:val="FF0000"/>
                <w:szCs w:val="22"/>
              </w:rPr>
            </w:pPr>
            <w:r w:rsidRPr="00942877">
              <w:rPr>
                <w:b/>
                <w:color w:val="FF0000"/>
                <w:szCs w:val="22"/>
              </w:rPr>
              <w:t>↑</w:t>
            </w:r>
          </w:p>
        </w:tc>
        <w:tc>
          <w:tcPr>
            <w:tcW w:w="567" w:type="dxa"/>
            <w:tcBorders>
              <w:top w:val="single" w:sz="2" w:space="0" w:color="F6BB00"/>
              <w:bottom w:val="single" w:sz="2" w:space="0" w:color="F6BB00"/>
            </w:tcBorders>
            <w:vAlign w:val="center"/>
          </w:tcPr>
          <w:p w14:paraId="224A7446" w14:textId="77777777" w:rsidR="004E6832" w:rsidRPr="008B2D2C" w:rsidRDefault="004E6832" w:rsidP="006828EB">
            <w:pPr>
              <w:spacing w:after="0" w:line="240" w:lineRule="auto"/>
              <w:jc w:val="center"/>
              <w:rPr>
                <w:b/>
                <w:color w:val="FF0000"/>
                <w:sz w:val="18"/>
                <w:szCs w:val="18"/>
              </w:rPr>
            </w:pPr>
            <w:r>
              <w:rPr>
                <w:b/>
                <w:color w:val="FF0000"/>
                <w:sz w:val="18"/>
                <w:szCs w:val="18"/>
              </w:rPr>
              <w:t>(6)</w:t>
            </w:r>
          </w:p>
        </w:tc>
        <w:tc>
          <w:tcPr>
            <w:tcW w:w="1278" w:type="dxa"/>
            <w:gridSpan w:val="2"/>
            <w:tcBorders>
              <w:top w:val="single" w:sz="2" w:space="0" w:color="F6BB00"/>
              <w:bottom w:val="single" w:sz="2" w:space="0" w:color="F6BB00"/>
            </w:tcBorders>
            <w:vAlign w:val="center"/>
          </w:tcPr>
          <w:p w14:paraId="1D5B5ECC" w14:textId="77777777" w:rsidR="004E6832" w:rsidRPr="0057408C" w:rsidRDefault="004E6832" w:rsidP="006828EB">
            <w:pPr>
              <w:spacing w:after="0" w:line="240" w:lineRule="auto"/>
              <w:jc w:val="center"/>
              <w:rPr>
                <w:b/>
                <w:sz w:val="18"/>
                <w:szCs w:val="18"/>
              </w:rPr>
            </w:pPr>
            <w:r w:rsidRPr="0057408C">
              <w:rPr>
                <w:b/>
                <w:color w:val="FF0000"/>
                <w:sz w:val="18"/>
                <w:szCs w:val="18"/>
              </w:rPr>
              <w:t>+1 (3)</w:t>
            </w:r>
          </w:p>
        </w:tc>
      </w:tr>
      <w:tr w:rsidR="008003D3" w:rsidRPr="00EB1427" w14:paraId="2422FDC2" w14:textId="77777777" w:rsidTr="00734085">
        <w:tc>
          <w:tcPr>
            <w:tcW w:w="8932" w:type="dxa"/>
            <w:gridSpan w:val="5"/>
            <w:tcBorders>
              <w:top w:val="single" w:sz="2" w:space="0" w:color="F6BB00"/>
              <w:bottom w:val="single" w:sz="2" w:space="0" w:color="F6BB00"/>
            </w:tcBorders>
            <w:shd w:val="clear" w:color="auto" w:fill="auto"/>
            <w:vAlign w:val="center"/>
          </w:tcPr>
          <w:p w14:paraId="3231309E" w14:textId="76994207" w:rsidR="008003D3" w:rsidRPr="001A1B92" w:rsidRDefault="008003D3" w:rsidP="008003D3">
            <w:pPr>
              <w:spacing w:after="0" w:line="240" w:lineRule="auto"/>
              <w:jc w:val="left"/>
            </w:pPr>
            <w:r w:rsidRPr="001A1B92">
              <w:rPr>
                <w:sz w:val="18"/>
                <w:szCs w:val="18"/>
              </w:rPr>
              <w:t>PKB per capita, w podziale na podregiony NUTS 3</w:t>
            </w:r>
            <w:r w:rsidR="00266261" w:rsidRPr="001A1B92">
              <w:rPr>
                <w:sz w:val="18"/>
                <w:szCs w:val="18"/>
              </w:rPr>
              <w:t xml:space="preserve"> (dane dla 2016</w:t>
            </w:r>
            <w:r w:rsidR="00E37F67" w:rsidRPr="001A1B92">
              <w:rPr>
                <w:sz w:val="18"/>
                <w:szCs w:val="18"/>
              </w:rPr>
              <w:t>)</w:t>
            </w:r>
            <w:r w:rsidR="004040CE" w:rsidRPr="001A1B92">
              <w:rPr>
                <w:sz w:val="18"/>
                <w:szCs w:val="18"/>
              </w:rPr>
              <w:t>*</w:t>
            </w:r>
          </w:p>
        </w:tc>
      </w:tr>
      <w:tr w:rsidR="003D0FF9" w:rsidRPr="00EB1427" w14:paraId="6C28C52F" w14:textId="5181967D" w:rsidTr="00734085">
        <w:tc>
          <w:tcPr>
            <w:tcW w:w="6237" w:type="dxa"/>
            <w:tcBorders>
              <w:top w:val="single" w:sz="2" w:space="0" w:color="F6BB00"/>
              <w:bottom w:val="single" w:sz="2" w:space="0" w:color="F6BB00"/>
            </w:tcBorders>
            <w:vAlign w:val="center"/>
          </w:tcPr>
          <w:p w14:paraId="00EE0CB9" w14:textId="2FF093BD" w:rsidR="003D0FF9" w:rsidRDefault="003D0FF9" w:rsidP="001A1B92">
            <w:pPr>
              <w:spacing w:after="0" w:line="240" w:lineRule="auto"/>
              <w:ind w:left="601"/>
              <w:jc w:val="left"/>
              <w:rPr>
                <w:sz w:val="18"/>
                <w:szCs w:val="18"/>
              </w:rPr>
            </w:pPr>
            <w:r>
              <w:rPr>
                <w:sz w:val="18"/>
                <w:szCs w:val="18"/>
              </w:rPr>
              <w:t>Podregion kaliski</w:t>
            </w:r>
          </w:p>
        </w:tc>
        <w:tc>
          <w:tcPr>
            <w:tcW w:w="1672" w:type="dxa"/>
            <w:gridSpan w:val="3"/>
            <w:tcBorders>
              <w:top w:val="single" w:sz="2" w:space="0" w:color="F6BB00"/>
              <w:bottom w:val="single" w:sz="2" w:space="0" w:color="F6BB00"/>
            </w:tcBorders>
            <w:vAlign w:val="center"/>
          </w:tcPr>
          <w:p w14:paraId="079B4EC0" w14:textId="7435699A" w:rsidR="003D0FF9" w:rsidRDefault="003D0FF9" w:rsidP="003D0FF9">
            <w:pPr>
              <w:spacing w:after="0" w:line="240" w:lineRule="auto"/>
              <w:jc w:val="center"/>
              <w:rPr>
                <w:b/>
                <w:color w:val="FF0000"/>
                <w:sz w:val="18"/>
                <w:szCs w:val="18"/>
              </w:rPr>
            </w:pPr>
            <w:r w:rsidRPr="007C3D9A">
              <w:rPr>
                <w:b/>
                <w:color w:val="00B050"/>
                <w:szCs w:val="22"/>
              </w:rPr>
              <w:t>↑</w:t>
            </w:r>
            <w:r w:rsidR="004A6111" w:rsidRPr="00E37F67">
              <w:rPr>
                <w:b/>
                <w:color w:val="00B050"/>
                <w:sz w:val="18"/>
                <w:szCs w:val="22"/>
              </w:rPr>
              <w:t>122,9</w:t>
            </w:r>
          </w:p>
        </w:tc>
        <w:tc>
          <w:tcPr>
            <w:tcW w:w="1023" w:type="dxa"/>
            <w:tcBorders>
              <w:top w:val="nil"/>
              <w:left w:val="nil"/>
              <w:bottom w:val="single" w:sz="2" w:space="0" w:color="F6BB00"/>
              <w:right w:val="nil"/>
            </w:tcBorders>
            <w:shd w:val="clear" w:color="auto" w:fill="auto"/>
            <w:vAlign w:val="bottom"/>
          </w:tcPr>
          <w:p w14:paraId="73770C81" w14:textId="5458F82B" w:rsidR="003D0FF9" w:rsidRPr="00E37F67" w:rsidRDefault="003D0FF9" w:rsidP="003D0FF9">
            <w:pPr>
              <w:spacing w:after="0" w:line="240" w:lineRule="auto"/>
              <w:jc w:val="center"/>
              <w:rPr>
                <w:b/>
                <w:color w:val="00B050"/>
                <w:sz w:val="18"/>
                <w:szCs w:val="18"/>
              </w:rPr>
            </w:pPr>
          </w:p>
        </w:tc>
      </w:tr>
      <w:tr w:rsidR="003D0FF9" w:rsidRPr="00EB1427" w14:paraId="2714FDAC" w14:textId="1717F19B" w:rsidTr="00734085">
        <w:tc>
          <w:tcPr>
            <w:tcW w:w="6237" w:type="dxa"/>
            <w:tcBorders>
              <w:top w:val="single" w:sz="2" w:space="0" w:color="F6BB00"/>
              <w:bottom w:val="single" w:sz="2" w:space="0" w:color="F6BB00"/>
            </w:tcBorders>
            <w:vAlign w:val="center"/>
          </w:tcPr>
          <w:p w14:paraId="74A866D5" w14:textId="45BE5B86" w:rsidR="003D0FF9" w:rsidRDefault="003D0FF9" w:rsidP="001A1B92">
            <w:pPr>
              <w:spacing w:after="0" w:line="240" w:lineRule="auto"/>
              <w:ind w:left="601"/>
              <w:jc w:val="left"/>
              <w:rPr>
                <w:sz w:val="18"/>
                <w:szCs w:val="18"/>
              </w:rPr>
            </w:pPr>
            <w:r>
              <w:rPr>
                <w:sz w:val="18"/>
                <w:szCs w:val="18"/>
              </w:rPr>
              <w:t>Podregion koniński</w:t>
            </w:r>
          </w:p>
        </w:tc>
        <w:tc>
          <w:tcPr>
            <w:tcW w:w="1672" w:type="dxa"/>
            <w:gridSpan w:val="3"/>
            <w:tcBorders>
              <w:top w:val="single" w:sz="2" w:space="0" w:color="F6BB00"/>
              <w:bottom w:val="single" w:sz="2" w:space="0" w:color="F6BB00"/>
            </w:tcBorders>
            <w:vAlign w:val="center"/>
          </w:tcPr>
          <w:p w14:paraId="3CB92D8B" w14:textId="6A3F62DB" w:rsidR="003D0FF9" w:rsidRDefault="003D0FF9" w:rsidP="003D0FF9">
            <w:pPr>
              <w:spacing w:after="0" w:line="240" w:lineRule="auto"/>
              <w:jc w:val="center"/>
              <w:rPr>
                <w:b/>
                <w:color w:val="FF0000"/>
                <w:sz w:val="18"/>
                <w:szCs w:val="18"/>
              </w:rPr>
            </w:pPr>
            <w:r w:rsidRPr="007C3D9A">
              <w:rPr>
                <w:b/>
                <w:color w:val="00B050"/>
                <w:szCs w:val="22"/>
              </w:rPr>
              <w:t>↑</w:t>
            </w:r>
            <w:r w:rsidR="004A6111" w:rsidRPr="00E37F67">
              <w:rPr>
                <w:b/>
                <w:color w:val="00B050"/>
                <w:sz w:val="18"/>
                <w:szCs w:val="22"/>
              </w:rPr>
              <w:t>112,8</w:t>
            </w:r>
          </w:p>
        </w:tc>
        <w:tc>
          <w:tcPr>
            <w:tcW w:w="1023" w:type="dxa"/>
            <w:tcBorders>
              <w:top w:val="single" w:sz="2" w:space="0" w:color="F6BB00"/>
              <w:left w:val="nil"/>
              <w:bottom w:val="single" w:sz="2" w:space="0" w:color="F6BB00"/>
              <w:right w:val="nil"/>
            </w:tcBorders>
            <w:shd w:val="clear" w:color="auto" w:fill="auto"/>
            <w:vAlign w:val="bottom"/>
          </w:tcPr>
          <w:p w14:paraId="0C9C904B" w14:textId="4B648497" w:rsidR="003D0FF9" w:rsidRPr="00E37F67" w:rsidRDefault="003D0FF9" w:rsidP="003D0FF9">
            <w:pPr>
              <w:spacing w:after="0" w:line="240" w:lineRule="auto"/>
              <w:jc w:val="center"/>
              <w:rPr>
                <w:b/>
                <w:color w:val="00B050"/>
                <w:sz w:val="18"/>
                <w:szCs w:val="18"/>
              </w:rPr>
            </w:pPr>
          </w:p>
        </w:tc>
      </w:tr>
      <w:tr w:rsidR="003D0FF9" w:rsidRPr="00EB1427" w14:paraId="6CED0B08" w14:textId="155EDB12" w:rsidTr="00734085">
        <w:tc>
          <w:tcPr>
            <w:tcW w:w="6237" w:type="dxa"/>
            <w:tcBorders>
              <w:top w:val="single" w:sz="2" w:space="0" w:color="F6BB00"/>
              <w:bottom w:val="single" w:sz="2" w:space="0" w:color="F6BB00"/>
            </w:tcBorders>
            <w:vAlign w:val="center"/>
          </w:tcPr>
          <w:p w14:paraId="0694022A" w14:textId="2672D8DA" w:rsidR="003D0FF9" w:rsidRDefault="003D0FF9" w:rsidP="001A1B92">
            <w:pPr>
              <w:spacing w:after="0" w:line="240" w:lineRule="auto"/>
              <w:ind w:left="601"/>
              <w:jc w:val="left"/>
              <w:rPr>
                <w:sz w:val="18"/>
                <w:szCs w:val="18"/>
              </w:rPr>
            </w:pPr>
            <w:r>
              <w:rPr>
                <w:sz w:val="18"/>
                <w:szCs w:val="18"/>
              </w:rPr>
              <w:t>Podregion leszczyński</w:t>
            </w:r>
          </w:p>
        </w:tc>
        <w:tc>
          <w:tcPr>
            <w:tcW w:w="1672" w:type="dxa"/>
            <w:gridSpan w:val="3"/>
            <w:tcBorders>
              <w:top w:val="single" w:sz="2" w:space="0" w:color="F6BB00"/>
              <w:bottom w:val="single" w:sz="2" w:space="0" w:color="F6BB00"/>
            </w:tcBorders>
            <w:vAlign w:val="center"/>
          </w:tcPr>
          <w:p w14:paraId="7F369B34" w14:textId="7ABAF720" w:rsidR="003D0FF9" w:rsidRDefault="003D0FF9" w:rsidP="003D0FF9">
            <w:pPr>
              <w:spacing w:after="0" w:line="240" w:lineRule="auto"/>
              <w:jc w:val="center"/>
              <w:rPr>
                <w:b/>
                <w:color w:val="FF0000"/>
                <w:sz w:val="18"/>
                <w:szCs w:val="18"/>
              </w:rPr>
            </w:pPr>
            <w:r w:rsidRPr="007C3D9A">
              <w:rPr>
                <w:b/>
                <w:color w:val="00B050"/>
                <w:szCs w:val="22"/>
              </w:rPr>
              <w:t>↑</w:t>
            </w:r>
            <w:r w:rsidR="004A6111" w:rsidRPr="00E37F67">
              <w:rPr>
                <w:b/>
                <w:color w:val="00B050"/>
                <w:sz w:val="18"/>
                <w:szCs w:val="22"/>
              </w:rPr>
              <w:t>117,6</w:t>
            </w:r>
          </w:p>
        </w:tc>
        <w:tc>
          <w:tcPr>
            <w:tcW w:w="1023" w:type="dxa"/>
            <w:tcBorders>
              <w:top w:val="single" w:sz="2" w:space="0" w:color="F6BB00"/>
              <w:left w:val="nil"/>
              <w:bottom w:val="single" w:sz="2" w:space="0" w:color="F6BB00"/>
              <w:right w:val="nil"/>
            </w:tcBorders>
            <w:shd w:val="clear" w:color="auto" w:fill="auto"/>
            <w:vAlign w:val="bottom"/>
          </w:tcPr>
          <w:p w14:paraId="7306EE45" w14:textId="47148EE6" w:rsidR="003D0FF9" w:rsidRPr="00E37F67" w:rsidRDefault="003D0FF9" w:rsidP="003D0FF9">
            <w:pPr>
              <w:spacing w:after="0" w:line="240" w:lineRule="auto"/>
              <w:jc w:val="center"/>
              <w:rPr>
                <w:b/>
                <w:color w:val="00B050"/>
                <w:sz w:val="18"/>
                <w:szCs w:val="18"/>
              </w:rPr>
            </w:pPr>
          </w:p>
        </w:tc>
      </w:tr>
      <w:tr w:rsidR="003D0FF9" w:rsidRPr="00EB1427" w14:paraId="4209468A" w14:textId="15D81E12" w:rsidTr="00734085">
        <w:tc>
          <w:tcPr>
            <w:tcW w:w="6237" w:type="dxa"/>
            <w:tcBorders>
              <w:top w:val="single" w:sz="2" w:space="0" w:color="F6BB00"/>
              <w:bottom w:val="single" w:sz="2" w:space="0" w:color="F6BB00"/>
            </w:tcBorders>
            <w:vAlign w:val="center"/>
          </w:tcPr>
          <w:p w14:paraId="27B1B70C" w14:textId="040BB691" w:rsidR="003D0FF9" w:rsidRDefault="003D0FF9" w:rsidP="001A1B92">
            <w:pPr>
              <w:spacing w:after="0" w:line="240" w:lineRule="auto"/>
              <w:ind w:left="601"/>
              <w:jc w:val="left"/>
              <w:rPr>
                <w:sz w:val="18"/>
                <w:szCs w:val="18"/>
              </w:rPr>
            </w:pPr>
            <w:r>
              <w:rPr>
                <w:sz w:val="18"/>
                <w:szCs w:val="18"/>
              </w:rPr>
              <w:t>Podregion pilski</w:t>
            </w:r>
          </w:p>
        </w:tc>
        <w:tc>
          <w:tcPr>
            <w:tcW w:w="1672" w:type="dxa"/>
            <w:gridSpan w:val="3"/>
            <w:tcBorders>
              <w:top w:val="single" w:sz="2" w:space="0" w:color="F6BB00"/>
              <w:bottom w:val="single" w:sz="2" w:space="0" w:color="F6BB00"/>
            </w:tcBorders>
            <w:vAlign w:val="center"/>
          </w:tcPr>
          <w:p w14:paraId="58AB6331" w14:textId="56948C2D" w:rsidR="003D0FF9" w:rsidRDefault="003D0FF9" w:rsidP="003D0FF9">
            <w:pPr>
              <w:spacing w:after="0" w:line="240" w:lineRule="auto"/>
              <w:jc w:val="center"/>
              <w:rPr>
                <w:b/>
                <w:color w:val="FF0000"/>
                <w:sz w:val="18"/>
                <w:szCs w:val="18"/>
              </w:rPr>
            </w:pPr>
            <w:r w:rsidRPr="007C3D9A">
              <w:rPr>
                <w:b/>
                <w:color w:val="00B050"/>
                <w:szCs w:val="22"/>
              </w:rPr>
              <w:t>↑</w:t>
            </w:r>
            <w:r w:rsidR="004A6111" w:rsidRPr="00E37F67">
              <w:rPr>
                <w:b/>
                <w:color w:val="00B050"/>
                <w:sz w:val="18"/>
                <w:szCs w:val="22"/>
              </w:rPr>
              <w:t>117,6</w:t>
            </w:r>
          </w:p>
        </w:tc>
        <w:tc>
          <w:tcPr>
            <w:tcW w:w="1023" w:type="dxa"/>
            <w:tcBorders>
              <w:top w:val="single" w:sz="2" w:space="0" w:color="F6BB00"/>
              <w:left w:val="nil"/>
              <w:bottom w:val="single" w:sz="2" w:space="0" w:color="F6BB00"/>
              <w:right w:val="nil"/>
            </w:tcBorders>
            <w:shd w:val="clear" w:color="auto" w:fill="auto"/>
            <w:vAlign w:val="bottom"/>
          </w:tcPr>
          <w:p w14:paraId="1F064739" w14:textId="38F97F47" w:rsidR="003D0FF9" w:rsidRPr="00E37F67" w:rsidRDefault="003D0FF9" w:rsidP="003D0FF9">
            <w:pPr>
              <w:spacing w:after="0" w:line="240" w:lineRule="auto"/>
              <w:jc w:val="center"/>
              <w:rPr>
                <w:b/>
                <w:color w:val="00B050"/>
                <w:sz w:val="18"/>
                <w:szCs w:val="18"/>
              </w:rPr>
            </w:pPr>
          </w:p>
        </w:tc>
      </w:tr>
      <w:tr w:rsidR="003D0FF9" w:rsidRPr="00EB1427" w14:paraId="18989F33" w14:textId="41EA0416" w:rsidTr="00734085">
        <w:tc>
          <w:tcPr>
            <w:tcW w:w="6237" w:type="dxa"/>
            <w:tcBorders>
              <w:top w:val="single" w:sz="2" w:space="0" w:color="F6BB00"/>
              <w:bottom w:val="single" w:sz="2" w:space="0" w:color="F6BB00"/>
            </w:tcBorders>
            <w:vAlign w:val="center"/>
          </w:tcPr>
          <w:p w14:paraId="4C2CE9F7" w14:textId="56FB7020" w:rsidR="003D0FF9" w:rsidRDefault="003D0FF9" w:rsidP="001A1B92">
            <w:pPr>
              <w:spacing w:after="0" w:line="240" w:lineRule="auto"/>
              <w:ind w:left="601"/>
              <w:jc w:val="left"/>
              <w:rPr>
                <w:sz w:val="18"/>
                <w:szCs w:val="18"/>
              </w:rPr>
            </w:pPr>
            <w:r>
              <w:rPr>
                <w:sz w:val="18"/>
                <w:szCs w:val="18"/>
              </w:rPr>
              <w:t>Podregion poznański</w:t>
            </w:r>
          </w:p>
        </w:tc>
        <w:tc>
          <w:tcPr>
            <w:tcW w:w="1672" w:type="dxa"/>
            <w:gridSpan w:val="3"/>
            <w:tcBorders>
              <w:top w:val="single" w:sz="2" w:space="0" w:color="F6BB00"/>
              <w:bottom w:val="single" w:sz="2" w:space="0" w:color="F6BB00"/>
            </w:tcBorders>
            <w:vAlign w:val="center"/>
          </w:tcPr>
          <w:p w14:paraId="66063E80" w14:textId="620A6615" w:rsidR="003D0FF9" w:rsidRDefault="003D0FF9" w:rsidP="003D0FF9">
            <w:pPr>
              <w:spacing w:after="0" w:line="240" w:lineRule="auto"/>
              <w:jc w:val="center"/>
              <w:rPr>
                <w:b/>
                <w:color w:val="FF0000"/>
                <w:sz w:val="18"/>
                <w:szCs w:val="18"/>
              </w:rPr>
            </w:pPr>
            <w:r w:rsidRPr="007C3D9A">
              <w:rPr>
                <w:b/>
                <w:color w:val="00B050"/>
                <w:szCs w:val="22"/>
              </w:rPr>
              <w:t>↑</w:t>
            </w:r>
            <w:r w:rsidR="004A6111" w:rsidRPr="00E37F67">
              <w:rPr>
                <w:b/>
                <w:color w:val="00B050"/>
                <w:sz w:val="18"/>
                <w:szCs w:val="22"/>
              </w:rPr>
              <w:t>122,2</w:t>
            </w:r>
          </w:p>
        </w:tc>
        <w:tc>
          <w:tcPr>
            <w:tcW w:w="1023" w:type="dxa"/>
            <w:tcBorders>
              <w:top w:val="single" w:sz="2" w:space="0" w:color="F6BB00"/>
              <w:left w:val="nil"/>
              <w:bottom w:val="single" w:sz="2" w:space="0" w:color="F6BB00"/>
              <w:right w:val="nil"/>
            </w:tcBorders>
            <w:shd w:val="clear" w:color="auto" w:fill="auto"/>
            <w:vAlign w:val="bottom"/>
          </w:tcPr>
          <w:p w14:paraId="49AB87A0" w14:textId="6445BA56" w:rsidR="003D0FF9" w:rsidRPr="00E37F67" w:rsidRDefault="003D0FF9" w:rsidP="003D0FF9">
            <w:pPr>
              <w:spacing w:after="0" w:line="240" w:lineRule="auto"/>
              <w:jc w:val="center"/>
              <w:rPr>
                <w:b/>
                <w:color w:val="00B050"/>
                <w:sz w:val="18"/>
                <w:szCs w:val="18"/>
              </w:rPr>
            </w:pPr>
          </w:p>
        </w:tc>
      </w:tr>
      <w:tr w:rsidR="003D0FF9" w:rsidRPr="00EB1427" w14:paraId="1BB97384" w14:textId="79FD93EC" w:rsidTr="00734085">
        <w:tc>
          <w:tcPr>
            <w:tcW w:w="6237" w:type="dxa"/>
            <w:tcBorders>
              <w:top w:val="single" w:sz="2" w:space="0" w:color="F6BB00"/>
              <w:bottom w:val="single" w:sz="2" w:space="0" w:color="F6BB00"/>
            </w:tcBorders>
            <w:vAlign w:val="center"/>
          </w:tcPr>
          <w:p w14:paraId="05A7AF3F" w14:textId="3AED76C3" w:rsidR="003D0FF9" w:rsidRDefault="003D0FF9" w:rsidP="001A1B92">
            <w:pPr>
              <w:spacing w:after="0" w:line="240" w:lineRule="auto"/>
              <w:ind w:left="601"/>
              <w:jc w:val="left"/>
              <w:rPr>
                <w:sz w:val="18"/>
                <w:szCs w:val="18"/>
              </w:rPr>
            </w:pPr>
            <w:r>
              <w:rPr>
                <w:sz w:val="18"/>
                <w:szCs w:val="18"/>
              </w:rPr>
              <w:t>Podregion m. Poznań</w:t>
            </w:r>
          </w:p>
        </w:tc>
        <w:tc>
          <w:tcPr>
            <w:tcW w:w="1672" w:type="dxa"/>
            <w:gridSpan w:val="3"/>
            <w:tcBorders>
              <w:top w:val="single" w:sz="2" w:space="0" w:color="F6BB00"/>
              <w:bottom w:val="single" w:sz="2" w:space="0" w:color="F6BB00"/>
            </w:tcBorders>
            <w:vAlign w:val="center"/>
          </w:tcPr>
          <w:p w14:paraId="5961E5CB" w14:textId="02D851AF" w:rsidR="003D0FF9" w:rsidRDefault="003D0FF9" w:rsidP="003D0FF9">
            <w:pPr>
              <w:spacing w:after="0" w:line="240" w:lineRule="auto"/>
              <w:jc w:val="center"/>
              <w:rPr>
                <w:b/>
                <w:color w:val="FF0000"/>
                <w:sz w:val="18"/>
                <w:szCs w:val="18"/>
              </w:rPr>
            </w:pPr>
            <w:r w:rsidRPr="007C3D9A">
              <w:rPr>
                <w:b/>
                <w:color w:val="00B050"/>
                <w:szCs w:val="22"/>
              </w:rPr>
              <w:t>↑</w:t>
            </w:r>
            <w:r w:rsidR="004A6111" w:rsidRPr="00E37F67">
              <w:rPr>
                <w:b/>
                <w:color w:val="00B050"/>
                <w:sz w:val="18"/>
                <w:szCs w:val="22"/>
              </w:rPr>
              <w:t>115,9</w:t>
            </w:r>
          </w:p>
        </w:tc>
        <w:tc>
          <w:tcPr>
            <w:tcW w:w="1023" w:type="dxa"/>
            <w:tcBorders>
              <w:top w:val="single" w:sz="2" w:space="0" w:color="F6BB00"/>
              <w:left w:val="nil"/>
              <w:bottom w:val="nil"/>
              <w:right w:val="nil"/>
            </w:tcBorders>
            <w:shd w:val="clear" w:color="auto" w:fill="auto"/>
            <w:vAlign w:val="bottom"/>
          </w:tcPr>
          <w:p w14:paraId="1020B534" w14:textId="31E39503" w:rsidR="003D0FF9" w:rsidRPr="00E37F67" w:rsidRDefault="003D0FF9" w:rsidP="003D0FF9">
            <w:pPr>
              <w:spacing w:after="0" w:line="240" w:lineRule="auto"/>
              <w:jc w:val="center"/>
              <w:rPr>
                <w:b/>
                <w:color w:val="00B050"/>
                <w:sz w:val="18"/>
                <w:szCs w:val="18"/>
              </w:rPr>
            </w:pPr>
          </w:p>
        </w:tc>
      </w:tr>
      <w:tr w:rsidR="003D0FF9" w:rsidRPr="00EB1427" w14:paraId="060F91B9" w14:textId="77777777" w:rsidTr="00734085">
        <w:tc>
          <w:tcPr>
            <w:tcW w:w="8932" w:type="dxa"/>
            <w:gridSpan w:val="5"/>
            <w:tcBorders>
              <w:top w:val="single" w:sz="2" w:space="0" w:color="F6BB00"/>
              <w:bottom w:val="single" w:sz="2" w:space="0" w:color="F6BB00"/>
            </w:tcBorders>
            <w:shd w:val="clear" w:color="auto" w:fill="auto"/>
            <w:vAlign w:val="center"/>
          </w:tcPr>
          <w:p w14:paraId="159EBEEF" w14:textId="2CEA0A89" w:rsidR="003D0FF9" w:rsidRPr="00FF26C0" w:rsidRDefault="003D0FF9" w:rsidP="003D0FF9">
            <w:pPr>
              <w:spacing w:after="0" w:line="240" w:lineRule="auto"/>
              <w:jc w:val="left"/>
              <w:rPr>
                <w:sz w:val="18"/>
                <w:szCs w:val="18"/>
              </w:rPr>
            </w:pPr>
            <w:r w:rsidRPr="007A1F76">
              <w:rPr>
                <w:sz w:val="18"/>
                <w:szCs w:val="18"/>
              </w:rPr>
              <w:t>Pracujący (bez podmiotów gospodarczych o liczbie pracujących do 9 osób) w podziale na: Poznań, metropolia poznańska, ośrodek regionalny, ośrodki subregionalne</w:t>
            </w:r>
            <w:r>
              <w:rPr>
                <w:sz w:val="18"/>
                <w:szCs w:val="18"/>
              </w:rPr>
              <w:t>, ZIT, OSI*</w:t>
            </w:r>
          </w:p>
        </w:tc>
      </w:tr>
      <w:tr w:rsidR="00266261" w:rsidRPr="00EB1427" w14:paraId="52FD18EF" w14:textId="76886194" w:rsidTr="00734085">
        <w:tc>
          <w:tcPr>
            <w:tcW w:w="6237" w:type="dxa"/>
            <w:tcBorders>
              <w:top w:val="single" w:sz="2" w:space="0" w:color="F6BB00"/>
              <w:bottom w:val="single" w:sz="2" w:space="0" w:color="F6BB00"/>
            </w:tcBorders>
            <w:vAlign w:val="center"/>
          </w:tcPr>
          <w:p w14:paraId="0400FC0B" w14:textId="66F0A088" w:rsidR="00266261" w:rsidRDefault="00266261" w:rsidP="001A1B92">
            <w:pPr>
              <w:spacing w:after="0" w:line="240" w:lineRule="auto"/>
              <w:ind w:left="601"/>
              <w:jc w:val="left"/>
              <w:rPr>
                <w:sz w:val="18"/>
                <w:szCs w:val="18"/>
              </w:rPr>
            </w:pPr>
            <w:r>
              <w:rPr>
                <w:sz w:val="18"/>
                <w:szCs w:val="18"/>
              </w:rPr>
              <w:t>Metropolia Poznańska</w:t>
            </w:r>
          </w:p>
        </w:tc>
        <w:tc>
          <w:tcPr>
            <w:tcW w:w="1672" w:type="dxa"/>
            <w:gridSpan w:val="3"/>
            <w:tcBorders>
              <w:top w:val="single" w:sz="2" w:space="0" w:color="F6BB00"/>
              <w:bottom w:val="single" w:sz="2" w:space="0" w:color="F6BB00"/>
            </w:tcBorders>
            <w:vAlign w:val="center"/>
          </w:tcPr>
          <w:p w14:paraId="0242AD40" w14:textId="7EC43D0A" w:rsidR="00266261" w:rsidRPr="00FF26C0" w:rsidRDefault="00266261" w:rsidP="00266261">
            <w:pPr>
              <w:spacing w:after="0" w:line="240" w:lineRule="auto"/>
              <w:jc w:val="center"/>
              <w:rPr>
                <w:b/>
                <w:color w:val="FF0000"/>
                <w:szCs w:val="22"/>
              </w:rPr>
            </w:pPr>
            <w:r w:rsidRPr="007C3D9A">
              <w:rPr>
                <w:b/>
                <w:color w:val="00B050"/>
                <w:szCs w:val="22"/>
              </w:rPr>
              <w:t>↑</w:t>
            </w:r>
            <w:r w:rsidR="004A6111" w:rsidRPr="00E37F67">
              <w:rPr>
                <w:rFonts w:cs="Times New Roman"/>
                <w:b/>
                <w:color w:val="00B050"/>
                <w:sz w:val="18"/>
                <w:lang w:eastAsia="pl-PL"/>
              </w:rPr>
              <w:t>112,6</w:t>
            </w:r>
          </w:p>
        </w:tc>
        <w:tc>
          <w:tcPr>
            <w:tcW w:w="1023" w:type="dxa"/>
            <w:tcBorders>
              <w:top w:val="single" w:sz="2" w:space="0" w:color="F6BB00"/>
              <w:bottom w:val="single" w:sz="2" w:space="0" w:color="F6BB00"/>
              <w:right w:val="nil"/>
            </w:tcBorders>
            <w:shd w:val="clear" w:color="auto" w:fill="auto"/>
            <w:vAlign w:val="bottom"/>
          </w:tcPr>
          <w:p w14:paraId="69145BFB" w14:textId="6C366B6E" w:rsidR="00266261" w:rsidRPr="00E37F67" w:rsidRDefault="00266261" w:rsidP="00266261">
            <w:pPr>
              <w:spacing w:after="0" w:line="240" w:lineRule="auto"/>
              <w:jc w:val="center"/>
              <w:rPr>
                <w:b/>
                <w:color w:val="00B050"/>
                <w:sz w:val="18"/>
                <w:szCs w:val="22"/>
              </w:rPr>
            </w:pPr>
          </w:p>
        </w:tc>
      </w:tr>
      <w:tr w:rsidR="00266261" w:rsidRPr="00EB1427" w14:paraId="263F8A30" w14:textId="2BF9DF42" w:rsidTr="00734085">
        <w:tc>
          <w:tcPr>
            <w:tcW w:w="6237" w:type="dxa"/>
            <w:tcBorders>
              <w:top w:val="single" w:sz="2" w:space="0" w:color="F6BB00"/>
              <w:bottom w:val="single" w:sz="2" w:space="0" w:color="F6BB00"/>
            </w:tcBorders>
            <w:vAlign w:val="center"/>
          </w:tcPr>
          <w:p w14:paraId="078B9005" w14:textId="4265206B" w:rsidR="00266261" w:rsidRDefault="00266261" w:rsidP="001A1B92">
            <w:pPr>
              <w:spacing w:after="0" w:line="240" w:lineRule="auto"/>
              <w:ind w:left="601"/>
              <w:jc w:val="left"/>
              <w:rPr>
                <w:sz w:val="18"/>
                <w:szCs w:val="18"/>
              </w:rPr>
            </w:pPr>
            <w:r w:rsidRPr="007A1F76">
              <w:rPr>
                <w:sz w:val="18"/>
                <w:szCs w:val="18"/>
              </w:rPr>
              <w:t>Ośrodek r</w:t>
            </w:r>
            <w:r>
              <w:rPr>
                <w:sz w:val="18"/>
                <w:szCs w:val="18"/>
              </w:rPr>
              <w:t>egionalny Kalisz - Ostrów Wlkp.</w:t>
            </w:r>
          </w:p>
        </w:tc>
        <w:tc>
          <w:tcPr>
            <w:tcW w:w="1672" w:type="dxa"/>
            <w:gridSpan w:val="3"/>
            <w:tcBorders>
              <w:top w:val="single" w:sz="2" w:space="0" w:color="F6BB00"/>
              <w:bottom w:val="single" w:sz="2" w:space="0" w:color="F6BB00"/>
            </w:tcBorders>
            <w:vAlign w:val="center"/>
          </w:tcPr>
          <w:p w14:paraId="57670534" w14:textId="38096AAC" w:rsidR="00266261" w:rsidRPr="00FF26C0" w:rsidRDefault="00266261" w:rsidP="00266261">
            <w:pPr>
              <w:spacing w:after="0" w:line="240" w:lineRule="auto"/>
              <w:jc w:val="center"/>
              <w:rPr>
                <w:b/>
                <w:color w:val="FF0000"/>
                <w:szCs w:val="22"/>
              </w:rPr>
            </w:pPr>
            <w:r w:rsidRPr="007C3D9A">
              <w:rPr>
                <w:b/>
                <w:color w:val="00B050"/>
                <w:szCs w:val="22"/>
              </w:rPr>
              <w:t>↑</w:t>
            </w:r>
            <w:r w:rsidR="004A6111" w:rsidRPr="00E37F67">
              <w:rPr>
                <w:rFonts w:cs="Times New Roman"/>
                <w:b/>
                <w:color w:val="00B050"/>
                <w:sz w:val="18"/>
                <w:lang w:eastAsia="pl-PL"/>
              </w:rPr>
              <w:t>109,0</w:t>
            </w:r>
          </w:p>
        </w:tc>
        <w:tc>
          <w:tcPr>
            <w:tcW w:w="1023" w:type="dxa"/>
            <w:tcBorders>
              <w:top w:val="single" w:sz="2" w:space="0" w:color="F6BB00"/>
              <w:bottom w:val="single" w:sz="2" w:space="0" w:color="F6BB00"/>
              <w:right w:val="nil"/>
            </w:tcBorders>
            <w:shd w:val="clear" w:color="auto" w:fill="auto"/>
            <w:vAlign w:val="bottom"/>
          </w:tcPr>
          <w:p w14:paraId="2BF6BB1F" w14:textId="03644075" w:rsidR="00266261" w:rsidRPr="00E37F67" w:rsidRDefault="00266261" w:rsidP="00266261">
            <w:pPr>
              <w:spacing w:after="0" w:line="240" w:lineRule="auto"/>
              <w:jc w:val="center"/>
              <w:rPr>
                <w:b/>
                <w:color w:val="00B050"/>
                <w:sz w:val="18"/>
                <w:szCs w:val="22"/>
              </w:rPr>
            </w:pPr>
          </w:p>
        </w:tc>
      </w:tr>
      <w:tr w:rsidR="00266261" w:rsidRPr="00EB1427" w14:paraId="62C74AD6" w14:textId="338CE723" w:rsidTr="00734085">
        <w:tc>
          <w:tcPr>
            <w:tcW w:w="6237" w:type="dxa"/>
            <w:tcBorders>
              <w:top w:val="single" w:sz="2" w:space="0" w:color="F6BB00"/>
              <w:bottom w:val="single" w:sz="2" w:space="0" w:color="F6BB00"/>
            </w:tcBorders>
            <w:vAlign w:val="center"/>
          </w:tcPr>
          <w:p w14:paraId="587F756C" w14:textId="68A4ACCB" w:rsidR="00266261" w:rsidRDefault="00266261" w:rsidP="001A1B92">
            <w:pPr>
              <w:spacing w:after="0" w:line="240" w:lineRule="auto"/>
              <w:ind w:left="601"/>
              <w:jc w:val="left"/>
              <w:rPr>
                <w:sz w:val="18"/>
                <w:szCs w:val="18"/>
              </w:rPr>
            </w:pPr>
            <w:r>
              <w:rPr>
                <w:sz w:val="18"/>
                <w:szCs w:val="18"/>
              </w:rPr>
              <w:t>Ośrodek subregionalny Gniezno</w:t>
            </w:r>
          </w:p>
        </w:tc>
        <w:tc>
          <w:tcPr>
            <w:tcW w:w="1672" w:type="dxa"/>
            <w:gridSpan w:val="3"/>
            <w:tcBorders>
              <w:top w:val="single" w:sz="2" w:space="0" w:color="F6BB00"/>
              <w:bottom w:val="single" w:sz="2" w:space="0" w:color="F6BB00"/>
            </w:tcBorders>
            <w:vAlign w:val="center"/>
          </w:tcPr>
          <w:p w14:paraId="46FFEA2B" w14:textId="09B890DC" w:rsidR="00266261" w:rsidRPr="00FF26C0" w:rsidRDefault="00266261" w:rsidP="00266261">
            <w:pPr>
              <w:spacing w:after="0" w:line="240" w:lineRule="auto"/>
              <w:jc w:val="center"/>
              <w:rPr>
                <w:b/>
                <w:color w:val="FF0000"/>
                <w:szCs w:val="22"/>
              </w:rPr>
            </w:pPr>
            <w:r w:rsidRPr="007C3D9A">
              <w:rPr>
                <w:b/>
                <w:color w:val="00B050"/>
                <w:szCs w:val="22"/>
              </w:rPr>
              <w:t>↑</w:t>
            </w:r>
            <w:r w:rsidR="004A6111" w:rsidRPr="00E37F67">
              <w:rPr>
                <w:rFonts w:cs="Times New Roman"/>
                <w:b/>
                <w:color w:val="00B050"/>
                <w:sz w:val="18"/>
                <w:lang w:eastAsia="pl-PL"/>
              </w:rPr>
              <w:t>107,5</w:t>
            </w:r>
          </w:p>
        </w:tc>
        <w:tc>
          <w:tcPr>
            <w:tcW w:w="1023" w:type="dxa"/>
            <w:tcBorders>
              <w:top w:val="single" w:sz="2" w:space="0" w:color="F6BB00"/>
              <w:bottom w:val="single" w:sz="2" w:space="0" w:color="F6BB00"/>
              <w:right w:val="nil"/>
            </w:tcBorders>
            <w:shd w:val="clear" w:color="auto" w:fill="auto"/>
            <w:vAlign w:val="bottom"/>
          </w:tcPr>
          <w:p w14:paraId="3F8BFB03" w14:textId="1F1BD49F" w:rsidR="00266261" w:rsidRPr="00E37F67" w:rsidRDefault="00266261" w:rsidP="00266261">
            <w:pPr>
              <w:spacing w:after="0" w:line="240" w:lineRule="auto"/>
              <w:jc w:val="center"/>
              <w:rPr>
                <w:b/>
                <w:color w:val="00B050"/>
                <w:sz w:val="18"/>
                <w:szCs w:val="22"/>
              </w:rPr>
            </w:pPr>
          </w:p>
        </w:tc>
      </w:tr>
      <w:tr w:rsidR="00266261" w:rsidRPr="00EB1427" w14:paraId="49F2894D" w14:textId="677D3022" w:rsidTr="00734085">
        <w:tc>
          <w:tcPr>
            <w:tcW w:w="6237" w:type="dxa"/>
            <w:tcBorders>
              <w:top w:val="single" w:sz="2" w:space="0" w:color="F6BB00"/>
              <w:bottom w:val="single" w:sz="2" w:space="0" w:color="F6BB00"/>
            </w:tcBorders>
            <w:vAlign w:val="center"/>
          </w:tcPr>
          <w:p w14:paraId="530C4DC7" w14:textId="6C3A07D8" w:rsidR="00266261" w:rsidRDefault="00266261" w:rsidP="001A1B92">
            <w:pPr>
              <w:spacing w:after="0" w:line="240" w:lineRule="auto"/>
              <w:ind w:left="601"/>
              <w:jc w:val="left"/>
              <w:rPr>
                <w:sz w:val="18"/>
                <w:szCs w:val="18"/>
              </w:rPr>
            </w:pPr>
            <w:r w:rsidRPr="007A1F76">
              <w:rPr>
                <w:sz w:val="18"/>
                <w:szCs w:val="18"/>
              </w:rPr>
              <w:t xml:space="preserve">Ośrodek </w:t>
            </w:r>
            <w:r>
              <w:rPr>
                <w:sz w:val="18"/>
                <w:szCs w:val="18"/>
              </w:rPr>
              <w:t>sub</w:t>
            </w:r>
            <w:r w:rsidRPr="007A1F76">
              <w:rPr>
                <w:sz w:val="18"/>
                <w:szCs w:val="18"/>
              </w:rPr>
              <w:t>r</w:t>
            </w:r>
            <w:r>
              <w:rPr>
                <w:sz w:val="18"/>
                <w:szCs w:val="18"/>
              </w:rPr>
              <w:t>egionalny Konin</w:t>
            </w:r>
          </w:p>
        </w:tc>
        <w:tc>
          <w:tcPr>
            <w:tcW w:w="1672" w:type="dxa"/>
            <w:gridSpan w:val="3"/>
            <w:tcBorders>
              <w:top w:val="single" w:sz="2" w:space="0" w:color="F6BB00"/>
              <w:bottom w:val="single" w:sz="2" w:space="0" w:color="F6BB00"/>
            </w:tcBorders>
            <w:vAlign w:val="center"/>
          </w:tcPr>
          <w:p w14:paraId="0AF3E706" w14:textId="67D05ACB" w:rsidR="00266261" w:rsidRPr="00FF26C0" w:rsidRDefault="00266261" w:rsidP="00266261">
            <w:pPr>
              <w:spacing w:after="0" w:line="240" w:lineRule="auto"/>
              <w:jc w:val="center"/>
              <w:rPr>
                <w:b/>
                <w:color w:val="FF0000"/>
                <w:szCs w:val="22"/>
              </w:rPr>
            </w:pPr>
            <w:r w:rsidRPr="007C3D9A">
              <w:rPr>
                <w:b/>
                <w:color w:val="00B050"/>
                <w:szCs w:val="22"/>
              </w:rPr>
              <w:t>↑</w:t>
            </w:r>
            <w:r w:rsidR="004A6111" w:rsidRPr="00E37F67">
              <w:rPr>
                <w:rFonts w:cs="Times New Roman"/>
                <w:b/>
                <w:color w:val="00B050"/>
                <w:sz w:val="18"/>
                <w:lang w:eastAsia="pl-PL"/>
              </w:rPr>
              <w:t>104,2</w:t>
            </w:r>
          </w:p>
        </w:tc>
        <w:tc>
          <w:tcPr>
            <w:tcW w:w="1023" w:type="dxa"/>
            <w:tcBorders>
              <w:top w:val="single" w:sz="2" w:space="0" w:color="F6BB00"/>
              <w:bottom w:val="single" w:sz="2" w:space="0" w:color="F6BB00"/>
              <w:right w:val="nil"/>
            </w:tcBorders>
            <w:shd w:val="clear" w:color="auto" w:fill="auto"/>
            <w:vAlign w:val="bottom"/>
          </w:tcPr>
          <w:p w14:paraId="48AC69D5" w14:textId="55924791" w:rsidR="00266261" w:rsidRPr="00E37F67" w:rsidRDefault="00266261" w:rsidP="00266261">
            <w:pPr>
              <w:spacing w:after="0" w:line="240" w:lineRule="auto"/>
              <w:jc w:val="center"/>
              <w:rPr>
                <w:b/>
                <w:color w:val="00B050"/>
                <w:sz w:val="18"/>
                <w:szCs w:val="22"/>
              </w:rPr>
            </w:pPr>
          </w:p>
        </w:tc>
      </w:tr>
      <w:tr w:rsidR="00266261" w:rsidRPr="00EB1427" w14:paraId="49EC0F1A" w14:textId="4A698A58" w:rsidTr="00734085">
        <w:tc>
          <w:tcPr>
            <w:tcW w:w="6237" w:type="dxa"/>
            <w:tcBorders>
              <w:top w:val="single" w:sz="2" w:space="0" w:color="F6BB00"/>
              <w:bottom w:val="single" w:sz="2" w:space="0" w:color="F6BB00"/>
            </w:tcBorders>
            <w:vAlign w:val="center"/>
          </w:tcPr>
          <w:p w14:paraId="32319FCA" w14:textId="63786411" w:rsidR="00266261" w:rsidRDefault="00266261" w:rsidP="001A1B92">
            <w:pPr>
              <w:spacing w:after="0" w:line="240" w:lineRule="auto"/>
              <w:ind w:left="601"/>
              <w:jc w:val="left"/>
              <w:rPr>
                <w:sz w:val="18"/>
                <w:szCs w:val="18"/>
              </w:rPr>
            </w:pPr>
            <w:r>
              <w:rPr>
                <w:sz w:val="18"/>
                <w:szCs w:val="18"/>
              </w:rPr>
              <w:t>Ośrodek subregionalny Leszno</w:t>
            </w:r>
          </w:p>
        </w:tc>
        <w:tc>
          <w:tcPr>
            <w:tcW w:w="1672" w:type="dxa"/>
            <w:gridSpan w:val="3"/>
            <w:tcBorders>
              <w:top w:val="single" w:sz="2" w:space="0" w:color="F6BB00"/>
              <w:bottom w:val="single" w:sz="2" w:space="0" w:color="F6BB00"/>
            </w:tcBorders>
            <w:vAlign w:val="center"/>
          </w:tcPr>
          <w:p w14:paraId="0A46670D" w14:textId="2BEEC16D" w:rsidR="00266261" w:rsidRPr="00FF26C0" w:rsidRDefault="00266261" w:rsidP="00266261">
            <w:pPr>
              <w:spacing w:after="0" w:line="240" w:lineRule="auto"/>
              <w:jc w:val="center"/>
              <w:rPr>
                <w:b/>
                <w:color w:val="FF0000"/>
                <w:szCs w:val="22"/>
              </w:rPr>
            </w:pPr>
            <w:r w:rsidRPr="007C3D9A">
              <w:rPr>
                <w:b/>
                <w:color w:val="00B050"/>
                <w:szCs w:val="22"/>
              </w:rPr>
              <w:t>↑</w:t>
            </w:r>
            <w:r w:rsidR="004A6111" w:rsidRPr="00E37F67">
              <w:rPr>
                <w:rFonts w:cs="Times New Roman"/>
                <w:b/>
                <w:color w:val="00B050"/>
                <w:sz w:val="18"/>
                <w:lang w:eastAsia="pl-PL"/>
              </w:rPr>
              <w:t>109,0</w:t>
            </w:r>
          </w:p>
        </w:tc>
        <w:tc>
          <w:tcPr>
            <w:tcW w:w="1023" w:type="dxa"/>
            <w:tcBorders>
              <w:top w:val="single" w:sz="2" w:space="0" w:color="F6BB00"/>
              <w:bottom w:val="single" w:sz="2" w:space="0" w:color="F6BB00"/>
              <w:right w:val="nil"/>
            </w:tcBorders>
            <w:shd w:val="clear" w:color="auto" w:fill="auto"/>
            <w:vAlign w:val="bottom"/>
          </w:tcPr>
          <w:p w14:paraId="4DED26B6" w14:textId="2641232A" w:rsidR="00266261" w:rsidRPr="00E37F67" w:rsidRDefault="00266261" w:rsidP="00266261">
            <w:pPr>
              <w:spacing w:after="0" w:line="240" w:lineRule="auto"/>
              <w:jc w:val="center"/>
              <w:rPr>
                <w:b/>
                <w:color w:val="00B050"/>
                <w:sz w:val="18"/>
                <w:szCs w:val="22"/>
              </w:rPr>
            </w:pPr>
          </w:p>
        </w:tc>
      </w:tr>
      <w:tr w:rsidR="00266261" w:rsidRPr="00EB1427" w14:paraId="054B4DB1" w14:textId="0D3FB79E" w:rsidTr="00734085">
        <w:tc>
          <w:tcPr>
            <w:tcW w:w="6237" w:type="dxa"/>
            <w:tcBorders>
              <w:top w:val="single" w:sz="2" w:space="0" w:color="F6BB00"/>
              <w:bottom w:val="single" w:sz="2" w:space="0" w:color="F6BB00"/>
            </w:tcBorders>
            <w:vAlign w:val="center"/>
          </w:tcPr>
          <w:p w14:paraId="313F0F0E" w14:textId="3EC86643" w:rsidR="00266261" w:rsidRDefault="00266261" w:rsidP="001A1B92">
            <w:pPr>
              <w:spacing w:after="0" w:line="240" w:lineRule="auto"/>
              <w:ind w:left="601"/>
              <w:jc w:val="left"/>
              <w:rPr>
                <w:sz w:val="18"/>
                <w:szCs w:val="18"/>
              </w:rPr>
            </w:pPr>
            <w:r w:rsidRPr="007A1F76">
              <w:rPr>
                <w:sz w:val="18"/>
                <w:szCs w:val="18"/>
              </w:rPr>
              <w:lastRenderedPageBreak/>
              <w:t xml:space="preserve">Ośrodek </w:t>
            </w:r>
            <w:r>
              <w:rPr>
                <w:sz w:val="18"/>
                <w:szCs w:val="18"/>
              </w:rPr>
              <w:t>sub</w:t>
            </w:r>
            <w:r w:rsidRPr="007A1F76">
              <w:rPr>
                <w:sz w:val="18"/>
                <w:szCs w:val="18"/>
              </w:rPr>
              <w:t>regionalny Piła</w:t>
            </w:r>
          </w:p>
        </w:tc>
        <w:tc>
          <w:tcPr>
            <w:tcW w:w="1672" w:type="dxa"/>
            <w:gridSpan w:val="3"/>
            <w:tcBorders>
              <w:top w:val="single" w:sz="2" w:space="0" w:color="F6BB00"/>
              <w:bottom w:val="single" w:sz="2" w:space="0" w:color="F6BB00"/>
            </w:tcBorders>
            <w:vAlign w:val="center"/>
          </w:tcPr>
          <w:p w14:paraId="1B5E2201" w14:textId="0B8946C1" w:rsidR="00266261" w:rsidRPr="00FF26C0" w:rsidRDefault="00266261" w:rsidP="00266261">
            <w:pPr>
              <w:spacing w:after="0" w:line="240" w:lineRule="auto"/>
              <w:jc w:val="center"/>
              <w:rPr>
                <w:b/>
                <w:color w:val="FF0000"/>
                <w:szCs w:val="22"/>
              </w:rPr>
            </w:pPr>
            <w:r w:rsidRPr="007C3D9A">
              <w:rPr>
                <w:b/>
                <w:color w:val="00B050"/>
                <w:szCs w:val="22"/>
              </w:rPr>
              <w:t>↑</w:t>
            </w:r>
            <w:r w:rsidR="004A6111" w:rsidRPr="00E37F67">
              <w:rPr>
                <w:rFonts w:cs="Times New Roman"/>
                <w:b/>
                <w:color w:val="00B050"/>
                <w:sz w:val="18"/>
                <w:lang w:eastAsia="pl-PL"/>
              </w:rPr>
              <w:t>104,0</w:t>
            </w:r>
          </w:p>
        </w:tc>
        <w:tc>
          <w:tcPr>
            <w:tcW w:w="1023" w:type="dxa"/>
            <w:tcBorders>
              <w:top w:val="single" w:sz="2" w:space="0" w:color="F6BB00"/>
              <w:bottom w:val="single" w:sz="2" w:space="0" w:color="F6BB00"/>
              <w:right w:val="nil"/>
            </w:tcBorders>
            <w:shd w:val="clear" w:color="auto" w:fill="auto"/>
            <w:vAlign w:val="bottom"/>
          </w:tcPr>
          <w:p w14:paraId="6073EF5B" w14:textId="4C62F622" w:rsidR="00266261" w:rsidRPr="00E37F67" w:rsidRDefault="00266261" w:rsidP="00266261">
            <w:pPr>
              <w:spacing w:after="0" w:line="240" w:lineRule="auto"/>
              <w:jc w:val="center"/>
              <w:rPr>
                <w:b/>
                <w:color w:val="00B050"/>
                <w:sz w:val="18"/>
                <w:szCs w:val="22"/>
              </w:rPr>
            </w:pPr>
          </w:p>
        </w:tc>
      </w:tr>
      <w:tr w:rsidR="00266261" w:rsidRPr="00EB1427" w14:paraId="0ED394E0" w14:textId="1581E0D4" w:rsidTr="00734085">
        <w:tc>
          <w:tcPr>
            <w:tcW w:w="6237" w:type="dxa"/>
            <w:tcBorders>
              <w:top w:val="single" w:sz="2" w:space="0" w:color="F6BB00"/>
              <w:bottom w:val="single" w:sz="2" w:space="0" w:color="F6BB00"/>
            </w:tcBorders>
            <w:vAlign w:val="center"/>
          </w:tcPr>
          <w:p w14:paraId="571684AD" w14:textId="1285E546" w:rsidR="00266261" w:rsidRDefault="00266261" w:rsidP="001A1B92">
            <w:pPr>
              <w:spacing w:after="0" w:line="240" w:lineRule="auto"/>
              <w:ind w:left="601"/>
              <w:jc w:val="left"/>
              <w:rPr>
                <w:sz w:val="18"/>
                <w:szCs w:val="18"/>
              </w:rPr>
            </w:pPr>
            <w:r>
              <w:rPr>
                <w:sz w:val="18"/>
                <w:szCs w:val="18"/>
              </w:rPr>
              <w:t>ZIT Poznań</w:t>
            </w:r>
          </w:p>
        </w:tc>
        <w:tc>
          <w:tcPr>
            <w:tcW w:w="1672" w:type="dxa"/>
            <w:gridSpan w:val="3"/>
            <w:tcBorders>
              <w:top w:val="single" w:sz="2" w:space="0" w:color="F6BB00"/>
              <w:bottom w:val="single" w:sz="2" w:space="0" w:color="F6BB00"/>
            </w:tcBorders>
            <w:vAlign w:val="center"/>
          </w:tcPr>
          <w:p w14:paraId="33563F9F" w14:textId="5D37ED45" w:rsidR="00266261" w:rsidRPr="00FF26C0" w:rsidRDefault="00266261" w:rsidP="00266261">
            <w:pPr>
              <w:spacing w:after="0" w:line="240" w:lineRule="auto"/>
              <w:jc w:val="center"/>
              <w:rPr>
                <w:b/>
                <w:color w:val="FF0000"/>
                <w:szCs w:val="22"/>
              </w:rPr>
            </w:pPr>
            <w:r w:rsidRPr="007C3D9A">
              <w:rPr>
                <w:b/>
                <w:color w:val="00B050"/>
                <w:szCs w:val="22"/>
              </w:rPr>
              <w:t>↑</w:t>
            </w:r>
            <w:r w:rsidR="00747E10" w:rsidRPr="00E37F67">
              <w:rPr>
                <w:rFonts w:cs="Times New Roman"/>
                <w:b/>
                <w:color w:val="00B050"/>
                <w:sz w:val="18"/>
                <w:lang w:eastAsia="pl-PL"/>
              </w:rPr>
              <w:t>112,6</w:t>
            </w:r>
          </w:p>
        </w:tc>
        <w:tc>
          <w:tcPr>
            <w:tcW w:w="1023" w:type="dxa"/>
            <w:tcBorders>
              <w:top w:val="single" w:sz="2" w:space="0" w:color="F6BB00"/>
              <w:bottom w:val="single" w:sz="2" w:space="0" w:color="F6BB00"/>
              <w:right w:val="nil"/>
            </w:tcBorders>
            <w:shd w:val="clear" w:color="auto" w:fill="auto"/>
            <w:vAlign w:val="bottom"/>
          </w:tcPr>
          <w:p w14:paraId="329ADFC3" w14:textId="6EC6D721" w:rsidR="00266261" w:rsidRPr="00E37F67" w:rsidRDefault="00266261" w:rsidP="00266261">
            <w:pPr>
              <w:spacing w:after="0" w:line="240" w:lineRule="auto"/>
              <w:jc w:val="center"/>
              <w:rPr>
                <w:b/>
                <w:color w:val="00B050"/>
                <w:sz w:val="18"/>
                <w:szCs w:val="22"/>
              </w:rPr>
            </w:pPr>
          </w:p>
        </w:tc>
      </w:tr>
      <w:tr w:rsidR="00266261" w:rsidRPr="00EB1427" w14:paraId="406B916E" w14:textId="078BEBB2" w:rsidTr="00734085">
        <w:tc>
          <w:tcPr>
            <w:tcW w:w="6237" w:type="dxa"/>
            <w:tcBorders>
              <w:top w:val="single" w:sz="2" w:space="0" w:color="F6BB00"/>
              <w:bottom w:val="single" w:sz="2" w:space="0" w:color="F6BB00"/>
            </w:tcBorders>
            <w:vAlign w:val="center"/>
          </w:tcPr>
          <w:p w14:paraId="086810CF" w14:textId="3A02731A" w:rsidR="00266261" w:rsidRDefault="00266261" w:rsidP="001A1B92">
            <w:pPr>
              <w:spacing w:after="0" w:line="240" w:lineRule="auto"/>
              <w:ind w:left="601"/>
              <w:jc w:val="left"/>
              <w:rPr>
                <w:sz w:val="18"/>
                <w:szCs w:val="18"/>
              </w:rPr>
            </w:pPr>
            <w:r w:rsidRPr="007A1F76">
              <w:rPr>
                <w:sz w:val="18"/>
                <w:szCs w:val="18"/>
              </w:rPr>
              <w:t xml:space="preserve">ZIT </w:t>
            </w:r>
            <w:r>
              <w:rPr>
                <w:sz w:val="18"/>
                <w:szCs w:val="18"/>
              </w:rPr>
              <w:t>Aglomeracji Kalisko-Ostrowskiej</w:t>
            </w:r>
          </w:p>
        </w:tc>
        <w:tc>
          <w:tcPr>
            <w:tcW w:w="1672" w:type="dxa"/>
            <w:gridSpan w:val="3"/>
            <w:tcBorders>
              <w:top w:val="single" w:sz="2" w:space="0" w:color="F6BB00"/>
              <w:bottom w:val="single" w:sz="2" w:space="0" w:color="F6BB00"/>
            </w:tcBorders>
            <w:vAlign w:val="center"/>
          </w:tcPr>
          <w:p w14:paraId="762339C1" w14:textId="015CB4BE" w:rsidR="00266261" w:rsidRPr="00FF26C0" w:rsidRDefault="00266261" w:rsidP="00266261">
            <w:pPr>
              <w:spacing w:after="0" w:line="240" w:lineRule="auto"/>
              <w:jc w:val="center"/>
              <w:rPr>
                <w:b/>
                <w:color w:val="FF0000"/>
                <w:szCs w:val="22"/>
              </w:rPr>
            </w:pPr>
            <w:r w:rsidRPr="007C3D9A">
              <w:rPr>
                <w:b/>
                <w:color w:val="00B050"/>
                <w:szCs w:val="22"/>
              </w:rPr>
              <w:t>↑</w:t>
            </w:r>
            <w:r w:rsidR="00747E10" w:rsidRPr="00E37F67">
              <w:rPr>
                <w:rFonts w:cs="Times New Roman"/>
                <w:b/>
                <w:color w:val="00B050"/>
                <w:sz w:val="18"/>
                <w:lang w:eastAsia="pl-PL"/>
              </w:rPr>
              <w:t>118,1</w:t>
            </w:r>
          </w:p>
        </w:tc>
        <w:tc>
          <w:tcPr>
            <w:tcW w:w="1023" w:type="dxa"/>
            <w:tcBorders>
              <w:top w:val="single" w:sz="2" w:space="0" w:color="F6BB00"/>
              <w:bottom w:val="single" w:sz="2" w:space="0" w:color="F6BB00"/>
              <w:right w:val="nil"/>
            </w:tcBorders>
            <w:shd w:val="clear" w:color="auto" w:fill="auto"/>
            <w:vAlign w:val="bottom"/>
          </w:tcPr>
          <w:p w14:paraId="1DDDAE22" w14:textId="7C1D0BDA" w:rsidR="00266261" w:rsidRPr="00E37F67" w:rsidRDefault="00266261" w:rsidP="00266261">
            <w:pPr>
              <w:spacing w:after="0" w:line="240" w:lineRule="auto"/>
              <w:jc w:val="center"/>
              <w:rPr>
                <w:b/>
                <w:color w:val="00B050"/>
                <w:sz w:val="18"/>
                <w:szCs w:val="22"/>
              </w:rPr>
            </w:pPr>
          </w:p>
        </w:tc>
      </w:tr>
      <w:tr w:rsidR="00266261" w:rsidRPr="00EB1427" w14:paraId="4E8C1722" w14:textId="0236A1D2" w:rsidTr="00734085">
        <w:tc>
          <w:tcPr>
            <w:tcW w:w="6237" w:type="dxa"/>
            <w:tcBorders>
              <w:top w:val="single" w:sz="2" w:space="0" w:color="F6BB00"/>
              <w:bottom w:val="single" w:sz="2" w:space="0" w:color="F6BB00"/>
            </w:tcBorders>
            <w:vAlign w:val="center"/>
          </w:tcPr>
          <w:p w14:paraId="5DB9B330" w14:textId="5EB6DDB8" w:rsidR="00266261" w:rsidRDefault="00266261" w:rsidP="001A1B92">
            <w:pPr>
              <w:spacing w:after="0" w:line="240" w:lineRule="auto"/>
              <w:ind w:left="601"/>
              <w:jc w:val="left"/>
              <w:rPr>
                <w:sz w:val="18"/>
                <w:szCs w:val="18"/>
              </w:rPr>
            </w:pPr>
            <w:r>
              <w:rPr>
                <w:sz w:val="18"/>
                <w:szCs w:val="18"/>
              </w:rPr>
              <w:t>OSI Gniezno</w:t>
            </w:r>
          </w:p>
        </w:tc>
        <w:tc>
          <w:tcPr>
            <w:tcW w:w="1672" w:type="dxa"/>
            <w:gridSpan w:val="3"/>
            <w:tcBorders>
              <w:top w:val="single" w:sz="2" w:space="0" w:color="F6BB00"/>
              <w:bottom w:val="single" w:sz="2" w:space="0" w:color="F6BB00"/>
            </w:tcBorders>
            <w:vAlign w:val="center"/>
          </w:tcPr>
          <w:p w14:paraId="6DCC37F8" w14:textId="1E531D57" w:rsidR="00266261" w:rsidRPr="00FF26C0" w:rsidRDefault="00266261" w:rsidP="00266261">
            <w:pPr>
              <w:spacing w:after="0" w:line="240" w:lineRule="auto"/>
              <w:jc w:val="center"/>
              <w:rPr>
                <w:b/>
                <w:color w:val="FF0000"/>
                <w:szCs w:val="22"/>
              </w:rPr>
            </w:pPr>
            <w:r w:rsidRPr="007C3D9A">
              <w:rPr>
                <w:b/>
                <w:color w:val="00B050"/>
                <w:szCs w:val="22"/>
              </w:rPr>
              <w:t>↑</w:t>
            </w:r>
            <w:r w:rsidR="00747E10" w:rsidRPr="00E37F67">
              <w:rPr>
                <w:rFonts w:cs="Times New Roman"/>
                <w:b/>
                <w:color w:val="00B050"/>
                <w:sz w:val="18"/>
                <w:lang w:eastAsia="pl-PL"/>
              </w:rPr>
              <w:t>109,8</w:t>
            </w:r>
          </w:p>
        </w:tc>
        <w:tc>
          <w:tcPr>
            <w:tcW w:w="1023" w:type="dxa"/>
            <w:tcBorders>
              <w:top w:val="single" w:sz="2" w:space="0" w:color="F6BB00"/>
              <w:bottom w:val="single" w:sz="2" w:space="0" w:color="F6BB00"/>
              <w:right w:val="nil"/>
            </w:tcBorders>
            <w:shd w:val="clear" w:color="auto" w:fill="auto"/>
            <w:vAlign w:val="bottom"/>
          </w:tcPr>
          <w:p w14:paraId="04EA95F6" w14:textId="483B19A1" w:rsidR="00266261" w:rsidRPr="00E37F67" w:rsidRDefault="00266261" w:rsidP="00266261">
            <w:pPr>
              <w:spacing w:after="0" w:line="240" w:lineRule="auto"/>
              <w:jc w:val="center"/>
              <w:rPr>
                <w:b/>
                <w:color w:val="00B050"/>
                <w:sz w:val="18"/>
                <w:szCs w:val="22"/>
              </w:rPr>
            </w:pPr>
          </w:p>
        </w:tc>
      </w:tr>
      <w:tr w:rsidR="00266261" w:rsidRPr="00EB1427" w14:paraId="011D23EA" w14:textId="5FFF18EF" w:rsidTr="00734085">
        <w:tc>
          <w:tcPr>
            <w:tcW w:w="6237" w:type="dxa"/>
            <w:tcBorders>
              <w:top w:val="single" w:sz="2" w:space="0" w:color="F6BB00"/>
              <w:bottom w:val="single" w:sz="2" w:space="0" w:color="F6BB00"/>
            </w:tcBorders>
            <w:vAlign w:val="center"/>
          </w:tcPr>
          <w:p w14:paraId="75CA3538" w14:textId="2B19B334" w:rsidR="00266261" w:rsidRDefault="00266261" w:rsidP="001A1B92">
            <w:pPr>
              <w:spacing w:after="0" w:line="240" w:lineRule="auto"/>
              <w:ind w:left="601"/>
              <w:jc w:val="left"/>
              <w:rPr>
                <w:sz w:val="18"/>
                <w:szCs w:val="18"/>
              </w:rPr>
            </w:pPr>
            <w:r>
              <w:rPr>
                <w:sz w:val="18"/>
                <w:szCs w:val="18"/>
              </w:rPr>
              <w:t>OSI Konin</w:t>
            </w:r>
          </w:p>
        </w:tc>
        <w:tc>
          <w:tcPr>
            <w:tcW w:w="1672" w:type="dxa"/>
            <w:gridSpan w:val="3"/>
            <w:tcBorders>
              <w:top w:val="single" w:sz="2" w:space="0" w:color="F6BB00"/>
              <w:bottom w:val="single" w:sz="2" w:space="0" w:color="F6BB00"/>
            </w:tcBorders>
            <w:vAlign w:val="center"/>
          </w:tcPr>
          <w:p w14:paraId="0199B764" w14:textId="70F1D4A2" w:rsidR="00266261" w:rsidRPr="00FF26C0" w:rsidRDefault="00266261" w:rsidP="00266261">
            <w:pPr>
              <w:spacing w:after="0" w:line="240" w:lineRule="auto"/>
              <w:jc w:val="center"/>
              <w:rPr>
                <w:b/>
                <w:color w:val="FF0000"/>
                <w:szCs w:val="22"/>
              </w:rPr>
            </w:pPr>
            <w:r w:rsidRPr="007C3D9A">
              <w:rPr>
                <w:b/>
                <w:color w:val="00B050"/>
                <w:szCs w:val="22"/>
              </w:rPr>
              <w:t>↑</w:t>
            </w:r>
            <w:r w:rsidR="00747E10" w:rsidRPr="00E37F67">
              <w:rPr>
                <w:rFonts w:cs="Times New Roman"/>
                <w:b/>
                <w:color w:val="00B050"/>
                <w:sz w:val="18"/>
                <w:lang w:eastAsia="pl-PL"/>
              </w:rPr>
              <w:t>105,8</w:t>
            </w:r>
          </w:p>
        </w:tc>
        <w:tc>
          <w:tcPr>
            <w:tcW w:w="1023" w:type="dxa"/>
            <w:tcBorders>
              <w:top w:val="single" w:sz="2" w:space="0" w:color="F6BB00"/>
              <w:bottom w:val="single" w:sz="2" w:space="0" w:color="F6BB00"/>
              <w:right w:val="nil"/>
            </w:tcBorders>
            <w:shd w:val="clear" w:color="auto" w:fill="auto"/>
            <w:vAlign w:val="bottom"/>
          </w:tcPr>
          <w:p w14:paraId="586C76BE" w14:textId="7677E750" w:rsidR="00266261" w:rsidRPr="00E37F67" w:rsidRDefault="00266261" w:rsidP="00266261">
            <w:pPr>
              <w:spacing w:after="0" w:line="240" w:lineRule="auto"/>
              <w:jc w:val="center"/>
              <w:rPr>
                <w:b/>
                <w:color w:val="00B050"/>
                <w:sz w:val="18"/>
                <w:szCs w:val="22"/>
              </w:rPr>
            </w:pPr>
          </w:p>
        </w:tc>
      </w:tr>
      <w:tr w:rsidR="00266261" w:rsidRPr="00EB1427" w14:paraId="0CE30DC0" w14:textId="1EF90C82" w:rsidTr="00734085">
        <w:tc>
          <w:tcPr>
            <w:tcW w:w="6237" w:type="dxa"/>
            <w:tcBorders>
              <w:top w:val="single" w:sz="2" w:space="0" w:color="F6BB00"/>
              <w:bottom w:val="single" w:sz="2" w:space="0" w:color="F6BB00"/>
            </w:tcBorders>
            <w:vAlign w:val="center"/>
          </w:tcPr>
          <w:p w14:paraId="56A760EB" w14:textId="446FCFE3" w:rsidR="00266261" w:rsidRDefault="00266261" w:rsidP="001A1B92">
            <w:pPr>
              <w:spacing w:after="0" w:line="240" w:lineRule="auto"/>
              <w:ind w:left="601"/>
              <w:jc w:val="left"/>
              <w:rPr>
                <w:sz w:val="18"/>
                <w:szCs w:val="18"/>
              </w:rPr>
            </w:pPr>
            <w:r>
              <w:rPr>
                <w:sz w:val="18"/>
                <w:szCs w:val="18"/>
              </w:rPr>
              <w:t>OSI Leszno</w:t>
            </w:r>
          </w:p>
        </w:tc>
        <w:tc>
          <w:tcPr>
            <w:tcW w:w="1672" w:type="dxa"/>
            <w:gridSpan w:val="3"/>
            <w:tcBorders>
              <w:top w:val="single" w:sz="2" w:space="0" w:color="F6BB00"/>
              <w:bottom w:val="single" w:sz="2" w:space="0" w:color="F6BB00"/>
            </w:tcBorders>
            <w:vAlign w:val="center"/>
          </w:tcPr>
          <w:p w14:paraId="1486A7E1" w14:textId="054F8010" w:rsidR="00266261" w:rsidRPr="00FF26C0" w:rsidRDefault="00266261" w:rsidP="00266261">
            <w:pPr>
              <w:spacing w:after="0" w:line="240" w:lineRule="auto"/>
              <w:jc w:val="center"/>
              <w:rPr>
                <w:b/>
                <w:color w:val="FF0000"/>
                <w:szCs w:val="22"/>
              </w:rPr>
            </w:pPr>
            <w:r w:rsidRPr="007C3D9A">
              <w:rPr>
                <w:b/>
                <w:color w:val="00B050"/>
                <w:szCs w:val="22"/>
              </w:rPr>
              <w:t>↑</w:t>
            </w:r>
            <w:r w:rsidR="00747E10" w:rsidRPr="00E37F67">
              <w:rPr>
                <w:rFonts w:cs="Times New Roman"/>
                <w:b/>
                <w:color w:val="00B050"/>
                <w:sz w:val="18"/>
                <w:lang w:eastAsia="pl-PL"/>
              </w:rPr>
              <w:t>112,9</w:t>
            </w:r>
          </w:p>
        </w:tc>
        <w:tc>
          <w:tcPr>
            <w:tcW w:w="1023" w:type="dxa"/>
            <w:tcBorders>
              <w:top w:val="single" w:sz="2" w:space="0" w:color="F6BB00"/>
              <w:bottom w:val="single" w:sz="2" w:space="0" w:color="F6BB00"/>
              <w:right w:val="nil"/>
            </w:tcBorders>
            <w:shd w:val="clear" w:color="auto" w:fill="auto"/>
            <w:vAlign w:val="bottom"/>
          </w:tcPr>
          <w:p w14:paraId="53618D66" w14:textId="40D34D76" w:rsidR="00266261" w:rsidRPr="00E37F67" w:rsidRDefault="00266261" w:rsidP="00266261">
            <w:pPr>
              <w:spacing w:after="0" w:line="240" w:lineRule="auto"/>
              <w:jc w:val="center"/>
              <w:rPr>
                <w:b/>
                <w:color w:val="00B050"/>
                <w:sz w:val="18"/>
                <w:szCs w:val="22"/>
              </w:rPr>
            </w:pPr>
          </w:p>
        </w:tc>
      </w:tr>
      <w:tr w:rsidR="00266261" w:rsidRPr="00EB1427" w14:paraId="5D7659F5" w14:textId="06F82B26" w:rsidTr="00734085">
        <w:tc>
          <w:tcPr>
            <w:tcW w:w="6237" w:type="dxa"/>
            <w:tcBorders>
              <w:top w:val="single" w:sz="2" w:space="0" w:color="F6BB00"/>
              <w:bottom w:val="single" w:sz="2" w:space="0" w:color="F6BB00"/>
            </w:tcBorders>
            <w:vAlign w:val="center"/>
          </w:tcPr>
          <w:p w14:paraId="218D7864" w14:textId="4C59E54E" w:rsidR="00266261" w:rsidRDefault="00266261" w:rsidP="001A1B92">
            <w:pPr>
              <w:spacing w:after="0" w:line="240" w:lineRule="auto"/>
              <w:ind w:left="601"/>
              <w:jc w:val="left"/>
              <w:rPr>
                <w:sz w:val="18"/>
                <w:szCs w:val="18"/>
              </w:rPr>
            </w:pPr>
            <w:r w:rsidRPr="007A1F76">
              <w:rPr>
                <w:sz w:val="18"/>
                <w:szCs w:val="18"/>
              </w:rPr>
              <w:t>OSI Piła</w:t>
            </w:r>
          </w:p>
        </w:tc>
        <w:tc>
          <w:tcPr>
            <w:tcW w:w="1672" w:type="dxa"/>
            <w:gridSpan w:val="3"/>
            <w:tcBorders>
              <w:top w:val="single" w:sz="2" w:space="0" w:color="F6BB00"/>
              <w:bottom w:val="single" w:sz="2" w:space="0" w:color="F6BB00"/>
            </w:tcBorders>
            <w:vAlign w:val="center"/>
          </w:tcPr>
          <w:p w14:paraId="66EE4267" w14:textId="72A6F7CC" w:rsidR="00266261" w:rsidRPr="00FF26C0" w:rsidRDefault="00266261" w:rsidP="00266261">
            <w:pPr>
              <w:spacing w:after="0" w:line="240" w:lineRule="auto"/>
              <w:jc w:val="center"/>
              <w:rPr>
                <w:b/>
                <w:color w:val="FF0000"/>
                <w:szCs w:val="22"/>
              </w:rPr>
            </w:pPr>
            <w:r w:rsidRPr="007C3D9A">
              <w:rPr>
                <w:b/>
                <w:color w:val="00B050"/>
                <w:szCs w:val="22"/>
              </w:rPr>
              <w:t>↑</w:t>
            </w:r>
            <w:r w:rsidR="00747E10" w:rsidRPr="00E37F67">
              <w:rPr>
                <w:rFonts w:cs="Times New Roman"/>
                <w:b/>
                <w:color w:val="00B050"/>
                <w:sz w:val="18"/>
                <w:lang w:eastAsia="pl-PL"/>
              </w:rPr>
              <w:t>106,4</w:t>
            </w:r>
          </w:p>
        </w:tc>
        <w:tc>
          <w:tcPr>
            <w:tcW w:w="1023" w:type="dxa"/>
            <w:tcBorders>
              <w:top w:val="single" w:sz="2" w:space="0" w:color="F6BB00"/>
              <w:bottom w:val="single" w:sz="2" w:space="0" w:color="F6BB00"/>
              <w:right w:val="nil"/>
            </w:tcBorders>
            <w:shd w:val="clear" w:color="auto" w:fill="auto"/>
            <w:vAlign w:val="bottom"/>
          </w:tcPr>
          <w:p w14:paraId="799C0421" w14:textId="45AF56EF" w:rsidR="00266261" w:rsidRPr="00E37F67" w:rsidRDefault="00266261" w:rsidP="00266261">
            <w:pPr>
              <w:spacing w:after="0" w:line="240" w:lineRule="auto"/>
              <w:jc w:val="center"/>
              <w:rPr>
                <w:b/>
                <w:color w:val="00B050"/>
                <w:sz w:val="18"/>
                <w:szCs w:val="22"/>
              </w:rPr>
            </w:pPr>
          </w:p>
        </w:tc>
      </w:tr>
      <w:tr w:rsidR="00266261" w:rsidRPr="00EB1427" w14:paraId="52244FCB" w14:textId="721D109D" w:rsidTr="00734085">
        <w:tc>
          <w:tcPr>
            <w:tcW w:w="6237" w:type="dxa"/>
            <w:tcBorders>
              <w:top w:val="single" w:sz="2" w:space="0" w:color="F6BB00"/>
              <w:bottom w:val="single" w:sz="2" w:space="0" w:color="F6BB00"/>
            </w:tcBorders>
            <w:vAlign w:val="center"/>
          </w:tcPr>
          <w:p w14:paraId="4613A8A0" w14:textId="009697BD" w:rsidR="00266261" w:rsidRDefault="00266261" w:rsidP="001A1B92">
            <w:pPr>
              <w:spacing w:after="0" w:line="240" w:lineRule="auto"/>
              <w:ind w:left="601"/>
              <w:jc w:val="left"/>
              <w:rPr>
                <w:sz w:val="18"/>
                <w:szCs w:val="18"/>
              </w:rPr>
            </w:pPr>
            <w:r>
              <w:rPr>
                <w:sz w:val="18"/>
                <w:szCs w:val="18"/>
              </w:rPr>
              <w:t>Miasto Poznań</w:t>
            </w:r>
          </w:p>
        </w:tc>
        <w:tc>
          <w:tcPr>
            <w:tcW w:w="1672" w:type="dxa"/>
            <w:gridSpan w:val="3"/>
            <w:tcBorders>
              <w:top w:val="single" w:sz="2" w:space="0" w:color="F6BB00"/>
              <w:bottom w:val="single" w:sz="2" w:space="0" w:color="F6BB00"/>
            </w:tcBorders>
            <w:vAlign w:val="center"/>
          </w:tcPr>
          <w:p w14:paraId="7B38EE8B" w14:textId="30716A1E" w:rsidR="00266261" w:rsidRPr="007C3D9A" w:rsidRDefault="00266261" w:rsidP="00266261">
            <w:pPr>
              <w:spacing w:after="0" w:line="240" w:lineRule="auto"/>
              <w:jc w:val="center"/>
              <w:rPr>
                <w:b/>
                <w:color w:val="00B050"/>
                <w:szCs w:val="22"/>
              </w:rPr>
            </w:pPr>
            <w:r w:rsidRPr="007C3D9A">
              <w:rPr>
                <w:b/>
                <w:color w:val="00B050"/>
                <w:szCs w:val="22"/>
              </w:rPr>
              <w:t>↑</w:t>
            </w:r>
            <w:r w:rsidR="00747E10" w:rsidRPr="00E37F67">
              <w:rPr>
                <w:b/>
                <w:color w:val="00B050"/>
                <w:sz w:val="18"/>
                <w:szCs w:val="22"/>
              </w:rPr>
              <w:t>106,6</w:t>
            </w:r>
          </w:p>
        </w:tc>
        <w:tc>
          <w:tcPr>
            <w:tcW w:w="1023" w:type="dxa"/>
            <w:tcBorders>
              <w:top w:val="single" w:sz="2" w:space="0" w:color="F6BB00"/>
            </w:tcBorders>
            <w:vAlign w:val="center"/>
          </w:tcPr>
          <w:p w14:paraId="60134D7F" w14:textId="06B031C1" w:rsidR="00266261" w:rsidRPr="00E37F67" w:rsidRDefault="00266261" w:rsidP="00266261">
            <w:pPr>
              <w:spacing w:after="0" w:line="240" w:lineRule="auto"/>
              <w:jc w:val="center"/>
              <w:rPr>
                <w:b/>
                <w:color w:val="00B050"/>
                <w:sz w:val="18"/>
                <w:szCs w:val="22"/>
              </w:rPr>
            </w:pPr>
          </w:p>
        </w:tc>
      </w:tr>
      <w:tr w:rsidR="00266261" w:rsidRPr="00EB1427" w14:paraId="086DFDC8" w14:textId="77777777" w:rsidTr="00734085">
        <w:tc>
          <w:tcPr>
            <w:tcW w:w="8932" w:type="dxa"/>
            <w:gridSpan w:val="5"/>
            <w:tcBorders>
              <w:top w:val="single" w:sz="2" w:space="0" w:color="F6BB00"/>
              <w:bottom w:val="single" w:sz="2" w:space="0" w:color="F6BB00"/>
            </w:tcBorders>
            <w:shd w:val="clear" w:color="auto" w:fill="auto"/>
            <w:vAlign w:val="center"/>
          </w:tcPr>
          <w:p w14:paraId="57F90CD4" w14:textId="45FE4EF9" w:rsidR="00266261" w:rsidRPr="00464A8E" w:rsidRDefault="00266261" w:rsidP="00266261">
            <w:pPr>
              <w:spacing w:after="0" w:line="240" w:lineRule="auto"/>
              <w:jc w:val="left"/>
              <w:rPr>
                <w:sz w:val="18"/>
                <w:szCs w:val="18"/>
              </w:rPr>
            </w:pPr>
            <w:r w:rsidRPr="00FF26C0">
              <w:rPr>
                <w:sz w:val="18"/>
                <w:szCs w:val="18"/>
              </w:rPr>
              <w:t>Bezrobotni zarejestrowani w podziale na: Poznań, metropolia poznańska, ośrodek regionalny, ośrodki subregionalne</w:t>
            </w:r>
            <w:r>
              <w:rPr>
                <w:sz w:val="18"/>
                <w:szCs w:val="18"/>
              </w:rPr>
              <w:t>, ZIT, OSI*</w:t>
            </w:r>
          </w:p>
        </w:tc>
      </w:tr>
      <w:tr w:rsidR="00266261" w:rsidRPr="00EB1427" w14:paraId="4ECD99E3" w14:textId="7D0FB7E1" w:rsidTr="00734085">
        <w:tc>
          <w:tcPr>
            <w:tcW w:w="6237" w:type="dxa"/>
            <w:tcBorders>
              <w:top w:val="single" w:sz="2" w:space="0" w:color="F6BB00"/>
              <w:bottom w:val="single" w:sz="2" w:space="0" w:color="F6BB00"/>
            </w:tcBorders>
            <w:vAlign w:val="center"/>
          </w:tcPr>
          <w:p w14:paraId="47CF8227" w14:textId="29FE18AA" w:rsidR="00266261" w:rsidRDefault="00266261" w:rsidP="001A1B92">
            <w:pPr>
              <w:spacing w:after="0" w:line="240" w:lineRule="auto"/>
              <w:ind w:left="601"/>
              <w:jc w:val="left"/>
              <w:rPr>
                <w:sz w:val="18"/>
                <w:szCs w:val="18"/>
              </w:rPr>
            </w:pPr>
            <w:r>
              <w:rPr>
                <w:sz w:val="18"/>
                <w:szCs w:val="18"/>
              </w:rPr>
              <w:t>Metropolia Poznańska</w:t>
            </w:r>
          </w:p>
        </w:tc>
        <w:tc>
          <w:tcPr>
            <w:tcW w:w="1672" w:type="dxa"/>
            <w:gridSpan w:val="3"/>
            <w:tcBorders>
              <w:top w:val="single" w:sz="2" w:space="0" w:color="F6BB00"/>
              <w:bottom w:val="single" w:sz="2" w:space="0" w:color="F6BB00"/>
            </w:tcBorders>
            <w:vAlign w:val="center"/>
          </w:tcPr>
          <w:p w14:paraId="2DCA8E9B" w14:textId="58A1D491" w:rsidR="00266261" w:rsidRDefault="00266261" w:rsidP="00266261">
            <w:pPr>
              <w:spacing w:after="0" w:line="240" w:lineRule="auto"/>
              <w:jc w:val="center"/>
              <w:rPr>
                <w:b/>
                <w:color w:val="FF0000"/>
                <w:sz w:val="18"/>
                <w:szCs w:val="18"/>
              </w:rPr>
            </w:pPr>
            <w:r w:rsidRPr="009311EE">
              <w:rPr>
                <w:b/>
                <w:color w:val="00B050"/>
                <w:szCs w:val="22"/>
              </w:rPr>
              <w:t>↓</w:t>
            </w:r>
            <w:r w:rsidR="00747E10" w:rsidRPr="00E37F67">
              <w:rPr>
                <w:b/>
                <w:color w:val="00B050"/>
                <w:sz w:val="18"/>
                <w:szCs w:val="22"/>
              </w:rPr>
              <w:t>39,9</w:t>
            </w:r>
          </w:p>
        </w:tc>
        <w:tc>
          <w:tcPr>
            <w:tcW w:w="1023" w:type="dxa"/>
            <w:tcBorders>
              <w:top w:val="nil"/>
              <w:bottom w:val="single" w:sz="2" w:space="0" w:color="F6BB00"/>
              <w:right w:val="nil"/>
            </w:tcBorders>
            <w:shd w:val="clear" w:color="auto" w:fill="auto"/>
            <w:vAlign w:val="bottom"/>
          </w:tcPr>
          <w:p w14:paraId="5F0E26F3" w14:textId="08C3BFCD" w:rsidR="00266261" w:rsidRPr="00E37F67" w:rsidRDefault="00266261" w:rsidP="00266261">
            <w:pPr>
              <w:spacing w:after="0" w:line="240" w:lineRule="auto"/>
              <w:jc w:val="center"/>
              <w:rPr>
                <w:b/>
                <w:color w:val="00B050"/>
                <w:sz w:val="18"/>
                <w:szCs w:val="18"/>
              </w:rPr>
            </w:pPr>
          </w:p>
        </w:tc>
      </w:tr>
      <w:tr w:rsidR="00266261" w:rsidRPr="00EB1427" w14:paraId="4F34F1E7" w14:textId="7DAD1E2C" w:rsidTr="00734085">
        <w:tc>
          <w:tcPr>
            <w:tcW w:w="6237" w:type="dxa"/>
            <w:tcBorders>
              <w:top w:val="single" w:sz="2" w:space="0" w:color="F6BB00"/>
              <w:bottom w:val="single" w:sz="2" w:space="0" w:color="F6BB00"/>
            </w:tcBorders>
            <w:vAlign w:val="center"/>
          </w:tcPr>
          <w:p w14:paraId="510A2814" w14:textId="2C69A53D" w:rsidR="00266261" w:rsidRDefault="00266261" w:rsidP="001A1B92">
            <w:pPr>
              <w:spacing w:after="0" w:line="240" w:lineRule="auto"/>
              <w:ind w:left="601"/>
              <w:jc w:val="left"/>
              <w:rPr>
                <w:sz w:val="18"/>
                <w:szCs w:val="18"/>
              </w:rPr>
            </w:pPr>
            <w:r w:rsidRPr="007A1F76">
              <w:rPr>
                <w:sz w:val="18"/>
                <w:szCs w:val="18"/>
              </w:rPr>
              <w:t>Ośrodek r</w:t>
            </w:r>
            <w:r>
              <w:rPr>
                <w:sz w:val="18"/>
                <w:szCs w:val="18"/>
              </w:rPr>
              <w:t>egionalny Kalisz - Ostrów Wlkp.</w:t>
            </w:r>
          </w:p>
        </w:tc>
        <w:tc>
          <w:tcPr>
            <w:tcW w:w="1672" w:type="dxa"/>
            <w:gridSpan w:val="3"/>
            <w:tcBorders>
              <w:top w:val="single" w:sz="2" w:space="0" w:color="F6BB00"/>
              <w:bottom w:val="single" w:sz="2" w:space="0" w:color="F6BB00"/>
            </w:tcBorders>
            <w:vAlign w:val="center"/>
          </w:tcPr>
          <w:p w14:paraId="642A8B75" w14:textId="0A909EDB" w:rsidR="00266261" w:rsidRDefault="00266261" w:rsidP="00266261">
            <w:pPr>
              <w:spacing w:after="0" w:line="240" w:lineRule="auto"/>
              <w:jc w:val="center"/>
              <w:rPr>
                <w:b/>
                <w:color w:val="FF0000"/>
                <w:sz w:val="18"/>
                <w:szCs w:val="18"/>
              </w:rPr>
            </w:pPr>
            <w:r w:rsidRPr="009311EE">
              <w:rPr>
                <w:b/>
                <w:color w:val="00B050"/>
                <w:szCs w:val="22"/>
              </w:rPr>
              <w:t>↓</w:t>
            </w:r>
            <w:r w:rsidR="00747E10" w:rsidRPr="00E37F67">
              <w:rPr>
                <w:b/>
                <w:color w:val="00B050"/>
                <w:sz w:val="18"/>
                <w:szCs w:val="22"/>
              </w:rPr>
              <w:t>35,2</w:t>
            </w:r>
          </w:p>
        </w:tc>
        <w:tc>
          <w:tcPr>
            <w:tcW w:w="1023" w:type="dxa"/>
            <w:tcBorders>
              <w:top w:val="single" w:sz="2" w:space="0" w:color="F6BB00"/>
              <w:bottom w:val="single" w:sz="2" w:space="0" w:color="F6BB00"/>
              <w:right w:val="nil"/>
            </w:tcBorders>
            <w:shd w:val="clear" w:color="auto" w:fill="auto"/>
            <w:vAlign w:val="bottom"/>
          </w:tcPr>
          <w:p w14:paraId="756B896C" w14:textId="58BDF5EE" w:rsidR="00266261" w:rsidRPr="00E37F67" w:rsidRDefault="00266261" w:rsidP="00266261">
            <w:pPr>
              <w:spacing w:after="0" w:line="240" w:lineRule="auto"/>
              <w:jc w:val="center"/>
              <w:rPr>
                <w:b/>
                <w:color w:val="00B050"/>
                <w:sz w:val="18"/>
                <w:szCs w:val="18"/>
              </w:rPr>
            </w:pPr>
          </w:p>
        </w:tc>
      </w:tr>
      <w:tr w:rsidR="00266261" w:rsidRPr="00EB1427" w14:paraId="7B39E055" w14:textId="5EA1CB78" w:rsidTr="00734085">
        <w:tc>
          <w:tcPr>
            <w:tcW w:w="6237" w:type="dxa"/>
            <w:tcBorders>
              <w:top w:val="single" w:sz="2" w:space="0" w:color="F6BB00"/>
              <w:bottom w:val="single" w:sz="2" w:space="0" w:color="F6BB00"/>
            </w:tcBorders>
            <w:vAlign w:val="center"/>
          </w:tcPr>
          <w:p w14:paraId="3B5919A2" w14:textId="1E288449" w:rsidR="00266261" w:rsidRDefault="00266261" w:rsidP="001A1B92">
            <w:pPr>
              <w:spacing w:after="0" w:line="240" w:lineRule="auto"/>
              <w:ind w:left="601"/>
              <w:jc w:val="left"/>
              <w:rPr>
                <w:sz w:val="18"/>
                <w:szCs w:val="18"/>
              </w:rPr>
            </w:pPr>
            <w:r>
              <w:rPr>
                <w:sz w:val="18"/>
                <w:szCs w:val="18"/>
              </w:rPr>
              <w:t>Ośrodek subregionalny Gniezno</w:t>
            </w:r>
          </w:p>
        </w:tc>
        <w:tc>
          <w:tcPr>
            <w:tcW w:w="1672" w:type="dxa"/>
            <w:gridSpan w:val="3"/>
            <w:tcBorders>
              <w:top w:val="single" w:sz="2" w:space="0" w:color="F6BB00"/>
              <w:bottom w:val="single" w:sz="2" w:space="0" w:color="F6BB00"/>
            </w:tcBorders>
            <w:vAlign w:val="center"/>
          </w:tcPr>
          <w:p w14:paraId="16CE164A" w14:textId="557F78F9" w:rsidR="00266261" w:rsidRDefault="00266261" w:rsidP="00266261">
            <w:pPr>
              <w:spacing w:after="0" w:line="240" w:lineRule="auto"/>
              <w:jc w:val="center"/>
              <w:rPr>
                <w:b/>
                <w:color w:val="FF0000"/>
                <w:sz w:val="18"/>
                <w:szCs w:val="18"/>
              </w:rPr>
            </w:pPr>
            <w:r w:rsidRPr="009311EE">
              <w:rPr>
                <w:b/>
                <w:color w:val="00B050"/>
                <w:szCs w:val="22"/>
              </w:rPr>
              <w:t>↓</w:t>
            </w:r>
            <w:r w:rsidR="00747E10" w:rsidRPr="00E37F67">
              <w:rPr>
                <w:b/>
                <w:color w:val="00B050"/>
                <w:sz w:val="18"/>
                <w:szCs w:val="22"/>
              </w:rPr>
              <w:t>42,0</w:t>
            </w:r>
          </w:p>
        </w:tc>
        <w:tc>
          <w:tcPr>
            <w:tcW w:w="1023" w:type="dxa"/>
            <w:tcBorders>
              <w:top w:val="single" w:sz="2" w:space="0" w:color="F6BB00"/>
              <w:bottom w:val="single" w:sz="2" w:space="0" w:color="F6BB00"/>
              <w:right w:val="nil"/>
            </w:tcBorders>
            <w:shd w:val="clear" w:color="auto" w:fill="auto"/>
            <w:vAlign w:val="bottom"/>
          </w:tcPr>
          <w:p w14:paraId="0007A5AC" w14:textId="3D468595" w:rsidR="00266261" w:rsidRPr="00E37F67" w:rsidRDefault="00266261" w:rsidP="00266261">
            <w:pPr>
              <w:spacing w:after="0" w:line="240" w:lineRule="auto"/>
              <w:jc w:val="center"/>
              <w:rPr>
                <w:b/>
                <w:color w:val="00B050"/>
                <w:sz w:val="18"/>
                <w:szCs w:val="18"/>
              </w:rPr>
            </w:pPr>
          </w:p>
        </w:tc>
      </w:tr>
      <w:tr w:rsidR="00266261" w:rsidRPr="00EB1427" w14:paraId="1C9ECE96" w14:textId="55F63696" w:rsidTr="00734085">
        <w:tc>
          <w:tcPr>
            <w:tcW w:w="6237" w:type="dxa"/>
            <w:tcBorders>
              <w:top w:val="single" w:sz="2" w:space="0" w:color="F6BB00"/>
              <w:bottom w:val="single" w:sz="2" w:space="0" w:color="F6BB00"/>
            </w:tcBorders>
            <w:vAlign w:val="center"/>
          </w:tcPr>
          <w:p w14:paraId="7C17392D" w14:textId="5060DFBE" w:rsidR="00266261" w:rsidRDefault="00266261" w:rsidP="001A1B92">
            <w:pPr>
              <w:spacing w:after="0" w:line="240" w:lineRule="auto"/>
              <w:ind w:left="601"/>
              <w:jc w:val="left"/>
              <w:rPr>
                <w:sz w:val="18"/>
                <w:szCs w:val="18"/>
              </w:rPr>
            </w:pPr>
            <w:r w:rsidRPr="007A1F76">
              <w:rPr>
                <w:sz w:val="18"/>
                <w:szCs w:val="18"/>
              </w:rPr>
              <w:t xml:space="preserve">Ośrodek </w:t>
            </w:r>
            <w:r>
              <w:rPr>
                <w:sz w:val="18"/>
                <w:szCs w:val="18"/>
              </w:rPr>
              <w:t>sub</w:t>
            </w:r>
            <w:r w:rsidRPr="007A1F76">
              <w:rPr>
                <w:sz w:val="18"/>
                <w:szCs w:val="18"/>
              </w:rPr>
              <w:t>r</w:t>
            </w:r>
            <w:r>
              <w:rPr>
                <w:sz w:val="18"/>
                <w:szCs w:val="18"/>
              </w:rPr>
              <w:t>egionalny Konin</w:t>
            </w:r>
          </w:p>
        </w:tc>
        <w:tc>
          <w:tcPr>
            <w:tcW w:w="1672" w:type="dxa"/>
            <w:gridSpan w:val="3"/>
            <w:tcBorders>
              <w:top w:val="single" w:sz="2" w:space="0" w:color="F6BB00"/>
              <w:bottom w:val="single" w:sz="2" w:space="0" w:color="F6BB00"/>
            </w:tcBorders>
            <w:vAlign w:val="center"/>
          </w:tcPr>
          <w:p w14:paraId="6B1B97E3" w14:textId="34B84C6F" w:rsidR="00266261" w:rsidRDefault="00266261" w:rsidP="00266261">
            <w:pPr>
              <w:spacing w:after="0" w:line="240" w:lineRule="auto"/>
              <w:jc w:val="center"/>
              <w:rPr>
                <w:b/>
                <w:color w:val="FF0000"/>
                <w:sz w:val="18"/>
                <w:szCs w:val="18"/>
              </w:rPr>
            </w:pPr>
            <w:r w:rsidRPr="009311EE">
              <w:rPr>
                <w:b/>
                <w:color w:val="00B050"/>
                <w:szCs w:val="22"/>
              </w:rPr>
              <w:t>↓</w:t>
            </w:r>
            <w:r w:rsidR="00747E10" w:rsidRPr="00E37F67">
              <w:rPr>
                <w:b/>
                <w:color w:val="00B050"/>
                <w:sz w:val="18"/>
                <w:szCs w:val="22"/>
              </w:rPr>
              <w:t>53,4</w:t>
            </w:r>
          </w:p>
        </w:tc>
        <w:tc>
          <w:tcPr>
            <w:tcW w:w="1023" w:type="dxa"/>
            <w:tcBorders>
              <w:top w:val="single" w:sz="2" w:space="0" w:color="F6BB00"/>
              <w:bottom w:val="single" w:sz="2" w:space="0" w:color="F6BB00"/>
              <w:right w:val="nil"/>
            </w:tcBorders>
            <w:shd w:val="clear" w:color="auto" w:fill="auto"/>
            <w:vAlign w:val="bottom"/>
          </w:tcPr>
          <w:p w14:paraId="6198EFA2" w14:textId="6DCEE1C6" w:rsidR="00266261" w:rsidRPr="00E37F67" w:rsidRDefault="00266261" w:rsidP="00266261">
            <w:pPr>
              <w:spacing w:after="0" w:line="240" w:lineRule="auto"/>
              <w:jc w:val="center"/>
              <w:rPr>
                <w:b/>
                <w:color w:val="00B050"/>
                <w:sz w:val="18"/>
                <w:szCs w:val="18"/>
              </w:rPr>
            </w:pPr>
          </w:p>
        </w:tc>
      </w:tr>
      <w:tr w:rsidR="00266261" w:rsidRPr="00EB1427" w14:paraId="17D414BD" w14:textId="014D4D32" w:rsidTr="00734085">
        <w:tc>
          <w:tcPr>
            <w:tcW w:w="6237" w:type="dxa"/>
            <w:tcBorders>
              <w:top w:val="single" w:sz="2" w:space="0" w:color="F6BB00"/>
              <w:bottom w:val="single" w:sz="2" w:space="0" w:color="F6BB00"/>
            </w:tcBorders>
            <w:vAlign w:val="center"/>
          </w:tcPr>
          <w:p w14:paraId="139D0920" w14:textId="47431351" w:rsidR="00266261" w:rsidRDefault="00266261" w:rsidP="001A1B92">
            <w:pPr>
              <w:spacing w:after="0" w:line="240" w:lineRule="auto"/>
              <w:ind w:left="601"/>
              <w:jc w:val="left"/>
              <w:rPr>
                <w:sz w:val="18"/>
                <w:szCs w:val="18"/>
              </w:rPr>
            </w:pPr>
            <w:r>
              <w:rPr>
                <w:sz w:val="18"/>
                <w:szCs w:val="18"/>
              </w:rPr>
              <w:t>Ośrodek subregionalny Leszno</w:t>
            </w:r>
          </w:p>
        </w:tc>
        <w:tc>
          <w:tcPr>
            <w:tcW w:w="1672" w:type="dxa"/>
            <w:gridSpan w:val="3"/>
            <w:tcBorders>
              <w:top w:val="single" w:sz="2" w:space="0" w:color="F6BB00"/>
              <w:bottom w:val="single" w:sz="2" w:space="0" w:color="F6BB00"/>
            </w:tcBorders>
            <w:vAlign w:val="center"/>
          </w:tcPr>
          <w:p w14:paraId="2CC4E00D" w14:textId="601ACC60" w:rsidR="00266261" w:rsidRDefault="00266261" w:rsidP="00266261">
            <w:pPr>
              <w:spacing w:after="0" w:line="240" w:lineRule="auto"/>
              <w:jc w:val="center"/>
              <w:rPr>
                <w:b/>
                <w:color w:val="FF0000"/>
                <w:sz w:val="18"/>
                <w:szCs w:val="18"/>
              </w:rPr>
            </w:pPr>
            <w:r w:rsidRPr="009311EE">
              <w:rPr>
                <w:b/>
                <w:color w:val="00B050"/>
                <w:szCs w:val="22"/>
              </w:rPr>
              <w:t>↓</w:t>
            </w:r>
            <w:r w:rsidR="00747E10" w:rsidRPr="00E37F67">
              <w:rPr>
                <w:b/>
                <w:color w:val="00B050"/>
                <w:sz w:val="18"/>
                <w:szCs w:val="22"/>
              </w:rPr>
              <w:t>46,6</w:t>
            </w:r>
          </w:p>
        </w:tc>
        <w:tc>
          <w:tcPr>
            <w:tcW w:w="1023" w:type="dxa"/>
            <w:tcBorders>
              <w:top w:val="single" w:sz="2" w:space="0" w:color="F6BB00"/>
              <w:bottom w:val="single" w:sz="2" w:space="0" w:color="F6BB00"/>
              <w:right w:val="nil"/>
            </w:tcBorders>
            <w:shd w:val="clear" w:color="auto" w:fill="auto"/>
            <w:vAlign w:val="bottom"/>
          </w:tcPr>
          <w:p w14:paraId="0D971716" w14:textId="2D458C0E" w:rsidR="00266261" w:rsidRPr="00E37F67" w:rsidRDefault="00266261" w:rsidP="00266261">
            <w:pPr>
              <w:spacing w:after="0" w:line="240" w:lineRule="auto"/>
              <w:jc w:val="center"/>
              <w:rPr>
                <w:b/>
                <w:color w:val="00B050"/>
                <w:sz w:val="18"/>
                <w:szCs w:val="18"/>
              </w:rPr>
            </w:pPr>
          </w:p>
        </w:tc>
      </w:tr>
      <w:tr w:rsidR="00266261" w:rsidRPr="00EB1427" w14:paraId="69A5316D" w14:textId="62ACF314" w:rsidTr="00734085">
        <w:tc>
          <w:tcPr>
            <w:tcW w:w="6237" w:type="dxa"/>
            <w:tcBorders>
              <w:top w:val="single" w:sz="2" w:space="0" w:color="F6BB00"/>
              <w:bottom w:val="single" w:sz="2" w:space="0" w:color="F6BB00"/>
            </w:tcBorders>
            <w:vAlign w:val="center"/>
          </w:tcPr>
          <w:p w14:paraId="50E5E190" w14:textId="2687E143" w:rsidR="00266261" w:rsidRDefault="00266261" w:rsidP="001A1B92">
            <w:pPr>
              <w:spacing w:after="0" w:line="240" w:lineRule="auto"/>
              <w:ind w:left="601"/>
              <w:jc w:val="left"/>
              <w:rPr>
                <w:sz w:val="18"/>
                <w:szCs w:val="18"/>
              </w:rPr>
            </w:pPr>
            <w:r w:rsidRPr="007A1F76">
              <w:rPr>
                <w:sz w:val="18"/>
                <w:szCs w:val="18"/>
              </w:rPr>
              <w:t xml:space="preserve">Ośrodek </w:t>
            </w:r>
            <w:r>
              <w:rPr>
                <w:sz w:val="18"/>
                <w:szCs w:val="18"/>
              </w:rPr>
              <w:t>sub</w:t>
            </w:r>
            <w:r w:rsidRPr="007A1F76">
              <w:rPr>
                <w:sz w:val="18"/>
                <w:szCs w:val="18"/>
              </w:rPr>
              <w:t>regionalny Piła</w:t>
            </w:r>
          </w:p>
        </w:tc>
        <w:tc>
          <w:tcPr>
            <w:tcW w:w="1672" w:type="dxa"/>
            <w:gridSpan w:val="3"/>
            <w:tcBorders>
              <w:top w:val="single" w:sz="2" w:space="0" w:color="F6BB00"/>
              <w:bottom w:val="single" w:sz="2" w:space="0" w:color="F6BB00"/>
            </w:tcBorders>
            <w:vAlign w:val="center"/>
          </w:tcPr>
          <w:p w14:paraId="0513F4DB" w14:textId="216DF2DC" w:rsidR="00266261" w:rsidRDefault="00266261" w:rsidP="00266261">
            <w:pPr>
              <w:spacing w:after="0" w:line="240" w:lineRule="auto"/>
              <w:jc w:val="center"/>
              <w:rPr>
                <w:b/>
                <w:color w:val="FF0000"/>
                <w:sz w:val="18"/>
                <w:szCs w:val="18"/>
              </w:rPr>
            </w:pPr>
            <w:r w:rsidRPr="009311EE">
              <w:rPr>
                <w:b/>
                <w:color w:val="00B050"/>
                <w:szCs w:val="22"/>
              </w:rPr>
              <w:t>↓</w:t>
            </w:r>
            <w:r w:rsidR="00747E10" w:rsidRPr="00E37F67">
              <w:rPr>
                <w:b/>
                <w:color w:val="00B050"/>
                <w:sz w:val="18"/>
                <w:szCs w:val="22"/>
              </w:rPr>
              <w:t>37,4</w:t>
            </w:r>
          </w:p>
        </w:tc>
        <w:tc>
          <w:tcPr>
            <w:tcW w:w="1023" w:type="dxa"/>
            <w:tcBorders>
              <w:top w:val="single" w:sz="2" w:space="0" w:color="F6BB00"/>
              <w:bottom w:val="single" w:sz="2" w:space="0" w:color="F6BB00"/>
              <w:right w:val="nil"/>
            </w:tcBorders>
            <w:shd w:val="clear" w:color="auto" w:fill="auto"/>
            <w:vAlign w:val="bottom"/>
          </w:tcPr>
          <w:p w14:paraId="1FF62C9F" w14:textId="58ED449C" w:rsidR="00266261" w:rsidRPr="00E37F67" w:rsidRDefault="00266261" w:rsidP="00266261">
            <w:pPr>
              <w:spacing w:after="0" w:line="240" w:lineRule="auto"/>
              <w:jc w:val="center"/>
              <w:rPr>
                <w:b/>
                <w:color w:val="00B050"/>
                <w:sz w:val="18"/>
                <w:szCs w:val="18"/>
              </w:rPr>
            </w:pPr>
          </w:p>
        </w:tc>
      </w:tr>
      <w:tr w:rsidR="00266261" w:rsidRPr="00EB1427" w14:paraId="52B1199F" w14:textId="68ECB3D6" w:rsidTr="00734085">
        <w:tc>
          <w:tcPr>
            <w:tcW w:w="6237" w:type="dxa"/>
            <w:tcBorders>
              <w:top w:val="single" w:sz="2" w:space="0" w:color="F6BB00"/>
              <w:bottom w:val="single" w:sz="2" w:space="0" w:color="F6BB00"/>
            </w:tcBorders>
            <w:vAlign w:val="center"/>
          </w:tcPr>
          <w:p w14:paraId="411DE88E" w14:textId="44091EAA" w:rsidR="00266261" w:rsidRDefault="00266261" w:rsidP="001A1B92">
            <w:pPr>
              <w:spacing w:after="0" w:line="240" w:lineRule="auto"/>
              <w:ind w:left="601"/>
              <w:jc w:val="left"/>
              <w:rPr>
                <w:sz w:val="18"/>
                <w:szCs w:val="18"/>
              </w:rPr>
            </w:pPr>
            <w:r>
              <w:rPr>
                <w:sz w:val="18"/>
                <w:szCs w:val="18"/>
              </w:rPr>
              <w:t>ZIT Poznań</w:t>
            </w:r>
          </w:p>
        </w:tc>
        <w:tc>
          <w:tcPr>
            <w:tcW w:w="1672" w:type="dxa"/>
            <w:gridSpan w:val="3"/>
            <w:tcBorders>
              <w:top w:val="single" w:sz="2" w:space="0" w:color="F6BB00"/>
              <w:bottom w:val="single" w:sz="2" w:space="0" w:color="F6BB00"/>
            </w:tcBorders>
            <w:vAlign w:val="center"/>
          </w:tcPr>
          <w:p w14:paraId="67D0DCBC" w14:textId="6C4F2C6B" w:rsidR="00266261" w:rsidRDefault="00266261" w:rsidP="00266261">
            <w:pPr>
              <w:spacing w:after="0" w:line="240" w:lineRule="auto"/>
              <w:jc w:val="center"/>
              <w:rPr>
                <w:b/>
                <w:color w:val="FF0000"/>
                <w:sz w:val="18"/>
                <w:szCs w:val="18"/>
              </w:rPr>
            </w:pPr>
            <w:r w:rsidRPr="009311EE">
              <w:rPr>
                <w:b/>
                <w:color w:val="00B050"/>
                <w:szCs w:val="22"/>
              </w:rPr>
              <w:t>↓</w:t>
            </w:r>
            <w:r w:rsidR="00747E10" w:rsidRPr="00E37F67">
              <w:rPr>
                <w:b/>
                <w:color w:val="00B050"/>
                <w:sz w:val="18"/>
                <w:szCs w:val="22"/>
              </w:rPr>
              <w:t>37,9</w:t>
            </w:r>
          </w:p>
        </w:tc>
        <w:tc>
          <w:tcPr>
            <w:tcW w:w="1023" w:type="dxa"/>
            <w:tcBorders>
              <w:top w:val="single" w:sz="2" w:space="0" w:color="F6BB00"/>
              <w:bottom w:val="single" w:sz="2" w:space="0" w:color="F6BB00"/>
              <w:right w:val="nil"/>
            </w:tcBorders>
            <w:shd w:val="clear" w:color="auto" w:fill="auto"/>
            <w:vAlign w:val="bottom"/>
          </w:tcPr>
          <w:p w14:paraId="5BBC041D" w14:textId="57A4E76D" w:rsidR="00266261" w:rsidRPr="00E37F67" w:rsidRDefault="00266261" w:rsidP="00266261">
            <w:pPr>
              <w:spacing w:after="0" w:line="240" w:lineRule="auto"/>
              <w:jc w:val="center"/>
              <w:rPr>
                <w:b/>
                <w:color w:val="00B050"/>
                <w:sz w:val="18"/>
                <w:szCs w:val="18"/>
              </w:rPr>
            </w:pPr>
          </w:p>
        </w:tc>
      </w:tr>
      <w:tr w:rsidR="00266261" w:rsidRPr="00EB1427" w14:paraId="5CE53564" w14:textId="70C9937F" w:rsidTr="00734085">
        <w:tc>
          <w:tcPr>
            <w:tcW w:w="6237" w:type="dxa"/>
            <w:tcBorders>
              <w:top w:val="single" w:sz="2" w:space="0" w:color="F6BB00"/>
              <w:bottom w:val="single" w:sz="2" w:space="0" w:color="F6BB00"/>
            </w:tcBorders>
            <w:vAlign w:val="center"/>
          </w:tcPr>
          <w:p w14:paraId="6EF1D1C0" w14:textId="18EDAD7E" w:rsidR="00266261" w:rsidRDefault="00266261" w:rsidP="001A1B92">
            <w:pPr>
              <w:spacing w:after="0" w:line="240" w:lineRule="auto"/>
              <w:ind w:left="601"/>
              <w:jc w:val="left"/>
              <w:rPr>
                <w:sz w:val="18"/>
                <w:szCs w:val="18"/>
              </w:rPr>
            </w:pPr>
            <w:r w:rsidRPr="007A1F76">
              <w:rPr>
                <w:sz w:val="18"/>
                <w:szCs w:val="18"/>
              </w:rPr>
              <w:t xml:space="preserve">ZIT </w:t>
            </w:r>
            <w:r>
              <w:rPr>
                <w:sz w:val="18"/>
                <w:szCs w:val="18"/>
              </w:rPr>
              <w:t>Aglomeracji Kalisko-Ostrowskiej</w:t>
            </w:r>
          </w:p>
        </w:tc>
        <w:tc>
          <w:tcPr>
            <w:tcW w:w="1672" w:type="dxa"/>
            <w:gridSpan w:val="3"/>
            <w:tcBorders>
              <w:top w:val="single" w:sz="2" w:space="0" w:color="F6BB00"/>
              <w:bottom w:val="single" w:sz="2" w:space="0" w:color="F6BB00"/>
            </w:tcBorders>
            <w:vAlign w:val="center"/>
          </w:tcPr>
          <w:p w14:paraId="398FCE2C" w14:textId="505789BD" w:rsidR="00266261" w:rsidRDefault="00266261" w:rsidP="00266261">
            <w:pPr>
              <w:spacing w:after="0" w:line="240" w:lineRule="auto"/>
              <w:jc w:val="center"/>
              <w:rPr>
                <w:b/>
                <w:color w:val="FF0000"/>
                <w:sz w:val="18"/>
                <w:szCs w:val="18"/>
              </w:rPr>
            </w:pPr>
            <w:r w:rsidRPr="009311EE">
              <w:rPr>
                <w:b/>
                <w:color w:val="00B050"/>
                <w:szCs w:val="22"/>
              </w:rPr>
              <w:t>↓</w:t>
            </w:r>
            <w:r w:rsidR="00747E10" w:rsidRPr="00E37F67">
              <w:rPr>
                <w:b/>
                <w:color w:val="00B050"/>
                <w:sz w:val="18"/>
                <w:szCs w:val="22"/>
              </w:rPr>
              <w:t>33,9</w:t>
            </w:r>
          </w:p>
        </w:tc>
        <w:tc>
          <w:tcPr>
            <w:tcW w:w="1023" w:type="dxa"/>
            <w:tcBorders>
              <w:top w:val="single" w:sz="2" w:space="0" w:color="F6BB00"/>
              <w:bottom w:val="single" w:sz="2" w:space="0" w:color="F6BB00"/>
              <w:right w:val="nil"/>
            </w:tcBorders>
            <w:shd w:val="clear" w:color="auto" w:fill="auto"/>
            <w:vAlign w:val="bottom"/>
          </w:tcPr>
          <w:p w14:paraId="002C623B" w14:textId="2C86F451" w:rsidR="00266261" w:rsidRPr="00E37F67" w:rsidRDefault="00266261" w:rsidP="00266261">
            <w:pPr>
              <w:spacing w:after="0" w:line="240" w:lineRule="auto"/>
              <w:jc w:val="center"/>
              <w:rPr>
                <w:b/>
                <w:color w:val="00B050"/>
                <w:sz w:val="18"/>
                <w:szCs w:val="18"/>
              </w:rPr>
            </w:pPr>
          </w:p>
        </w:tc>
      </w:tr>
      <w:tr w:rsidR="00266261" w:rsidRPr="00EB1427" w14:paraId="624209CC" w14:textId="16F5A933" w:rsidTr="00734085">
        <w:tc>
          <w:tcPr>
            <w:tcW w:w="6237" w:type="dxa"/>
            <w:tcBorders>
              <w:top w:val="single" w:sz="2" w:space="0" w:color="F6BB00"/>
              <w:bottom w:val="single" w:sz="2" w:space="0" w:color="F6BB00"/>
            </w:tcBorders>
            <w:vAlign w:val="center"/>
          </w:tcPr>
          <w:p w14:paraId="4D5903A1" w14:textId="30F0E7B8" w:rsidR="00266261" w:rsidRDefault="00266261" w:rsidP="001A1B92">
            <w:pPr>
              <w:spacing w:after="0" w:line="240" w:lineRule="auto"/>
              <w:ind w:left="601"/>
              <w:jc w:val="left"/>
              <w:rPr>
                <w:sz w:val="18"/>
                <w:szCs w:val="18"/>
              </w:rPr>
            </w:pPr>
            <w:r>
              <w:rPr>
                <w:sz w:val="18"/>
                <w:szCs w:val="18"/>
              </w:rPr>
              <w:t>OSI Gniezno</w:t>
            </w:r>
          </w:p>
        </w:tc>
        <w:tc>
          <w:tcPr>
            <w:tcW w:w="1672" w:type="dxa"/>
            <w:gridSpan w:val="3"/>
            <w:tcBorders>
              <w:top w:val="single" w:sz="2" w:space="0" w:color="F6BB00"/>
              <w:bottom w:val="single" w:sz="2" w:space="0" w:color="F6BB00"/>
            </w:tcBorders>
            <w:vAlign w:val="center"/>
          </w:tcPr>
          <w:p w14:paraId="68CB81DE" w14:textId="076F11C0" w:rsidR="00266261" w:rsidRDefault="00266261" w:rsidP="00266261">
            <w:pPr>
              <w:spacing w:after="0" w:line="240" w:lineRule="auto"/>
              <w:jc w:val="center"/>
              <w:rPr>
                <w:b/>
                <w:color w:val="FF0000"/>
                <w:sz w:val="18"/>
                <w:szCs w:val="18"/>
              </w:rPr>
            </w:pPr>
            <w:r w:rsidRPr="009311EE">
              <w:rPr>
                <w:b/>
                <w:color w:val="00B050"/>
                <w:szCs w:val="22"/>
              </w:rPr>
              <w:t>↓</w:t>
            </w:r>
            <w:r w:rsidR="00747E10" w:rsidRPr="00E37F67">
              <w:rPr>
                <w:b/>
                <w:color w:val="00B050"/>
                <w:sz w:val="18"/>
                <w:szCs w:val="22"/>
              </w:rPr>
              <w:t>41,4</w:t>
            </w:r>
          </w:p>
        </w:tc>
        <w:tc>
          <w:tcPr>
            <w:tcW w:w="1023" w:type="dxa"/>
            <w:tcBorders>
              <w:top w:val="single" w:sz="2" w:space="0" w:color="F6BB00"/>
              <w:bottom w:val="single" w:sz="2" w:space="0" w:color="F6BB00"/>
              <w:right w:val="nil"/>
            </w:tcBorders>
            <w:shd w:val="clear" w:color="auto" w:fill="auto"/>
            <w:vAlign w:val="bottom"/>
          </w:tcPr>
          <w:p w14:paraId="6968C312" w14:textId="68EDD772" w:rsidR="00266261" w:rsidRPr="00E37F67" w:rsidRDefault="00266261" w:rsidP="00266261">
            <w:pPr>
              <w:spacing w:after="0" w:line="240" w:lineRule="auto"/>
              <w:jc w:val="center"/>
              <w:rPr>
                <w:b/>
                <w:color w:val="00B050"/>
                <w:sz w:val="18"/>
                <w:szCs w:val="18"/>
              </w:rPr>
            </w:pPr>
          </w:p>
        </w:tc>
      </w:tr>
      <w:tr w:rsidR="00266261" w:rsidRPr="00EB1427" w14:paraId="707C5F37" w14:textId="36BE3D9E" w:rsidTr="00734085">
        <w:tc>
          <w:tcPr>
            <w:tcW w:w="6237" w:type="dxa"/>
            <w:tcBorders>
              <w:top w:val="single" w:sz="2" w:space="0" w:color="F6BB00"/>
              <w:bottom w:val="single" w:sz="2" w:space="0" w:color="F6BB00"/>
            </w:tcBorders>
            <w:vAlign w:val="center"/>
          </w:tcPr>
          <w:p w14:paraId="0A2765FA" w14:textId="4495C4D1" w:rsidR="00266261" w:rsidRDefault="00266261" w:rsidP="001A1B92">
            <w:pPr>
              <w:spacing w:after="0" w:line="240" w:lineRule="auto"/>
              <w:ind w:left="601"/>
              <w:jc w:val="left"/>
              <w:rPr>
                <w:sz w:val="18"/>
                <w:szCs w:val="18"/>
              </w:rPr>
            </w:pPr>
            <w:r>
              <w:rPr>
                <w:sz w:val="18"/>
                <w:szCs w:val="18"/>
              </w:rPr>
              <w:t>OSI Konin</w:t>
            </w:r>
          </w:p>
        </w:tc>
        <w:tc>
          <w:tcPr>
            <w:tcW w:w="1672" w:type="dxa"/>
            <w:gridSpan w:val="3"/>
            <w:tcBorders>
              <w:top w:val="single" w:sz="2" w:space="0" w:color="F6BB00"/>
              <w:bottom w:val="single" w:sz="2" w:space="0" w:color="F6BB00"/>
            </w:tcBorders>
            <w:vAlign w:val="center"/>
          </w:tcPr>
          <w:p w14:paraId="2638EA2C" w14:textId="3DBE3566" w:rsidR="00266261" w:rsidRDefault="00266261" w:rsidP="00266261">
            <w:pPr>
              <w:spacing w:after="0" w:line="240" w:lineRule="auto"/>
              <w:jc w:val="center"/>
              <w:rPr>
                <w:b/>
                <w:color w:val="FF0000"/>
                <w:sz w:val="18"/>
                <w:szCs w:val="18"/>
              </w:rPr>
            </w:pPr>
            <w:r w:rsidRPr="009311EE">
              <w:rPr>
                <w:b/>
                <w:color w:val="00B050"/>
                <w:szCs w:val="22"/>
              </w:rPr>
              <w:t>↓</w:t>
            </w:r>
            <w:r w:rsidR="00747E10" w:rsidRPr="00E37F67">
              <w:rPr>
                <w:b/>
                <w:color w:val="00B050"/>
                <w:sz w:val="18"/>
                <w:szCs w:val="22"/>
              </w:rPr>
              <w:t>57,0</w:t>
            </w:r>
          </w:p>
        </w:tc>
        <w:tc>
          <w:tcPr>
            <w:tcW w:w="1023" w:type="dxa"/>
            <w:tcBorders>
              <w:top w:val="single" w:sz="2" w:space="0" w:color="F6BB00"/>
              <w:bottom w:val="single" w:sz="2" w:space="0" w:color="F6BB00"/>
              <w:right w:val="nil"/>
            </w:tcBorders>
            <w:shd w:val="clear" w:color="auto" w:fill="auto"/>
            <w:vAlign w:val="bottom"/>
          </w:tcPr>
          <w:p w14:paraId="3B4EAB11" w14:textId="76FF5DCB" w:rsidR="00266261" w:rsidRPr="00E37F67" w:rsidRDefault="00266261" w:rsidP="00266261">
            <w:pPr>
              <w:spacing w:after="0" w:line="240" w:lineRule="auto"/>
              <w:jc w:val="center"/>
              <w:rPr>
                <w:b/>
                <w:color w:val="00B050"/>
                <w:sz w:val="18"/>
                <w:szCs w:val="18"/>
              </w:rPr>
            </w:pPr>
          </w:p>
        </w:tc>
      </w:tr>
      <w:tr w:rsidR="00266261" w:rsidRPr="00EB1427" w14:paraId="4BBEA1DF" w14:textId="0A7EC9FA" w:rsidTr="00734085">
        <w:tc>
          <w:tcPr>
            <w:tcW w:w="6237" w:type="dxa"/>
            <w:tcBorders>
              <w:top w:val="single" w:sz="2" w:space="0" w:color="F6BB00"/>
              <w:bottom w:val="single" w:sz="2" w:space="0" w:color="F6BB00"/>
            </w:tcBorders>
            <w:vAlign w:val="center"/>
          </w:tcPr>
          <w:p w14:paraId="5D942323" w14:textId="373434EA" w:rsidR="00266261" w:rsidRDefault="00266261" w:rsidP="001A1B92">
            <w:pPr>
              <w:spacing w:after="0" w:line="240" w:lineRule="auto"/>
              <w:ind w:left="601"/>
              <w:jc w:val="left"/>
              <w:rPr>
                <w:sz w:val="18"/>
                <w:szCs w:val="18"/>
              </w:rPr>
            </w:pPr>
            <w:r>
              <w:rPr>
                <w:sz w:val="18"/>
                <w:szCs w:val="18"/>
              </w:rPr>
              <w:t>OSI Leszno</w:t>
            </w:r>
          </w:p>
        </w:tc>
        <w:tc>
          <w:tcPr>
            <w:tcW w:w="1672" w:type="dxa"/>
            <w:gridSpan w:val="3"/>
            <w:tcBorders>
              <w:top w:val="single" w:sz="2" w:space="0" w:color="F6BB00"/>
              <w:bottom w:val="single" w:sz="2" w:space="0" w:color="F6BB00"/>
            </w:tcBorders>
            <w:vAlign w:val="center"/>
          </w:tcPr>
          <w:p w14:paraId="032C0B6A" w14:textId="027BF711" w:rsidR="00266261" w:rsidRDefault="00266261" w:rsidP="00266261">
            <w:pPr>
              <w:spacing w:after="0" w:line="240" w:lineRule="auto"/>
              <w:jc w:val="center"/>
              <w:rPr>
                <w:b/>
                <w:color w:val="FF0000"/>
                <w:sz w:val="18"/>
                <w:szCs w:val="18"/>
              </w:rPr>
            </w:pPr>
            <w:r w:rsidRPr="009311EE">
              <w:rPr>
                <w:b/>
                <w:color w:val="00B050"/>
                <w:szCs w:val="22"/>
              </w:rPr>
              <w:t>↓</w:t>
            </w:r>
            <w:r w:rsidR="00747E10" w:rsidRPr="00E37F67">
              <w:rPr>
                <w:b/>
                <w:color w:val="00B050"/>
                <w:sz w:val="18"/>
                <w:szCs w:val="22"/>
              </w:rPr>
              <w:t>44,5</w:t>
            </w:r>
          </w:p>
        </w:tc>
        <w:tc>
          <w:tcPr>
            <w:tcW w:w="1023" w:type="dxa"/>
            <w:tcBorders>
              <w:top w:val="single" w:sz="2" w:space="0" w:color="F6BB00"/>
              <w:bottom w:val="single" w:sz="2" w:space="0" w:color="F6BB00"/>
              <w:right w:val="nil"/>
            </w:tcBorders>
            <w:shd w:val="clear" w:color="auto" w:fill="auto"/>
            <w:vAlign w:val="bottom"/>
          </w:tcPr>
          <w:p w14:paraId="3D172422" w14:textId="1AB73BC0" w:rsidR="00266261" w:rsidRPr="00E37F67" w:rsidRDefault="00266261" w:rsidP="00266261">
            <w:pPr>
              <w:spacing w:after="0" w:line="240" w:lineRule="auto"/>
              <w:jc w:val="center"/>
              <w:rPr>
                <w:b/>
                <w:color w:val="00B050"/>
                <w:sz w:val="18"/>
                <w:szCs w:val="18"/>
              </w:rPr>
            </w:pPr>
          </w:p>
        </w:tc>
      </w:tr>
      <w:tr w:rsidR="00266261" w:rsidRPr="00EB1427" w14:paraId="6EFDFC13" w14:textId="34771727" w:rsidTr="00734085">
        <w:tc>
          <w:tcPr>
            <w:tcW w:w="6237" w:type="dxa"/>
            <w:tcBorders>
              <w:top w:val="single" w:sz="2" w:space="0" w:color="F6BB00"/>
              <w:bottom w:val="single" w:sz="2" w:space="0" w:color="F6BB00"/>
            </w:tcBorders>
            <w:vAlign w:val="center"/>
          </w:tcPr>
          <w:p w14:paraId="7BB69520" w14:textId="674E687B" w:rsidR="00266261" w:rsidRDefault="00266261" w:rsidP="001A1B92">
            <w:pPr>
              <w:spacing w:after="0" w:line="240" w:lineRule="auto"/>
              <w:ind w:left="601"/>
              <w:jc w:val="left"/>
              <w:rPr>
                <w:sz w:val="18"/>
                <w:szCs w:val="18"/>
              </w:rPr>
            </w:pPr>
            <w:r w:rsidRPr="007A1F76">
              <w:rPr>
                <w:sz w:val="18"/>
                <w:szCs w:val="18"/>
              </w:rPr>
              <w:t>OSI Piła</w:t>
            </w:r>
          </w:p>
        </w:tc>
        <w:tc>
          <w:tcPr>
            <w:tcW w:w="1672" w:type="dxa"/>
            <w:gridSpan w:val="3"/>
            <w:tcBorders>
              <w:top w:val="single" w:sz="2" w:space="0" w:color="F6BB00"/>
              <w:bottom w:val="single" w:sz="2" w:space="0" w:color="F6BB00"/>
            </w:tcBorders>
            <w:vAlign w:val="center"/>
          </w:tcPr>
          <w:p w14:paraId="7CC6BAEC" w14:textId="5938B1FA" w:rsidR="00266261" w:rsidRDefault="00266261" w:rsidP="00266261">
            <w:pPr>
              <w:spacing w:after="0" w:line="240" w:lineRule="auto"/>
              <w:jc w:val="center"/>
              <w:rPr>
                <w:b/>
                <w:color w:val="FF0000"/>
                <w:sz w:val="18"/>
                <w:szCs w:val="18"/>
              </w:rPr>
            </w:pPr>
            <w:r w:rsidRPr="009311EE">
              <w:rPr>
                <w:b/>
                <w:color w:val="00B050"/>
                <w:szCs w:val="22"/>
              </w:rPr>
              <w:t>↓</w:t>
            </w:r>
            <w:r w:rsidR="00747E10" w:rsidRPr="00E37F67">
              <w:rPr>
                <w:b/>
                <w:color w:val="00B050"/>
                <w:sz w:val="18"/>
                <w:szCs w:val="22"/>
              </w:rPr>
              <w:t>36,3</w:t>
            </w:r>
          </w:p>
        </w:tc>
        <w:tc>
          <w:tcPr>
            <w:tcW w:w="1023" w:type="dxa"/>
            <w:tcBorders>
              <w:top w:val="single" w:sz="2" w:space="0" w:color="F6BB00"/>
              <w:bottom w:val="single" w:sz="2" w:space="0" w:color="F6BB00"/>
              <w:right w:val="nil"/>
            </w:tcBorders>
            <w:shd w:val="clear" w:color="auto" w:fill="auto"/>
            <w:vAlign w:val="bottom"/>
          </w:tcPr>
          <w:p w14:paraId="57C008E3" w14:textId="54B25A22" w:rsidR="00266261" w:rsidRPr="00E37F67" w:rsidRDefault="00266261" w:rsidP="00266261">
            <w:pPr>
              <w:spacing w:after="0" w:line="240" w:lineRule="auto"/>
              <w:jc w:val="center"/>
              <w:rPr>
                <w:b/>
                <w:color w:val="00B050"/>
                <w:sz w:val="18"/>
                <w:szCs w:val="18"/>
              </w:rPr>
            </w:pPr>
          </w:p>
        </w:tc>
      </w:tr>
      <w:tr w:rsidR="00266261" w:rsidRPr="00EB1427" w14:paraId="10C40105" w14:textId="79B4B6BB" w:rsidTr="00734085">
        <w:tc>
          <w:tcPr>
            <w:tcW w:w="6237" w:type="dxa"/>
            <w:tcBorders>
              <w:top w:val="single" w:sz="2" w:space="0" w:color="F6BB00"/>
              <w:bottom w:val="single" w:sz="2" w:space="0" w:color="F6BB00"/>
            </w:tcBorders>
            <w:vAlign w:val="center"/>
          </w:tcPr>
          <w:p w14:paraId="06E6EBF6" w14:textId="0854F7D6" w:rsidR="00266261" w:rsidRPr="007A1F76" w:rsidRDefault="00266261" w:rsidP="001A1B92">
            <w:pPr>
              <w:spacing w:after="0" w:line="240" w:lineRule="auto"/>
              <w:ind w:left="601"/>
              <w:jc w:val="left"/>
              <w:rPr>
                <w:sz w:val="18"/>
                <w:szCs w:val="18"/>
              </w:rPr>
            </w:pPr>
            <w:r>
              <w:rPr>
                <w:sz w:val="18"/>
                <w:szCs w:val="18"/>
              </w:rPr>
              <w:t>Miasto Poznań</w:t>
            </w:r>
          </w:p>
        </w:tc>
        <w:tc>
          <w:tcPr>
            <w:tcW w:w="1672" w:type="dxa"/>
            <w:gridSpan w:val="3"/>
            <w:tcBorders>
              <w:top w:val="single" w:sz="2" w:space="0" w:color="F6BB00"/>
              <w:bottom w:val="single" w:sz="2" w:space="0" w:color="F6BB00"/>
            </w:tcBorders>
            <w:vAlign w:val="center"/>
          </w:tcPr>
          <w:p w14:paraId="63F6DE88" w14:textId="013572F1" w:rsidR="00266261" w:rsidRPr="009311EE" w:rsidRDefault="00266261" w:rsidP="00266261">
            <w:pPr>
              <w:spacing w:after="0" w:line="240" w:lineRule="auto"/>
              <w:jc w:val="center"/>
              <w:rPr>
                <w:b/>
                <w:color w:val="00B050"/>
                <w:szCs w:val="22"/>
              </w:rPr>
            </w:pPr>
            <w:r w:rsidRPr="009311EE">
              <w:rPr>
                <w:b/>
                <w:color w:val="00B050"/>
                <w:szCs w:val="22"/>
              </w:rPr>
              <w:t>↓</w:t>
            </w:r>
            <w:r w:rsidR="00747E10" w:rsidRPr="00E37F67">
              <w:rPr>
                <w:b/>
                <w:color w:val="00B050"/>
                <w:sz w:val="18"/>
                <w:szCs w:val="22"/>
              </w:rPr>
              <w:t>36,9</w:t>
            </w:r>
          </w:p>
        </w:tc>
        <w:tc>
          <w:tcPr>
            <w:tcW w:w="1023" w:type="dxa"/>
            <w:tcBorders>
              <w:top w:val="single" w:sz="2" w:space="0" w:color="F6BB00"/>
            </w:tcBorders>
            <w:vAlign w:val="center"/>
          </w:tcPr>
          <w:p w14:paraId="24D31B5F" w14:textId="5D57827A" w:rsidR="00266261" w:rsidRPr="00E37F67" w:rsidRDefault="00266261" w:rsidP="00266261">
            <w:pPr>
              <w:spacing w:after="0" w:line="240" w:lineRule="auto"/>
              <w:jc w:val="center"/>
              <w:rPr>
                <w:b/>
                <w:color w:val="00B050"/>
                <w:sz w:val="18"/>
                <w:szCs w:val="22"/>
              </w:rPr>
            </w:pPr>
          </w:p>
        </w:tc>
      </w:tr>
      <w:tr w:rsidR="00266261" w:rsidRPr="00EB1427" w14:paraId="6E4E03D0" w14:textId="77777777" w:rsidTr="00734085">
        <w:tc>
          <w:tcPr>
            <w:tcW w:w="8932" w:type="dxa"/>
            <w:gridSpan w:val="5"/>
            <w:tcBorders>
              <w:top w:val="single" w:sz="2" w:space="0" w:color="F6BB00"/>
              <w:bottom w:val="single" w:sz="2" w:space="0" w:color="F6BB00"/>
            </w:tcBorders>
            <w:shd w:val="clear" w:color="auto" w:fill="auto"/>
            <w:vAlign w:val="center"/>
          </w:tcPr>
          <w:p w14:paraId="2D4294AA" w14:textId="587766B8" w:rsidR="00266261" w:rsidRPr="00464A8E" w:rsidRDefault="00266261" w:rsidP="00266261">
            <w:pPr>
              <w:spacing w:after="0" w:line="240" w:lineRule="auto"/>
              <w:jc w:val="left"/>
              <w:rPr>
                <w:sz w:val="18"/>
                <w:szCs w:val="18"/>
              </w:rPr>
            </w:pPr>
            <w:r w:rsidRPr="00FF26C0">
              <w:rPr>
                <w:sz w:val="18"/>
                <w:szCs w:val="18"/>
              </w:rPr>
              <w:t>Podmioty gospodarki narodowej na 10 tys. mieszkańców w podziale na: Poznań, metropolia poznańska, ośrodek regionalny, ośrodki subregionalne</w:t>
            </w:r>
            <w:r>
              <w:rPr>
                <w:sz w:val="18"/>
                <w:szCs w:val="18"/>
              </w:rPr>
              <w:t>, ZIT, OSI*</w:t>
            </w:r>
          </w:p>
        </w:tc>
      </w:tr>
      <w:tr w:rsidR="00266261" w:rsidRPr="00EB1427" w14:paraId="410C8865" w14:textId="3A550F86" w:rsidTr="00734085">
        <w:tc>
          <w:tcPr>
            <w:tcW w:w="6237" w:type="dxa"/>
            <w:tcBorders>
              <w:top w:val="single" w:sz="2" w:space="0" w:color="F6BB00"/>
              <w:bottom w:val="single" w:sz="2" w:space="0" w:color="F6BB00"/>
            </w:tcBorders>
            <w:vAlign w:val="center"/>
          </w:tcPr>
          <w:p w14:paraId="7C5B2679" w14:textId="43985E90" w:rsidR="00266261" w:rsidRDefault="00266261" w:rsidP="001A1B92">
            <w:pPr>
              <w:spacing w:after="0" w:line="240" w:lineRule="auto"/>
              <w:ind w:left="601"/>
              <w:jc w:val="left"/>
              <w:rPr>
                <w:sz w:val="18"/>
                <w:szCs w:val="18"/>
              </w:rPr>
            </w:pPr>
            <w:r>
              <w:rPr>
                <w:sz w:val="18"/>
                <w:szCs w:val="18"/>
              </w:rPr>
              <w:t>Metropolia Poznańska</w:t>
            </w:r>
          </w:p>
        </w:tc>
        <w:tc>
          <w:tcPr>
            <w:tcW w:w="1672" w:type="dxa"/>
            <w:gridSpan w:val="3"/>
            <w:tcBorders>
              <w:top w:val="single" w:sz="2" w:space="0" w:color="F6BB00"/>
              <w:bottom w:val="single" w:sz="2" w:space="0" w:color="F6BB00"/>
            </w:tcBorders>
            <w:vAlign w:val="center"/>
          </w:tcPr>
          <w:p w14:paraId="56DB95BE" w14:textId="51126892" w:rsidR="00266261" w:rsidRDefault="00266261" w:rsidP="00266261">
            <w:pPr>
              <w:spacing w:after="0" w:line="240" w:lineRule="auto"/>
              <w:jc w:val="center"/>
              <w:rPr>
                <w:b/>
                <w:color w:val="FF0000"/>
                <w:sz w:val="18"/>
                <w:szCs w:val="18"/>
              </w:rPr>
            </w:pPr>
            <w:r w:rsidRPr="007C3D9A">
              <w:rPr>
                <w:b/>
                <w:color w:val="00B050"/>
                <w:szCs w:val="22"/>
              </w:rPr>
              <w:t>↑</w:t>
            </w:r>
            <w:r w:rsidR="00747E10" w:rsidRPr="00E37F67">
              <w:rPr>
                <w:b/>
                <w:color w:val="00B050"/>
                <w:sz w:val="18"/>
                <w:szCs w:val="22"/>
              </w:rPr>
              <w:t>106,0</w:t>
            </w:r>
          </w:p>
        </w:tc>
        <w:tc>
          <w:tcPr>
            <w:tcW w:w="1023" w:type="dxa"/>
            <w:tcBorders>
              <w:top w:val="nil"/>
              <w:bottom w:val="single" w:sz="2" w:space="0" w:color="F6BB00"/>
              <w:right w:val="nil"/>
            </w:tcBorders>
            <w:shd w:val="clear" w:color="auto" w:fill="auto"/>
            <w:vAlign w:val="bottom"/>
          </w:tcPr>
          <w:p w14:paraId="6C414F75" w14:textId="03578EEA" w:rsidR="00266261" w:rsidRPr="00E37F67" w:rsidRDefault="00266261" w:rsidP="00266261">
            <w:pPr>
              <w:spacing w:after="0" w:line="240" w:lineRule="auto"/>
              <w:jc w:val="center"/>
              <w:rPr>
                <w:b/>
                <w:color w:val="00B050"/>
                <w:sz w:val="18"/>
                <w:szCs w:val="18"/>
              </w:rPr>
            </w:pPr>
          </w:p>
        </w:tc>
      </w:tr>
      <w:tr w:rsidR="00266261" w:rsidRPr="00EB1427" w14:paraId="0E72B23A" w14:textId="49B64FE0" w:rsidTr="00734085">
        <w:tc>
          <w:tcPr>
            <w:tcW w:w="6237" w:type="dxa"/>
            <w:tcBorders>
              <w:top w:val="single" w:sz="2" w:space="0" w:color="F6BB00"/>
              <w:bottom w:val="single" w:sz="2" w:space="0" w:color="F6BB00"/>
            </w:tcBorders>
            <w:vAlign w:val="center"/>
          </w:tcPr>
          <w:p w14:paraId="31FDF677" w14:textId="48AD0DC4" w:rsidR="00266261" w:rsidRDefault="00266261" w:rsidP="001A1B92">
            <w:pPr>
              <w:spacing w:after="0" w:line="240" w:lineRule="auto"/>
              <w:ind w:left="601"/>
              <w:jc w:val="left"/>
              <w:rPr>
                <w:sz w:val="18"/>
                <w:szCs w:val="18"/>
              </w:rPr>
            </w:pPr>
            <w:r w:rsidRPr="007A1F76">
              <w:rPr>
                <w:sz w:val="18"/>
                <w:szCs w:val="18"/>
              </w:rPr>
              <w:t>Ośrodek r</w:t>
            </w:r>
            <w:r>
              <w:rPr>
                <w:sz w:val="18"/>
                <w:szCs w:val="18"/>
              </w:rPr>
              <w:t>egionalny Kalisz - Ostrów Wlkp.</w:t>
            </w:r>
          </w:p>
        </w:tc>
        <w:tc>
          <w:tcPr>
            <w:tcW w:w="1672" w:type="dxa"/>
            <w:gridSpan w:val="3"/>
            <w:tcBorders>
              <w:top w:val="single" w:sz="2" w:space="0" w:color="F6BB00"/>
              <w:bottom w:val="single" w:sz="2" w:space="0" w:color="F6BB00"/>
            </w:tcBorders>
            <w:vAlign w:val="center"/>
          </w:tcPr>
          <w:p w14:paraId="17E6DB2B" w14:textId="61E67A2B" w:rsidR="00266261" w:rsidRDefault="00266261" w:rsidP="00266261">
            <w:pPr>
              <w:spacing w:after="0" w:line="240" w:lineRule="auto"/>
              <w:jc w:val="center"/>
              <w:rPr>
                <w:b/>
                <w:color w:val="FF0000"/>
                <w:sz w:val="18"/>
                <w:szCs w:val="18"/>
              </w:rPr>
            </w:pPr>
            <w:r w:rsidRPr="007C3D9A">
              <w:rPr>
                <w:b/>
                <w:color w:val="00B050"/>
                <w:szCs w:val="22"/>
              </w:rPr>
              <w:t>↑</w:t>
            </w:r>
            <w:r w:rsidR="00747E10" w:rsidRPr="00E37F67">
              <w:rPr>
                <w:b/>
                <w:color w:val="00B050"/>
                <w:sz w:val="18"/>
                <w:szCs w:val="22"/>
              </w:rPr>
              <w:t>102,1</w:t>
            </w:r>
          </w:p>
        </w:tc>
        <w:tc>
          <w:tcPr>
            <w:tcW w:w="1023" w:type="dxa"/>
            <w:tcBorders>
              <w:top w:val="single" w:sz="2" w:space="0" w:color="F6BB00"/>
              <w:bottom w:val="single" w:sz="2" w:space="0" w:color="F6BB00"/>
              <w:right w:val="nil"/>
            </w:tcBorders>
            <w:shd w:val="clear" w:color="auto" w:fill="auto"/>
            <w:vAlign w:val="bottom"/>
          </w:tcPr>
          <w:p w14:paraId="72232DA6" w14:textId="764F791E" w:rsidR="00266261" w:rsidRPr="00E37F67" w:rsidRDefault="00266261" w:rsidP="00266261">
            <w:pPr>
              <w:spacing w:after="0" w:line="240" w:lineRule="auto"/>
              <w:jc w:val="center"/>
              <w:rPr>
                <w:b/>
                <w:color w:val="00B050"/>
                <w:sz w:val="18"/>
                <w:szCs w:val="18"/>
              </w:rPr>
            </w:pPr>
          </w:p>
        </w:tc>
      </w:tr>
      <w:tr w:rsidR="00266261" w:rsidRPr="00EB1427" w14:paraId="56F9A207" w14:textId="7FD24DB7" w:rsidTr="00734085">
        <w:tc>
          <w:tcPr>
            <w:tcW w:w="6237" w:type="dxa"/>
            <w:tcBorders>
              <w:top w:val="single" w:sz="2" w:space="0" w:color="F6BB00"/>
              <w:bottom w:val="single" w:sz="2" w:space="0" w:color="F6BB00"/>
            </w:tcBorders>
            <w:vAlign w:val="center"/>
          </w:tcPr>
          <w:p w14:paraId="2B311795" w14:textId="00626650" w:rsidR="00266261" w:rsidRDefault="00266261" w:rsidP="001A1B92">
            <w:pPr>
              <w:spacing w:after="0" w:line="240" w:lineRule="auto"/>
              <w:ind w:left="601"/>
              <w:jc w:val="left"/>
              <w:rPr>
                <w:sz w:val="18"/>
                <w:szCs w:val="18"/>
              </w:rPr>
            </w:pPr>
            <w:r>
              <w:rPr>
                <w:sz w:val="18"/>
                <w:szCs w:val="18"/>
              </w:rPr>
              <w:t>Ośrodek subregionalny Gniezno</w:t>
            </w:r>
          </w:p>
        </w:tc>
        <w:tc>
          <w:tcPr>
            <w:tcW w:w="1672" w:type="dxa"/>
            <w:gridSpan w:val="3"/>
            <w:tcBorders>
              <w:top w:val="single" w:sz="2" w:space="0" w:color="F6BB00"/>
              <w:bottom w:val="single" w:sz="2" w:space="0" w:color="F6BB00"/>
            </w:tcBorders>
            <w:vAlign w:val="center"/>
          </w:tcPr>
          <w:p w14:paraId="1F8BF318" w14:textId="79628E88" w:rsidR="00266261" w:rsidRDefault="00266261" w:rsidP="00266261">
            <w:pPr>
              <w:spacing w:after="0" w:line="240" w:lineRule="auto"/>
              <w:jc w:val="center"/>
              <w:rPr>
                <w:b/>
                <w:color w:val="FF0000"/>
                <w:sz w:val="18"/>
                <w:szCs w:val="18"/>
              </w:rPr>
            </w:pPr>
            <w:r w:rsidRPr="00B62E18">
              <w:rPr>
                <w:b/>
                <w:color w:val="FF0000"/>
                <w:szCs w:val="22"/>
              </w:rPr>
              <w:t>↓</w:t>
            </w:r>
            <w:r w:rsidR="00747E10" w:rsidRPr="00E37F67">
              <w:rPr>
                <w:b/>
                <w:color w:val="FF0000"/>
                <w:sz w:val="18"/>
                <w:szCs w:val="22"/>
              </w:rPr>
              <w:t>99,0</w:t>
            </w:r>
          </w:p>
        </w:tc>
        <w:tc>
          <w:tcPr>
            <w:tcW w:w="1023" w:type="dxa"/>
            <w:tcBorders>
              <w:top w:val="single" w:sz="2" w:space="0" w:color="F6BB00"/>
              <w:bottom w:val="single" w:sz="2" w:space="0" w:color="F6BB00"/>
              <w:right w:val="nil"/>
            </w:tcBorders>
            <w:shd w:val="clear" w:color="auto" w:fill="auto"/>
            <w:vAlign w:val="bottom"/>
          </w:tcPr>
          <w:p w14:paraId="41FC64EF" w14:textId="56F11294" w:rsidR="00266261" w:rsidRPr="00E37F67" w:rsidRDefault="00266261" w:rsidP="00266261">
            <w:pPr>
              <w:spacing w:after="0" w:line="240" w:lineRule="auto"/>
              <w:jc w:val="center"/>
              <w:rPr>
                <w:b/>
                <w:color w:val="00B050"/>
                <w:sz w:val="18"/>
                <w:szCs w:val="18"/>
              </w:rPr>
            </w:pPr>
          </w:p>
        </w:tc>
      </w:tr>
      <w:tr w:rsidR="00266261" w:rsidRPr="00EB1427" w14:paraId="2C886E52" w14:textId="566CE1DC" w:rsidTr="00734085">
        <w:tc>
          <w:tcPr>
            <w:tcW w:w="6237" w:type="dxa"/>
            <w:tcBorders>
              <w:top w:val="single" w:sz="2" w:space="0" w:color="F6BB00"/>
              <w:bottom w:val="single" w:sz="2" w:space="0" w:color="F6BB00"/>
            </w:tcBorders>
            <w:vAlign w:val="center"/>
          </w:tcPr>
          <w:p w14:paraId="308E0DB0" w14:textId="1535D5EF" w:rsidR="00266261" w:rsidRDefault="00266261" w:rsidP="001A1B92">
            <w:pPr>
              <w:spacing w:after="0" w:line="240" w:lineRule="auto"/>
              <w:ind w:left="601"/>
              <w:jc w:val="left"/>
              <w:rPr>
                <w:sz w:val="18"/>
                <w:szCs w:val="18"/>
              </w:rPr>
            </w:pPr>
            <w:r w:rsidRPr="007A1F76">
              <w:rPr>
                <w:sz w:val="18"/>
                <w:szCs w:val="18"/>
              </w:rPr>
              <w:t xml:space="preserve">Ośrodek </w:t>
            </w:r>
            <w:r>
              <w:rPr>
                <w:sz w:val="18"/>
                <w:szCs w:val="18"/>
              </w:rPr>
              <w:t>sub</w:t>
            </w:r>
            <w:r w:rsidRPr="007A1F76">
              <w:rPr>
                <w:sz w:val="18"/>
                <w:szCs w:val="18"/>
              </w:rPr>
              <w:t>r</w:t>
            </w:r>
            <w:r>
              <w:rPr>
                <w:sz w:val="18"/>
                <w:szCs w:val="18"/>
              </w:rPr>
              <w:t>egionalny Konin</w:t>
            </w:r>
          </w:p>
        </w:tc>
        <w:tc>
          <w:tcPr>
            <w:tcW w:w="1672" w:type="dxa"/>
            <w:gridSpan w:val="3"/>
            <w:tcBorders>
              <w:top w:val="single" w:sz="2" w:space="0" w:color="F6BB00"/>
              <w:bottom w:val="single" w:sz="2" w:space="0" w:color="F6BB00"/>
            </w:tcBorders>
            <w:vAlign w:val="center"/>
          </w:tcPr>
          <w:p w14:paraId="5B4977DE" w14:textId="3C95E321" w:rsidR="00266261" w:rsidRDefault="00266261" w:rsidP="00266261">
            <w:pPr>
              <w:spacing w:after="0" w:line="240" w:lineRule="auto"/>
              <w:jc w:val="center"/>
              <w:rPr>
                <w:b/>
                <w:color w:val="FF0000"/>
                <w:sz w:val="18"/>
                <w:szCs w:val="18"/>
              </w:rPr>
            </w:pPr>
            <w:r w:rsidRPr="007C3D9A">
              <w:rPr>
                <w:b/>
                <w:color w:val="00B050"/>
                <w:szCs w:val="22"/>
              </w:rPr>
              <w:t>↑</w:t>
            </w:r>
            <w:r w:rsidR="00747E10" w:rsidRPr="00E37F67">
              <w:rPr>
                <w:b/>
                <w:color w:val="00B050"/>
                <w:sz w:val="18"/>
                <w:szCs w:val="22"/>
              </w:rPr>
              <w:t>103,2</w:t>
            </w:r>
          </w:p>
        </w:tc>
        <w:tc>
          <w:tcPr>
            <w:tcW w:w="1023" w:type="dxa"/>
            <w:tcBorders>
              <w:top w:val="single" w:sz="2" w:space="0" w:color="F6BB00"/>
              <w:bottom w:val="single" w:sz="2" w:space="0" w:color="F6BB00"/>
              <w:right w:val="nil"/>
            </w:tcBorders>
            <w:shd w:val="clear" w:color="auto" w:fill="auto"/>
            <w:vAlign w:val="bottom"/>
          </w:tcPr>
          <w:p w14:paraId="2A21914F" w14:textId="618B6B07" w:rsidR="00266261" w:rsidRPr="00E37F67" w:rsidRDefault="00266261" w:rsidP="00266261">
            <w:pPr>
              <w:spacing w:after="0" w:line="240" w:lineRule="auto"/>
              <w:jc w:val="center"/>
              <w:rPr>
                <w:b/>
                <w:color w:val="00B050"/>
                <w:sz w:val="18"/>
                <w:szCs w:val="18"/>
              </w:rPr>
            </w:pPr>
          </w:p>
        </w:tc>
      </w:tr>
      <w:tr w:rsidR="00266261" w:rsidRPr="00EB1427" w14:paraId="7C4271D1" w14:textId="6B28FF9B" w:rsidTr="00734085">
        <w:tc>
          <w:tcPr>
            <w:tcW w:w="6237" w:type="dxa"/>
            <w:tcBorders>
              <w:top w:val="single" w:sz="2" w:space="0" w:color="F6BB00"/>
              <w:bottom w:val="single" w:sz="2" w:space="0" w:color="F6BB00"/>
            </w:tcBorders>
            <w:vAlign w:val="center"/>
          </w:tcPr>
          <w:p w14:paraId="5021EA94" w14:textId="611529D6" w:rsidR="00266261" w:rsidRDefault="00266261" w:rsidP="001A1B92">
            <w:pPr>
              <w:spacing w:after="0" w:line="240" w:lineRule="auto"/>
              <w:ind w:left="601"/>
              <w:jc w:val="left"/>
              <w:rPr>
                <w:sz w:val="18"/>
                <w:szCs w:val="18"/>
              </w:rPr>
            </w:pPr>
            <w:r>
              <w:rPr>
                <w:sz w:val="18"/>
                <w:szCs w:val="18"/>
              </w:rPr>
              <w:t>Ośrodek subregionalny Leszno</w:t>
            </w:r>
          </w:p>
        </w:tc>
        <w:tc>
          <w:tcPr>
            <w:tcW w:w="1672" w:type="dxa"/>
            <w:gridSpan w:val="3"/>
            <w:tcBorders>
              <w:top w:val="single" w:sz="2" w:space="0" w:color="F6BB00"/>
              <w:bottom w:val="single" w:sz="2" w:space="0" w:color="F6BB00"/>
            </w:tcBorders>
            <w:vAlign w:val="center"/>
          </w:tcPr>
          <w:p w14:paraId="49527AEB" w14:textId="66DB5EE7" w:rsidR="00266261" w:rsidRDefault="00266261" w:rsidP="00266261">
            <w:pPr>
              <w:spacing w:after="0" w:line="240" w:lineRule="auto"/>
              <w:jc w:val="center"/>
              <w:rPr>
                <w:b/>
                <w:color w:val="FF0000"/>
                <w:sz w:val="18"/>
                <w:szCs w:val="18"/>
              </w:rPr>
            </w:pPr>
            <w:r w:rsidRPr="007C3D9A">
              <w:rPr>
                <w:b/>
                <w:color w:val="00B050"/>
                <w:szCs w:val="22"/>
              </w:rPr>
              <w:t>↑</w:t>
            </w:r>
            <w:r w:rsidR="00747E10" w:rsidRPr="00E37F67">
              <w:rPr>
                <w:b/>
                <w:color w:val="00B050"/>
                <w:sz w:val="18"/>
                <w:szCs w:val="22"/>
              </w:rPr>
              <w:t>102,6</w:t>
            </w:r>
          </w:p>
        </w:tc>
        <w:tc>
          <w:tcPr>
            <w:tcW w:w="1023" w:type="dxa"/>
            <w:tcBorders>
              <w:top w:val="single" w:sz="2" w:space="0" w:color="F6BB00"/>
              <w:bottom w:val="single" w:sz="2" w:space="0" w:color="F6BB00"/>
              <w:right w:val="nil"/>
            </w:tcBorders>
            <w:shd w:val="clear" w:color="auto" w:fill="auto"/>
            <w:vAlign w:val="bottom"/>
          </w:tcPr>
          <w:p w14:paraId="1EE2D712" w14:textId="6A4B53D1" w:rsidR="00266261" w:rsidRPr="00E37F67" w:rsidRDefault="00266261" w:rsidP="00266261">
            <w:pPr>
              <w:spacing w:after="0" w:line="240" w:lineRule="auto"/>
              <w:jc w:val="center"/>
              <w:rPr>
                <w:b/>
                <w:color w:val="00B050"/>
                <w:sz w:val="18"/>
                <w:szCs w:val="18"/>
              </w:rPr>
            </w:pPr>
          </w:p>
        </w:tc>
      </w:tr>
      <w:tr w:rsidR="00266261" w:rsidRPr="00EB1427" w14:paraId="24C0B864" w14:textId="2FFA8F49" w:rsidTr="00734085">
        <w:tc>
          <w:tcPr>
            <w:tcW w:w="6237" w:type="dxa"/>
            <w:tcBorders>
              <w:top w:val="single" w:sz="2" w:space="0" w:color="F6BB00"/>
              <w:bottom w:val="single" w:sz="2" w:space="0" w:color="F6BB00"/>
            </w:tcBorders>
            <w:vAlign w:val="center"/>
          </w:tcPr>
          <w:p w14:paraId="2C9D5FCA" w14:textId="391C1166" w:rsidR="00266261" w:rsidRDefault="00266261" w:rsidP="001A1B92">
            <w:pPr>
              <w:spacing w:after="0" w:line="240" w:lineRule="auto"/>
              <w:ind w:left="601"/>
              <w:jc w:val="left"/>
              <w:rPr>
                <w:sz w:val="18"/>
                <w:szCs w:val="18"/>
              </w:rPr>
            </w:pPr>
            <w:r w:rsidRPr="007A1F76">
              <w:rPr>
                <w:sz w:val="18"/>
                <w:szCs w:val="18"/>
              </w:rPr>
              <w:t xml:space="preserve">Ośrodek </w:t>
            </w:r>
            <w:r>
              <w:rPr>
                <w:sz w:val="18"/>
                <w:szCs w:val="18"/>
              </w:rPr>
              <w:t>sub</w:t>
            </w:r>
            <w:r w:rsidRPr="007A1F76">
              <w:rPr>
                <w:sz w:val="18"/>
                <w:szCs w:val="18"/>
              </w:rPr>
              <w:t>regionalny Piła</w:t>
            </w:r>
          </w:p>
        </w:tc>
        <w:tc>
          <w:tcPr>
            <w:tcW w:w="1672" w:type="dxa"/>
            <w:gridSpan w:val="3"/>
            <w:tcBorders>
              <w:top w:val="single" w:sz="2" w:space="0" w:color="F6BB00"/>
              <w:bottom w:val="single" w:sz="2" w:space="0" w:color="F6BB00"/>
            </w:tcBorders>
            <w:vAlign w:val="center"/>
          </w:tcPr>
          <w:p w14:paraId="1D92D34B" w14:textId="6E66B0EC" w:rsidR="00266261" w:rsidRDefault="00266261" w:rsidP="00266261">
            <w:pPr>
              <w:spacing w:after="0" w:line="240" w:lineRule="auto"/>
              <w:jc w:val="center"/>
              <w:rPr>
                <w:b/>
                <w:color w:val="FF0000"/>
                <w:sz w:val="18"/>
                <w:szCs w:val="18"/>
              </w:rPr>
            </w:pPr>
            <w:r w:rsidRPr="007C3D9A">
              <w:rPr>
                <w:b/>
                <w:color w:val="00B050"/>
                <w:szCs w:val="22"/>
              </w:rPr>
              <w:t>↑</w:t>
            </w:r>
            <w:r w:rsidR="00747E10" w:rsidRPr="00E37F67">
              <w:rPr>
                <w:b/>
                <w:color w:val="00B050"/>
                <w:sz w:val="18"/>
                <w:szCs w:val="22"/>
              </w:rPr>
              <w:t>102,2</w:t>
            </w:r>
          </w:p>
        </w:tc>
        <w:tc>
          <w:tcPr>
            <w:tcW w:w="1023" w:type="dxa"/>
            <w:tcBorders>
              <w:top w:val="single" w:sz="2" w:space="0" w:color="F6BB00"/>
              <w:bottom w:val="single" w:sz="2" w:space="0" w:color="F6BB00"/>
              <w:right w:val="nil"/>
            </w:tcBorders>
            <w:shd w:val="clear" w:color="auto" w:fill="auto"/>
            <w:vAlign w:val="bottom"/>
          </w:tcPr>
          <w:p w14:paraId="3A57BB69" w14:textId="4F1832EE" w:rsidR="00266261" w:rsidRPr="00E37F67" w:rsidRDefault="00266261" w:rsidP="00266261">
            <w:pPr>
              <w:spacing w:after="0" w:line="240" w:lineRule="auto"/>
              <w:jc w:val="center"/>
              <w:rPr>
                <w:b/>
                <w:color w:val="00B050"/>
                <w:sz w:val="18"/>
                <w:szCs w:val="18"/>
              </w:rPr>
            </w:pPr>
          </w:p>
        </w:tc>
      </w:tr>
      <w:tr w:rsidR="00266261" w:rsidRPr="00EB1427" w14:paraId="7E7C420C" w14:textId="6AC2619A" w:rsidTr="00734085">
        <w:tc>
          <w:tcPr>
            <w:tcW w:w="6237" w:type="dxa"/>
            <w:tcBorders>
              <w:top w:val="single" w:sz="2" w:space="0" w:color="F6BB00"/>
              <w:bottom w:val="single" w:sz="2" w:space="0" w:color="F6BB00"/>
            </w:tcBorders>
            <w:vAlign w:val="center"/>
          </w:tcPr>
          <w:p w14:paraId="08D68254" w14:textId="0CE5F18A" w:rsidR="00266261" w:rsidRDefault="00266261" w:rsidP="001A1B92">
            <w:pPr>
              <w:spacing w:after="0" w:line="240" w:lineRule="auto"/>
              <w:ind w:left="601"/>
              <w:jc w:val="left"/>
              <w:rPr>
                <w:sz w:val="18"/>
                <w:szCs w:val="18"/>
              </w:rPr>
            </w:pPr>
            <w:r>
              <w:rPr>
                <w:sz w:val="18"/>
                <w:szCs w:val="18"/>
              </w:rPr>
              <w:t>ZIT Poznań</w:t>
            </w:r>
          </w:p>
        </w:tc>
        <w:tc>
          <w:tcPr>
            <w:tcW w:w="1672" w:type="dxa"/>
            <w:gridSpan w:val="3"/>
            <w:tcBorders>
              <w:top w:val="single" w:sz="2" w:space="0" w:color="F6BB00"/>
              <w:bottom w:val="single" w:sz="2" w:space="0" w:color="F6BB00"/>
            </w:tcBorders>
            <w:vAlign w:val="center"/>
          </w:tcPr>
          <w:p w14:paraId="1D0FB415" w14:textId="380937AF" w:rsidR="00266261" w:rsidRDefault="00266261" w:rsidP="00266261">
            <w:pPr>
              <w:spacing w:after="0" w:line="240" w:lineRule="auto"/>
              <w:jc w:val="center"/>
              <w:rPr>
                <w:b/>
                <w:color w:val="FF0000"/>
                <w:sz w:val="18"/>
                <w:szCs w:val="18"/>
              </w:rPr>
            </w:pPr>
            <w:r w:rsidRPr="007C3D9A">
              <w:rPr>
                <w:b/>
                <w:color w:val="00B050"/>
                <w:szCs w:val="22"/>
              </w:rPr>
              <w:t>↑</w:t>
            </w:r>
            <w:r w:rsidR="00747E10" w:rsidRPr="00E37F67">
              <w:rPr>
                <w:b/>
                <w:color w:val="00B050"/>
                <w:sz w:val="18"/>
                <w:szCs w:val="22"/>
              </w:rPr>
              <w:t>105,8</w:t>
            </w:r>
          </w:p>
        </w:tc>
        <w:tc>
          <w:tcPr>
            <w:tcW w:w="1023" w:type="dxa"/>
            <w:tcBorders>
              <w:top w:val="single" w:sz="2" w:space="0" w:color="F6BB00"/>
              <w:bottom w:val="single" w:sz="2" w:space="0" w:color="F6BB00"/>
              <w:right w:val="nil"/>
            </w:tcBorders>
            <w:shd w:val="clear" w:color="auto" w:fill="auto"/>
            <w:vAlign w:val="bottom"/>
          </w:tcPr>
          <w:p w14:paraId="3E274FF3" w14:textId="74CB5859" w:rsidR="00266261" w:rsidRPr="00E37F67" w:rsidRDefault="00266261" w:rsidP="00266261">
            <w:pPr>
              <w:spacing w:after="0" w:line="240" w:lineRule="auto"/>
              <w:jc w:val="center"/>
              <w:rPr>
                <w:b/>
                <w:color w:val="00B050"/>
                <w:sz w:val="18"/>
                <w:szCs w:val="18"/>
              </w:rPr>
            </w:pPr>
          </w:p>
        </w:tc>
      </w:tr>
      <w:tr w:rsidR="00266261" w:rsidRPr="00EB1427" w14:paraId="4F7902EA" w14:textId="3EFF60EE" w:rsidTr="00734085">
        <w:tc>
          <w:tcPr>
            <w:tcW w:w="6237" w:type="dxa"/>
            <w:tcBorders>
              <w:top w:val="single" w:sz="2" w:space="0" w:color="F6BB00"/>
              <w:bottom w:val="single" w:sz="2" w:space="0" w:color="F6BB00"/>
            </w:tcBorders>
            <w:vAlign w:val="center"/>
          </w:tcPr>
          <w:p w14:paraId="5574421E" w14:textId="3D02C123" w:rsidR="00266261" w:rsidRDefault="00266261" w:rsidP="001A1B92">
            <w:pPr>
              <w:spacing w:after="0" w:line="240" w:lineRule="auto"/>
              <w:ind w:left="601"/>
              <w:jc w:val="left"/>
              <w:rPr>
                <w:sz w:val="18"/>
                <w:szCs w:val="18"/>
              </w:rPr>
            </w:pPr>
            <w:r w:rsidRPr="007A1F76">
              <w:rPr>
                <w:sz w:val="18"/>
                <w:szCs w:val="18"/>
              </w:rPr>
              <w:t xml:space="preserve">ZIT </w:t>
            </w:r>
            <w:r>
              <w:rPr>
                <w:sz w:val="18"/>
                <w:szCs w:val="18"/>
              </w:rPr>
              <w:t>Aglomeracji Kalisko-Ostrowskiej</w:t>
            </w:r>
          </w:p>
        </w:tc>
        <w:tc>
          <w:tcPr>
            <w:tcW w:w="1672" w:type="dxa"/>
            <w:gridSpan w:val="3"/>
            <w:tcBorders>
              <w:top w:val="single" w:sz="2" w:space="0" w:color="F6BB00"/>
              <w:bottom w:val="single" w:sz="2" w:space="0" w:color="F6BB00"/>
            </w:tcBorders>
            <w:vAlign w:val="center"/>
          </w:tcPr>
          <w:p w14:paraId="22025B65" w14:textId="5E9DB4B7" w:rsidR="00266261" w:rsidRDefault="00266261" w:rsidP="00266261">
            <w:pPr>
              <w:spacing w:after="0" w:line="240" w:lineRule="auto"/>
              <w:jc w:val="center"/>
              <w:rPr>
                <w:b/>
                <w:color w:val="FF0000"/>
                <w:sz w:val="18"/>
                <w:szCs w:val="18"/>
              </w:rPr>
            </w:pPr>
            <w:r w:rsidRPr="007C3D9A">
              <w:rPr>
                <w:b/>
                <w:color w:val="00B050"/>
                <w:szCs w:val="22"/>
              </w:rPr>
              <w:t>↑</w:t>
            </w:r>
            <w:r w:rsidR="00747E10" w:rsidRPr="00E37F67">
              <w:rPr>
                <w:b/>
                <w:color w:val="00B050"/>
                <w:sz w:val="18"/>
                <w:szCs w:val="22"/>
              </w:rPr>
              <w:t>119,3</w:t>
            </w:r>
          </w:p>
        </w:tc>
        <w:tc>
          <w:tcPr>
            <w:tcW w:w="1023" w:type="dxa"/>
            <w:tcBorders>
              <w:top w:val="single" w:sz="2" w:space="0" w:color="F6BB00"/>
              <w:bottom w:val="single" w:sz="2" w:space="0" w:color="F6BB00"/>
              <w:right w:val="nil"/>
            </w:tcBorders>
            <w:shd w:val="clear" w:color="auto" w:fill="auto"/>
            <w:vAlign w:val="bottom"/>
          </w:tcPr>
          <w:p w14:paraId="663650E4" w14:textId="26FD4DC8" w:rsidR="00266261" w:rsidRPr="00E37F67" w:rsidRDefault="00266261" w:rsidP="00266261">
            <w:pPr>
              <w:spacing w:after="0" w:line="240" w:lineRule="auto"/>
              <w:jc w:val="center"/>
              <w:rPr>
                <w:b/>
                <w:color w:val="00B050"/>
                <w:sz w:val="18"/>
                <w:szCs w:val="18"/>
              </w:rPr>
            </w:pPr>
          </w:p>
        </w:tc>
      </w:tr>
      <w:tr w:rsidR="00266261" w:rsidRPr="00EB1427" w14:paraId="23D59069" w14:textId="2B8E3D8B" w:rsidTr="00734085">
        <w:tc>
          <w:tcPr>
            <w:tcW w:w="6237" w:type="dxa"/>
            <w:tcBorders>
              <w:top w:val="single" w:sz="2" w:space="0" w:color="F6BB00"/>
              <w:bottom w:val="single" w:sz="2" w:space="0" w:color="F6BB00"/>
            </w:tcBorders>
            <w:vAlign w:val="center"/>
          </w:tcPr>
          <w:p w14:paraId="26530C90" w14:textId="5F19A71E" w:rsidR="00266261" w:rsidRDefault="00266261" w:rsidP="001A1B92">
            <w:pPr>
              <w:spacing w:after="0" w:line="240" w:lineRule="auto"/>
              <w:ind w:left="601"/>
              <w:jc w:val="left"/>
              <w:rPr>
                <w:sz w:val="18"/>
                <w:szCs w:val="18"/>
              </w:rPr>
            </w:pPr>
            <w:r>
              <w:rPr>
                <w:sz w:val="18"/>
                <w:szCs w:val="18"/>
              </w:rPr>
              <w:t>OSI Gniezno</w:t>
            </w:r>
          </w:p>
        </w:tc>
        <w:tc>
          <w:tcPr>
            <w:tcW w:w="1672" w:type="dxa"/>
            <w:gridSpan w:val="3"/>
            <w:tcBorders>
              <w:top w:val="single" w:sz="2" w:space="0" w:color="F6BB00"/>
              <w:bottom w:val="single" w:sz="2" w:space="0" w:color="F6BB00"/>
            </w:tcBorders>
            <w:vAlign w:val="center"/>
          </w:tcPr>
          <w:p w14:paraId="69635C37" w14:textId="3691264A" w:rsidR="00266261" w:rsidRDefault="00266261" w:rsidP="00266261">
            <w:pPr>
              <w:spacing w:after="0" w:line="240" w:lineRule="auto"/>
              <w:jc w:val="center"/>
              <w:rPr>
                <w:b/>
                <w:color w:val="FF0000"/>
                <w:sz w:val="18"/>
                <w:szCs w:val="18"/>
              </w:rPr>
            </w:pPr>
            <w:r w:rsidRPr="007C3D9A">
              <w:rPr>
                <w:b/>
                <w:color w:val="00B050"/>
                <w:szCs w:val="22"/>
              </w:rPr>
              <w:t>↑</w:t>
            </w:r>
            <w:r w:rsidR="00747E10" w:rsidRPr="00E37F67">
              <w:rPr>
                <w:b/>
                <w:color w:val="00B050"/>
                <w:sz w:val="18"/>
                <w:szCs w:val="22"/>
              </w:rPr>
              <w:t>106,8</w:t>
            </w:r>
          </w:p>
        </w:tc>
        <w:tc>
          <w:tcPr>
            <w:tcW w:w="1023" w:type="dxa"/>
            <w:tcBorders>
              <w:top w:val="single" w:sz="2" w:space="0" w:color="F6BB00"/>
              <w:bottom w:val="single" w:sz="2" w:space="0" w:color="F6BB00"/>
              <w:right w:val="nil"/>
            </w:tcBorders>
            <w:shd w:val="clear" w:color="auto" w:fill="auto"/>
            <w:vAlign w:val="bottom"/>
          </w:tcPr>
          <w:p w14:paraId="0ADBBEFD" w14:textId="62B43639" w:rsidR="00266261" w:rsidRPr="00E37F67" w:rsidRDefault="00266261" w:rsidP="00266261">
            <w:pPr>
              <w:spacing w:after="0" w:line="240" w:lineRule="auto"/>
              <w:jc w:val="center"/>
              <w:rPr>
                <w:b/>
                <w:color w:val="00B050"/>
                <w:sz w:val="18"/>
                <w:szCs w:val="18"/>
              </w:rPr>
            </w:pPr>
          </w:p>
        </w:tc>
      </w:tr>
      <w:tr w:rsidR="00266261" w:rsidRPr="00EB1427" w14:paraId="386BB0B1" w14:textId="50B3645E" w:rsidTr="00734085">
        <w:tc>
          <w:tcPr>
            <w:tcW w:w="6237" w:type="dxa"/>
            <w:tcBorders>
              <w:top w:val="single" w:sz="2" w:space="0" w:color="F6BB00"/>
              <w:bottom w:val="single" w:sz="2" w:space="0" w:color="F6BB00"/>
            </w:tcBorders>
            <w:vAlign w:val="center"/>
          </w:tcPr>
          <w:p w14:paraId="7D2312EC" w14:textId="156BDFBC" w:rsidR="00266261" w:rsidRDefault="00266261" w:rsidP="001A1B92">
            <w:pPr>
              <w:spacing w:after="0" w:line="240" w:lineRule="auto"/>
              <w:ind w:left="601"/>
              <w:jc w:val="left"/>
              <w:rPr>
                <w:sz w:val="18"/>
                <w:szCs w:val="18"/>
              </w:rPr>
            </w:pPr>
            <w:r>
              <w:rPr>
                <w:sz w:val="18"/>
                <w:szCs w:val="18"/>
              </w:rPr>
              <w:t>OSI Konin</w:t>
            </w:r>
          </w:p>
        </w:tc>
        <w:tc>
          <w:tcPr>
            <w:tcW w:w="1672" w:type="dxa"/>
            <w:gridSpan w:val="3"/>
            <w:tcBorders>
              <w:top w:val="single" w:sz="2" w:space="0" w:color="F6BB00"/>
              <w:bottom w:val="single" w:sz="2" w:space="0" w:color="F6BB00"/>
            </w:tcBorders>
            <w:vAlign w:val="center"/>
          </w:tcPr>
          <w:p w14:paraId="4DD9D275" w14:textId="5C451399" w:rsidR="00266261" w:rsidRDefault="00266261" w:rsidP="00266261">
            <w:pPr>
              <w:spacing w:after="0" w:line="240" w:lineRule="auto"/>
              <w:jc w:val="center"/>
              <w:rPr>
                <w:b/>
                <w:color w:val="FF0000"/>
                <w:sz w:val="18"/>
                <w:szCs w:val="18"/>
              </w:rPr>
            </w:pPr>
            <w:r w:rsidRPr="007C3D9A">
              <w:rPr>
                <w:b/>
                <w:color w:val="00B050"/>
                <w:szCs w:val="22"/>
              </w:rPr>
              <w:t>↑</w:t>
            </w:r>
            <w:r w:rsidR="00747E10" w:rsidRPr="00E37F67">
              <w:rPr>
                <w:b/>
                <w:color w:val="00B050"/>
                <w:sz w:val="18"/>
                <w:szCs w:val="22"/>
              </w:rPr>
              <w:t>114,3</w:t>
            </w:r>
          </w:p>
        </w:tc>
        <w:tc>
          <w:tcPr>
            <w:tcW w:w="1023" w:type="dxa"/>
            <w:tcBorders>
              <w:top w:val="single" w:sz="2" w:space="0" w:color="F6BB00"/>
              <w:bottom w:val="single" w:sz="2" w:space="0" w:color="F6BB00"/>
              <w:right w:val="nil"/>
            </w:tcBorders>
            <w:shd w:val="clear" w:color="auto" w:fill="auto"/>
            <w:vAlign w:val="bottom"/>
          </w:tcPr>
          <w:p w14:paraId="0D1E415E" w14:textId="1E16659E" w:rsidR="00266261" w:rsidRPr="00E37F67" w:rsidRDefault="00266261" w:rsidP="00266261">
            <w:pPr>
              <w:spacing w:after="0" w:line="240" w:lineRule="auto"/>
              <w:jc w:val="center"/>
              <w:rPr>
                <w:b/>
                <w:color w:val="00B050"/>
                <w:sz w:val="18"/>
                <w:szCs w:val="18"/>
              </w:rPr>
            </w:pPr>
          </w:p>
        </w:tc>
      </w:tr>
      <w:tr w:rsidR="00266261" w:rsidRPr="00EB1427" w14:paraId="1CEDB389" w14:textId="21E5E5DC" w:rsidTr="00734085">
        <w:tc>
          <w:tcPr>
            <w:tcW w:w="6237" w:type="dxa"/>
            <w:tcBorders>
              <w:top w:val="single" w:sz="2" w:space="0" w:color="F6BB00"/>
              <w:bottom w:val="single" w:sz="2" w:space="0" w:color="F6BB00"/>
            </w:tcBorders>
            <w:vAlign w:val="center"/>
          </w:tcPr>
          <w:p w14:paraId="68CAEFEC" w14:textId="5AFB49C0" w:rsidR="00266261" w:rsidRDefault="00266261" w:rsidP="001A1B92">
            <w:pPr>
              <w:spacing w:after="0" w:line="240" w:lineRule="auto"/>
              <w:ind w:left="601"/>
              <w:jc w:val="left"/>
              <w:rPr>
                <w:sz w:val="18"/>
                <w:szCs w:val="18"/>
              </w:rPr>
            </w:pPr>
            <w:r>
              <w:rPr>
                <w:sz w:val="18"/>
                <w:szCs w:val="18"/>
              </w:rPr>
              <w:t>OSI Leszno</w:t>
            </w:r>
          </w:p>
        </w:tc>
        <w:tc>
          <w:tcPr>
            <w:tcW w:w="1672" w:type="dxa"/>
            <w:gridSpan w:val="3"/>
            <w:tcBorders>
              <w:top w:val="single" w:sz="2" w:space="0" w:color="F6BB00"/>
              <w:bottom w:val="single" w:sz="2" w:space="0" w:color="F6BB00"/>
            </w:tcBorders>
            <w:vAlign w:val="center"/>
          </w:tcPr>
          <w:p w14:paraId="224DC790" w14:textId="32E1C6CE" w:rsidR="00266261" w:rsidRDefault="00266261" w:rsidP="00266261">
            <w:pPr>
              <w:spacing w:after="0" w:line="240" w:lineRule="auto"/>
              <w:jc w:val="center"/>
              <w:rPr>
                <w:b/>
                <w:color w:val="FF0000"/>
                <w:sz w:val="18"/>
                <w:szCs w:val="18"/>
              </w:rPr>
            </w:pPr>
            <w:r w:rsidRPr="007C3D9A">
              <w:rPr>
                <w:b/>
                <w:color w:val="00B050"/>
                <w:szCs w:val="22"/>
              </w:rPr>
              <w:t>↑</w:t>
            </w:r>
            <w:r w:rsidR="00747E10" w:rsidRPr="00E37F67">
              <w:rPr>
                <w:b/>
                <w:color w:val="00B050"/>
                <w:sz w:val="18"/>
                <w:szCs w:val="22"/>
              </w:rPr>
              <w:t>108,2</w:t>
            </w:r>
          </w:p>
        </w:tc>
        <w:tc>
          <w:tcPr>
            <w:tcW w:w="1023" w:type="dxa"/>
            <w:tcBorders>
              <w:top w:val="single" w:sz="2" w:space="0" w:color="F6BB00"/>
              <w:bottom w:val="single" w:sz="2" w:space="0" w:color="F6BB00"/>
              <w:right w:val="nil"/>
            </w:tcBorders>
            <w:shd w:val="clear" w:color="auto" w:fill="auto"/>
            <w:vAlign w:val="bottom"/>
          </w:tcPr>
          <w:p w14:paraId="0BAFE804" w14:textId="5D9832CD" w:rsidR="00266261" w:rsidRPr="00E37F67" w:rsidRDefault="00266261" w:rsidP="00266261">
            <w:pPr>
              <w:spacing w:after="0" w:line="240" w:lineRule="auto"/>
              <w:jc w:val="center"/>
              <w:rPr>
                <w:b/>
                <w:color w:val="00B050"/>
                <w:sz w:val="18"/>
                <w:szCs w:val="18"/>
              </w:rPr>
            </w:pPr>
          </w:p>
        </w:tc>
      </w:tr>
      <w:tr w:rsidR="00266261" w:rsidRPr="00EB1427" w14:paraId="09367859" w14:textId="29872E83" w:rsidTr="00734085">
        <w:tc>
          <w:tcPr>
            <w:tcW w:w="6237" w:type="dxa"/>
            <w:tcBorders>
              <w:top w:val="single" w:sz="2" w:space="0" w:color="F6BB00"/>
              <w:bottom w:val="single" w:sz="2" w:space="0" w:color="F6BB00"/>
            </w:tcBorders>
            <w:vAlign w:val="center"/>
          </w:tcPr>
          <w:p w14:paraId="6A7BBD5F" w14:textId="6E66C3B0" w:rsidR="00266261" w:rsidRDefault="00266261" w:rsidP="001A1B92">
            <w:pPr>
              <w:spacing w:after="0" w:line="240" w:lineRule="auto"/>
              <w:ind w:left="601"/>
              <w:jc w:val="left"/>
              <w:rPr>
                <w:sz w:val="18"/>
                <w:szCs w:val="18"/>
              </w:rPr>
            </w:pPr>
            <w:r w:rsidRPr="007A1F76">
              <w:rPr>
                <w:sz w:val="18"/>
                <w:szCs w:val="18"/>
              </w:rPr>
              <w:t>OSI Piła</w:t>
            </w:r>
          </w:p>
        </w:tc>
        <w:tc>
          <w:tcPr>
            <w:tcW w:w="1672" w:type="dxa"/>
            <w:gridSpan w:val="3"/>
            <w:tcBorders>
              <w:top w:val="single" w:sz="2" w:space="0" w:color="F6BB00"/>
              <w:bottom w:val="single" w:sz="2" w:space="0" w:color="F6BB00"/>
            </w:tcBorders>
            <w:vAlign w:val="center"/>
          </w:tcPr>
          <w:p w14:paraId="35012D5F" w14:textId="3E66FB0B" w:rsidR="00266261" w:rsidRDefault="00266261" w:rsidP="00266261">
            <w:pPr>
              <w:spacing w:after="0" w:line="240" w:lineRule="auto"/>
              <w:jc w:val="center"/>
              <w:rPr>
                <w:b/>
                <w:color w:val="FF0000"/>
                <w:sz w:val="18"/>
                <w:szCs w:val="18"/>
              </w:rPr>
            </w:pPr>
            <w:r w:rsidRPr="007C3D9A">
              <w:rPr>
                <w:b/>
                <w:color w:val="00B050"/>
                <w:szCs w:val="22"/>
              </w:rPr>
              <w:t>↑</w:t>
            </w:r>
            <w:r w:rsidR="00747E10" w:rsidRPr="00E37F67">
              <w:rPr>
                <w:b/>
                <w:color w:val="00B050"/>
                <w:sz w:val="18"/>
                <w:szCs w:val="22"/>
              </w:rPr>
              <w:t>109,1</w:t>
            </w:r>
          </w:p>
        </w:tc>
        <w:tc>
          <w:tcPr>
            <w:tcW w:w="1023" w:type="dxa"/>
            <w:tcBorders>
              <w:top w:val="single" w:sz="2" w:space="0" w:color="F6BB00"/>
              <w:bottom w:val="single" w:sz="2" w:space="0" w:color="F6BB00"/>
              <w:right w:val="nil"/>
            </w:tcBorders>
            <w:shd w:val="clear" w:color="auto" w:fill="auto"/>
            <w:vAlign w:val="bottom"/>
          </w:tcPr>
          <w:p w14:paraId="42101794" w14:textId="16F13410" w:rsidR="00266261" w:rsidRPr="00E37F67" w:rsidRDefault="00266261" w:rsidP="00266261">
            <w:pPr>
              <w:spacing w:after="0" w:line="240" w:lineRule="auto"/>
              <w:jc w:val="center"/>
              <w:rPr>
                <w:b/>
                <w:color w:val="00B050"/>
                <w:sz w:val="18"/>
                <w:szCs w:val="18"/>
              </w:rPr>
            </w:pPr>
          </w:p>
        </w:tc>
      </w:tr>
      <w:tr w:rsidR="00266261" w:rsidRPr="00EB1427" w14:paraId="34FA7FF8" w14:textId="3BE2A737" w:rsidTr="00734085">
        <w:tc>
          <w:tcPr>
            <w:tcW w:w="6237" w:type="dxa"/>
            <w:tcBorders>
              <w:top w:val="single" w:sz="2" w:space="0" w:color="F6BB00"/>
              <w:bottom w:val="single" w:sz="2" w:space="0" w:color="F6BB00"/>
            </w:tcBorders>
            <w:vAlign w:val="center"/>
          </w:tcPr>
          <w:p w14:paraId="3D4E90A9" w14:textId="69140321" w:rsidR="00266261" w:rsidRPr="007A1F76" w:rsidRDefault="00266261" w:rsidP="001A1B92">
            <w:pPr>
              <w:spacing w:after="0" w:line="240" w:lineRule="auto"/>
              <w:ind w:left="601"/>
              <w:jc w:val="left"/>
              <w:rPr>
                <w:sz w:val="18"/>
                <w:szCs w:val="18"/>
              </w:rPr>
            </w:pPr>
            <w:r>
              <w:rPr>
                <w:sz w:val="18"/>
                <w:szCs w:val="18"/>
              </w:rPr>
              <w:t>Miasto Poznań</w:t>
            </w:r>
          </w:p>
        </w:tc>
        <w:tc>
          <w:tcPr>
            <w:tcW w:w="1672" w:type="dxa"/>
            <w:gridSpan w:val="3"/>
            <w:tcBorders>
              <w:top w:val="single" w:sz="2" w:space="0" w:color="F6BB00"/>
              <w:bottom w:val="single" w:sz="2" w:space="0" w:color="F6BB00"/>
            </w:tcBorders>
            <w:vAlign w:val="center"/>
          </w:tcPr>
          <w:p w14:paraId="0A1078E4" w14:textId="39C9B01F" w:rsidR="00266261" w:rsidRPr="007C3D9A" w:rsidRDefault="00266261" w:rsidP="00266261">
            <w:pPr>
              <w:spacing w:after="0" w:line="240" w:lineRule="auto"/>
              <w:jc w:val="center"/>
              <w:rPr>
                <w:b/>
                <w:color w:val="00B050"/>
                <w:szCs w:val="22"/>
              </w:rPr>
            </w:pPr>
            <w:r w:rsidRPr="007C3D9A">
              <w:rPr>
                <w:b/>
                <w:color w:val="00B050"/>
                <w:szCs w:val="22"/>
              </w:rPr>
              <w:t>↑</w:t>
            </w:r>
            <w:r w:rsidR="00747E10" w:rsidRPr="00E37F67">
              <w:rPr>
                <w:b/>
                <w:color w:val="00B050"/>
                <w:sz w:val="18"/>
                <w:szCs w:val="22"/>
              </w:rPr>
              <w:t>112,3</w:t>
            </w:r>
          </w:p>
        </w:tc>
        <w:tc>
          <w:tcPr>
            <w:tcW w:w="1023" w:type="dxa"/>
            <w:tcBorders>
              <w:top w:val="single" w:sz="2" w:space="0" w:color="F6BB00"/>
            </w:tcBorders>
            <w:vAlign w:val="center"/>
          </w:tcPr>
          <w:p w14:paraId="0135C705" w14:textId="37EDD323" w:rsidR="00266261" w:rsidRPr="00E37F67" w:rsidRDefault="00266261" w:rsidP="00266261">
            <w:pPr>
              <w:spacing w:after="0" w:line="240" w:lineRule="auto"/>
              <w:jc w:val="center"/>
              <w:rPr>
                <w:b/>
                <w:color w:val="00B050"/>
                <w:sz w:val="18"/>
                <w:szCs w:val="22"/>
              </w:rPr>
            </w:pPr>
          </w:p>
        </w:tc>
      </w:tr>
      <w:tr w:rsidR="00266261" w:rsidRPr="00EB1427" w14:paraId="6FBBD776" w14:textId="77777777" w:rsidTr="00734085">
        <w:tc>
          <w:tcPr>
            <w:tcW w:w="8932" w:type="dxa"/>
            <w:gridSpan w:val="5"/>
            <w:tcBorders>
              <w:top w:val="single" w:sz="2" w:space="0" w:color="F6BB00"/>
              <w:bottom w:val="single" w:sz="2" w:space="0" w:color="F6BB00"/>
            </w:tcBorders>
            <w:shd w:val="clear" w:color="auto" w:fill="auto"/>
            <w:vAlign w:val="center"/>
          </w:tcPr>
          <w:p w14:paraId="333E1517" w14:textId="7279C93E" w:rsidR="00266261" w:rsidRPr="00486861" w:rsidRDefault="00266261" w:rsidP="00266261">
            <w:pPr>
              <w:spacing w:after="0" w:line="240" w:lineRule="auto"/>
              <w:jc w:val="left"/>
              <w:rPr>
                <w:sz w:val="18"/>
                <w:szCs w:val="18"/>
              </w:rPr>
            </w:pPr>
            <w:r w:rsidRPr="00FF26C0">
              <w:rPr>
                <w:sz w:val="18"/>
                <w:szCs w:val="18"/>
              </w:rPr>
              <w:t>Ludność w podziale na: Poznań, metropolia poznańska, ośrodek regionalny, ośrodki subregionalne</w:t>
            </w:r>
            <w:r>
              <w:rPr>
                <w:sz w:val="18"/>
                <w:szCs w:val="18"/>
              </w:rPr>
              <w:t>, ZIT, OSI</w:t>
            </w:r>
            <w:r w:rsidR="001A1B92">
              <w:rPr>
                <w:sz w:val="18"/>
                <w:szCs w:val="18"/>
              </w:rPr>
              <w:t>*</w:t>
            </w:r>
          </w:p>
        </w:tc>
      </w:tr>
      <w:tr w:rsidR="00266261" w:rsidRPr="00EB1427" w14:paraId="7D922400" w14:textId="3DD850CD" w:rsidTr="00734085">
        <w:tc>
          <w:tcPr>
            <w:tcW w:w="6237" w:type="dxa"/>
            <w:tcBorders>
              <w:top w:val="single" w:sz="2" w:space="0" w:color="F6BB00"/>
              <w:bottom w:val="single" w:sz="2" w:space="0" w:color="F6BB00"/>
            </w:tcBorders>
            <w:vAlign w:val="center"/>
          </w:tcPr>
          <w:p w14:paraId="041196B4" w14:textId="7FD43A4E" w:rsidR="00266261" w:rsidRDefault="00266261" w:rsidP="001A1B92">
            <w:pPr>
              <w:spacing w:after="0" w:line="240" w:lineRule="auto"/>
              <w:ind w:left="601"/>
              <w:jc w:val="left"/>
              <w:rPr>
                <w:sz w:val="18"/>
                <w:szCs w:val="18"/>
              </w:rPr>
            </w:pPr>
            <w:r>
              <w:rPr>
                <w:sz w:val="18"/>
                <w:szCs w:val="18"/>
              </w:rPr>
              <w:t>Metropolia Poznańska</w:t>
            </w:r>
          </w:p>
        </w:tc>
        <w:tc>
          <w:tcPr>
            <w:tcW w:w="1672" w:type="dxa"/>
            <w:gridSpan w:val="3"/>
            <w:tcBorders>
              <w:top w:val="single" w:sz="2" w:space="0" w:color="F6BB00"/>
              <w:bottom w:val="single" w:sz="2" w:space="0" w:color="F6BB00"/>
            </w:tcBorders>
            <w:vAlign w:val="center"/>
          </w:tcPr>
          <w:p w14:paraId="750FE35C" w14:textId="099AE7FE" w:rsidR="00266261" w:rsidRDefault="00266261" w:rsidP="00266261">
            <w:pPr>
              <w:spacing w:after="0" w:line="240" w:lineRule="auto"/>
              <w:jc w:val="center"/>
              <w:rPr>
                <w:b/>
                <w:color w:val="FF0000"/>
                <w:sz w:val="18"/>
                <w:szCs w:val="18"/>
              </w:rPr>
            </w:pPr>
            <w:r w:rsidRPr="007C3D9A">
              <w:rPr>
                <w:b/>
                <w:color w:val="00B050"/>
                <w:szCs w:val="22"/>
              </w:rPr>
              <w:t>↑</w:t>
            </w:r>
            <w:r w:rsidR="00747E10" w:rsidRPr="00E37F67">
              <w:rPr>
                <w:b/>
                <w:color w:val="00B050"/>
                <w:sz w:val="18"/>
                <w:szCs w:val="22"/>
              </w:rPr>
              <w:t>102,8</w:t>
            </w:r>
          </w:p>
        </w:tc>
        <w:tc>
          <w:tcPr>
            <w:tcW w:w="1023" w:type="dxa"/>
            <w:tcBorders>
              <w:top w:val="nil"/>
              <w:bottom w:val="single" w:sz="2" w:space="0" w:color="F6BB00"/>
              <w:right w:val="nil"/>
            </w:tcBorders>
            <w:shd w:val="clear" w:color="auto" w:fill="auto"/>
            <w:vAlign w:val="bottom"/>
          </w:tcPr>
          <w:p w14:paraId="2EA0A516" w14:textId="278738CD" w:rsidR="00266261" w:rsidRPr="00E37F67" w:rsidRDefault="00266261" w:rsidP="00266261">
            <w:pPr>
              <w:spacing w:after="0" w:line="240" w:lineRule="auto"/>
              <w:jc w:val="center"/>
              <w:rPr>
                <w:b/>
                <w:color w:val="FF0000"/>
                <w:sz w:val="18"/>
                <w:szCs w:val="18"/>
              </w:rPr>
            </w:pPr>
          </w:p>
        </w:tc>
      </w:tr>
      <w:tr w:rsidR="00266261" w:rsidRPr="00EB1427" w14:paraId="49BEC8BD" w14:textId="3083AAF4" w:rsidTr="00734085">
        <w:tc>
          <w:tcPr>
            <w:tcW w:w="6237" w:type="dxa"/>
            <w:tcBorders>
              <w:top w:val="single" w:sz="2" w:space="0" w:color="F6BB00"/>
              <w:bottom w:val="single" w:sz="2" w:space="0" w:color="F6BB00"/>
            </w:tcBorders>
            <w:vAlign w:val="center"/>
          </w:tcPr>
          <w:p w14:paraId="7AFD94B4" w14:textId="313A172B" w:rsidR="00266261" w:rsidRDefault="00266261" w:rsidP="001A1B92">
            <w:pPr>
              <w:spacing w:after="0" w:line="240" w:lineRule="auto"/>
              <w:ind w:left="601"/>
              <w:jc w:val="left"/>
              <w:rPr>
                <w:sz w:val="18"/>
                <w:szCs w:val="18"/>
              </w:rPr>
            </w:pPr>
            <w:r w:rsidRPr="007A1F76">
              <w:rPr>
                <w:sz w:val="18"/>
                <w:szCs w:val="18"/>
              </w:rPr>
              <w:t>Ośrodek r</w:t>
            </w:r>
            <w:r>
              <w:rPr>
                <w:sz w:val="18"/>
                <w:szCs w:val="18"/>
              </w:rPr>
              <w:t>egionalny Kalisz - Ostrów Wlkp.</w:t>
            </w:r>
          </w:p>
        </w:tc>
        <w:tc>
          <w:tcPr>
            <w:tcW w:w="1672" w:type="dxa"/>
            <w:gridSpan w:val="3"/>
            <w:tcBorders>
              <w:top w:val="single" w:sz="2" w:space="0" w:color="F6BB00"/>
              <w:bottom w:val="single" w:sz="2" w:space="0" w:color="F6BB00"/>
            </w:tcBorders>
            <w:vAlign w:val="center"/>
          </w:tcPr>
          <w:p w14:paraId="1762F0DB" w14:textId="1AC2A5B2" w:rsidR="00266261" w:rsidRDefault="00266261" w:rsidP="00266261">
            <w:pPr>
              <w:spacing w:after="0" w:line="240" w:lineRule="auto"/>
              <w:jc w:val="center"/>
              <w:rPr>
                <w:b/>
                <w:color w:val="FF0000"/>
                <w:sz w:val="18"/>
                <w:szCs w:val="18"/>
              </w:rPr>
            </w:pPr>
            <w:r w:rsidRPr="00B62E18">
              <w:rPr>
                <w:b/>
                <w:color w:val="FF0000"/>
                <w:szCs w:val="22"/>
              </w:rPr>
              <w:t>↓</w:t>
            </w:r>
            <w:r w:rsidR="00747E10" w:rsidRPr="00E37F67">
              <w:rPr>
                <w:b/>
                <w:color w:val="FF0000"/>
                <w:sz w:val="18"/>
                <w:szCs w:val="22"/>
              </w:rPr>
              <w:t>98,0</w:t>
            </w:r>
          </w:p>
        </w:tc>
        <w:tc>
          <w:tcPr>
            <w:tcW w:w="1023" w:type="dxa"/>
            <w:tcBorders>
              <w:top w:val="single" w:sz="2" w:space="0" w:color="F6BB00"/>
              <w:bottom w:val="single" w:sz="2" w:space="0" w:color="F6BB00"/>
              <w:right w:val="nil"/>
            </w:tcBorders>
            <w:shd w:val="clear" w:color="auto" w:fill="auto"/>
            <w:vAlign w:val="bottom"/>
          </w:tcPr>
          <w:p w14:paraId="46421986" w14:textId="1A110A3E" w:rsidR="00266261" w:rsidRPr="00E37F67" w:rsidRDefault="00266261" w:rsidP="00266261">
            <w:pPr>
              <w:spacing w:after="0" w:line="240" w:lineRule="auto"/>
              <w:jc w:val="center"/>
              <w:rPr>
                <w:b/>
                <w:color w:val="FF0000"/>
                <w:sz w:val="18"/>
                <w:szCs w:val="18"/>
              </w:rPr>
            </w:pPr>
          </w:p>
        </w:tc>
      </w:tr>
      <w:tr w:rsidR="00266261" w:rsidRPr="00EB1427" w14:paraId="4558B34C" w14:textId="64C85C68" w:rsidTr="00734085">
        <w:tc>
          <w:tcPr>
            <w:tcW w:w="6237" w:type="dxa"/>
            <w:tcBorders>
              <w:top w:val="single" w:sz="2" w:space="0" w:color="F6BB00"/>
              <w:bottom w:val="single" w:sz="2" w:space="0" w:color="F6BB00"/>
            </w:tcBorders>
            <w:vAlign w:val="center"/>
          </w:tcPr>
          <w:p w14:paraId="530D74EB" w14:textId="5F5C03B8" w:rsidR="00266261" w:rsidRDefault="00266261" w:rsidP="001A1B92">
            <w:pPr>
              <w:spacing w:after="0" w:line="240" w:lineRule="auto"/>
              <w:ind w:left="601"/>
              <w:jc w:val="left"/>
              <w:rPr>
                <w:sz w:val="18"/>
                <w:szCs w:val="18"/>
              </w:rPr>
            </w:pPr>
            <w:r>
              <w:rPr>
                <w:sz w:val="18"/>
                <w:szCs w:val="18"/>
              </w:rPr>
              <w:t>Ośrodek subregionalny Gniezno</w:t>
            </w:r>
          </w:p>
        </w:tc>
        <w:tc>
          <w:tcPr>
            <w:tcW w:w="1672" w:type="dxa"/>
            <w:gridSpan w:val="3"/>
            <w:tcBorders>
              <w:top w:val="single" w:sz="2" w:space="0" w:color="F6BB00"/>
              <w:bottom w:val="single" w:sz="2" w:space="0" w:color="F6BB00"/>
            </w:tcBorders>
            <w:vAlign w:val="center"/>
          </w:tcPr>
          <w:p w14:paraId="4211F109" w14:textId="2405636E" w:rsidR="00266261" w:rsidRDefault="00266261" w:rsidP="00266261">
            <w:pPr>
              <w:spacing w:after="0" w:line="240" w:lineRule="auto"/>
              <w:jc w:val="center"/>
              <w:rPr>
                <w:b/>
                <w:color w:val="FF0000"/>
                <w:sz w:val="18"/>
                <w:szCs w:val="18"/>
              </w:rPr>
            </w:pPr>
            <w:r w:rsidRPr="00B62E18">
              <w:rPr>
                <w:b/>
                <w:color w:val="FF0000"/>
                <w:szCs w:val="22"/>
              </w:rPr>
              <w:t>↓</w:t>
            </w:r>
            <w:r w:rsidR="00747E10" w:rsidRPr="00E37F67">
              <w:rPr>
                <w:b/>
                <w:color w:val="FF0000"/>
                <w:sz w:val="18"/>
                <w:szCs w:val="22"/>
              </w:rPr>
              <w:t>98,3</w:t>
            </w:r>
          </w:p>
        </w:tc>
        <w:tc>
          <w:tcPr>
            <w:tcW w:w="1023" w:type="dxa"/>
            <w:tcBorders>
              <w:top w:val="single" w:sz="2" w:space="0" w:color="F6BB00"/>
              <w:bottom w:val="single" w:sz="2" w:space="0" w:color="F6BB00"/>
              <w:right w:val="nil"/>
            </w:tcBorders>
            <w:shd w:val="clear" w:color="auto" w:fill="auto"/>
            <w:vAlign w:val="bottom"/>
          </w:tcPr>
          <w:p w14:paraId="758DF997" w14:textId="05FF08E8" w:rsidR="00266261" w:rsidRPr="00E37F67" w:rsidRDefault="00266261" w:rsidP="00266261">
            <w:pPr>
              <w:spacing w:after="0" w:line="240" w:lineRule="auto"/>
              <w:jc w:val="center"/>
              <w:rPr>
                <w:b/>
                <w:color w:val="FF0000"/>
                <w:sz w:val="18"/>
                <w:szCs w:val="18"/>
              </w:rPr>
            </w:pPr>
          </w:p>
        </w:tc>
      </w:tr>
      <w:tr w:rsidR="00266261" w:rsidRPr="00EB1427" w14:paraId="7A7DE4BA" w14:textId="15C24594" w:rsidTr="00734085">
        <w:tc>
          <w:tcPr>
            <w:tcW w:w="6237" w:type="dxa"/>
            <w:tcBorders>
              <w:top w:val="single" w:sz="2" w:space="0" w:color="F6BB00"/>
              <w:bottom w:val="single" w:sz="2" w:space="0" w:color="F6BB00"/>
            </w:tcBorders>
            <w:vAlign w:val="center"/>
          </w:tcPr>
          <w:p w14:paraId="3DD69486" w14:textId="28853A5D" w:rsidR="00266261" w:rsidRDefault="00266261" w:rsidP="001A1B92">
            <w:pPr>
              <w:spacing w:after="0" w:line="240" w:lineRule="auto"/>
              <w:ind w:left="601"/>
              <w:jc w:val="left"/>
              <w:rPr>
                <w:sz w:val="18"/>
                <w:szCs w:val="18"/>
              </w:rPr>
            </w:pPr>
            <w:r w:rsidRPr="007A1F76">
              <w:rPr>
                <w:sz w:val="18"/>
                <w:szCs w:val="18"/>
              </w:rPr>
              <w:t xml:space="preserve">Ośrodek </w:t>
            </w:r>
            <w:r>
              <w:rPr>
                <w:sz w:val="18"/>
                <w:szCs w:val="18"/>
              </w:rPr>
              <w:t>sub</w:t>
            </w:r>
            <w:r w:rsidRPr="007A1F76">
              <w:rPr>
                <w:sz w:val="18"/>
                <w:szCs w:val="18"/>
              </w:rPr>
              <w:t>r</w:t>
            </w:r>
            <w:r>
              <w:rPr>
                <w:sz w:val="18"/>
                <w:szCs w:val="18"/>
              </w:rPr>
              <w:t>egionalny Konin</w:t>
            </w:r>
          </w:p>
        </w:tc>
        <w:tc>
          <w:tcPr>
            <w:tcW w:w="1672" w:type="dxa"/>
            <w:gridSpan w:val="3"/>
            <w:tcBorders>
              <w:top w:val="single" w:sz="2" w:space="0" w:color="F6BB00"/>
              <w:bottom w:val="single" w:sz="2" w:space="0" w:color="F6BB00"/>
            </w:tcBorders>
            <w:vAlign w:val="center"/>
          </w:tcPr>
          <w:p w14:paraId="0D832061" w14:textId="0606856F" w:rsidR="00266261" w:rsidRDefault="00266261" w:rsidP="00266261">
            <w:pPr>
              <w:spacing w:after="0" w:line="240" w:lineRule="auto"/>
              <w:jc w:val="center"/>
              <w:rPr>
                <w:b/>
                <w:color w:val="FF0000"/>
                <w:sz w:val="18"/>
                <w:szCs w:val="18"/>
              </w:rPr>
            </w:pPr>
            <w:r w:rsidRPr="00B62E18">
              <w:rPr>
                <w:b/>
                <w:color w:val="FF0000"/>
                <w:szCs w:val="22"/>
              </w:rPr>
              <w:t>↓</w:t>
            </w:r>
            <w:r w:rsidR="00747E10" w:rsidRPr="00E37F67">
              <w:rPr>
                <w:b/>
                <w:color w:val="FF0000"/>
                <w:sz w:val="18"/>
                <w:szCs w:val="22"/>
              </w:rPr>
              <w:t>96,1</w:t>
            </w:r>
          </w:p>
        </w:tc>
        <w:tc>
          <w:tcPr>
            <w:tcW w:w="1023" w:type="dxa"/>
            <w:tcBorders>
              <w:top w:val="single" w:sz="2" w:space="0" w:color="F6BB00"/>
              <w:bottom w:val="single" w:sz="2" w:space="0" w:color="F6BB00"/>
              <w:right w:val="nil"/>
            </w:tcBorders>
            <w:shd w:val="clear" w:color="auto" w:fill="auto"/>
            <w:vAlign w:val="bottom"/>
          </w:tcPr>
          <w:p w14:paraId="58F402CD" w14:textId="5D57A29F" w:rsidR="00266261" w:rsidRPr="00E37F67" w:rsidRDefault="00266261" w:rsidP="00266261">
            <w:pPr>
              <w:spacing w:after="0" w:line="240" w:lineRule="auto"/>
              <w:jc w:val="center"/>
              <w:rPr>
                <w:b/>
                <w:color w:val="FF0000"/>
                <w:sz w:val="18"/>
                <w:szCs w:val="18"/>
              </w:rPr>
            </w:pPr>
          </w:p>
        </w:tc>
      </w:tr>
      <w:tr w:rsidR="00266261" w:rsidRPr="00EB1427" w14:paraId="67DAAAE5" w14:textId="5EF09D95" w:rsidTr="00734085">
        <w:tc>
          <w:tcPr>
            <w:tcW w:w="6237" w:type="dxa"/>
            <w:tcBorders>
              <w:top w:val="single" w:sz="2" w:space="0" w:color="F6BB00"/>
              <w:bottom w:val="single" w:sz="2" w:space="0" w:color="F6BB00"/>
            </w:tcBorders>
            <w:vAlign w:val="center"/>
          </w:tcPr>
          <w:p w14:paraId="7E19B522" w14:textId="7094C1CC" w:rsidR="00266261" w:rsidRDefault="00266261" w:rsidP="001A1B92">
            <w:pPr>
              <w:spacing w:after="0" w:line="240" w:lineRule="auto"/>
              <w:ind w:left="601"/>
              <w:jc w:val="left"/>
              <w:rPr>
                <w:sz w:val="18"/>
                <w:szCs w:val="18"/>
              </w:rPr>
            </w:pPr>
            <w:r>
              <w:rPr>
                <w:sz w:val="18"/>
                <w:szCs w:val="18"/>
              </w:rPr>
              <w:t>Ośrodek subregionalny Leszno</w:t>
            </w:r>
          </w:p>
        </w:tc>
        <w:tc>
          <w:tcPr>
            <w:tcW w:w="1672" w:type="dxa"/>
            <w:gridSpan w:val="3"/>
            <w:tcBorders>
              <w:top w:val="single" w:sz="2" w:space="0" w:color="F6BB00"/>
              <w:bottom w:val="single" w:sz="2" w:space="0" w:color="F6BB00"/>
            </w:tcBorders>
            <w:vAlign w:val="center"/>
          </w:tcPr>
          <w:p w14:paraId="3A444367" w14:textId="7AE164AA" w:rsidR="00266261" w:rsidRDefault="00266261" w:rsidP="00266261">
            <w:pPr>
              <w:spacing w:after="0" w:line="240" w:lineRule="auto"/>
              <w:jc w:val="center"/>
              <w:rPr>
                <w:b/>
                <w:color w:val="FF0000"/>
                <w:sz w:val="18"/>
                <w:szCs w:val="18"/>
              </w:rPr>
            </w:pPr>
            <w:r w:rsidRPr="00B62E18">
              <w:rPr>
                <w:b/>
                <w:color w:val="FF0000"/>
                <w:szCs w:val="22"/>
              </w:rPr>
              <w:t>↓</w:t>
            </w:r>
            <w:r w:rsidR="00747E10" w:rsidRPr="00E37F67">
              <w:rPr>
                <w:b/>
                <w:color w:val="FF0000"/>
                <w:sz w:val="18"/>
                <w:szCs w:val="22"/>
              </w:rPr>
              <w:t>99,2</w:t>
            </w:r>
          </w:p>
        </w:tc>
        <w:tc>
          <w:tcPr>
            <w:tcW w:w="1023" w:type="dxa"/>
            <w:tcBorders>
              <w:top w:val="single" w:sz="2" w:space="0" w:color="F6BB00"/>
              <w:bottom w:val="single" w:sz="2" w:space="0" w:color="F6BB00"/>
              <w:right w:val="nil"/>
            </w:tcBorders>
            <w:shd w:val="clear" w:color="auto" w:fill="auto"/>
            <w:vAlign w:val="bottom"/>
          </w:tcPr>
          <w:p w14:paraId="4FDA3ACA" w14:textId="7055B105" w:rsidR="00266261" w:rsidRPr="00E37F67" w:rsidRDefault="00266261" w:rsidP="00266261">
            <w:pPr>
              <w:spacing w:after="0" w:line="240" w:lineRule="auto"/>
              <w:jc w:val="center"/>
              <w:rPr>
                <w:b/>
                <w:color w:val="FF0000"/>
                <w:sz w:val="18"/>
                <w:szCs w:val="18"/>
              </w:rPr>
            </w:pPr>
          </w:p>
        </w:tc>
      </w:tr>
      <w:tr w:rsidR="00266261" w:rsidRPr="00EB1427" w14:paraId="4EBF5DF1" w14:textId="1095E3F7" w:rsidTr="00734085">
        <w:tc>
          <w:tcPr>
            <w:tcW w:w="6237" w:type="dxa"/>
            <w:tcBorders>
              <w:top w:val="single" w:sz="2" w:space="0" w:color="F6BB00"/>
              <w:bottom w:val="single" w:sz="2" w:space="0" w:color="F6BB00"/>
            </w:tcBorders>
            <w:vAlign w:val="center"/>
          </w:tcPr>
          <w:p w14:paraId="2C059BE7" w14:textId="2326A5EF" w:rsidR="00266261" w:rsidRDefault="00266261" w:rsidP="001A1B92">
            <w:pPr>
              <w:spacing w:after="0" w:line="240" w:lineRule="auto"/>
              <w:ind w:left="601"/>
              <w:jc w:val="left"/>
              <w:rPr>
                <w:sz w:val="18"/>
                <w:szCs w:val="18"/>
              </w:rPr>
            </w:pPr>
            <w:r w:rsidRPr="007A1F76">
              <w:rPr>
                <w:sz w:val="18"/>
                <w:szCs w:val="18"/>
              </w:rPr>
              <w:t xml:space="preserve">Ośrodek </w:t>
            </w:r>
            <w:r>
              <w:rPr>
                <w:sz w:val="18"/>
                <w:szCs w:val="18"/>
              </w:rPr>
              <w:t>sub</w:t>
            </w:r>
            <w:r w:rsidRPr="007A1F76">
              <w:rPr>
                <w:sz w:val="18"/>
                <w:szCs w:val="18"/>
              </w:rPr>
              <w:t>regionalny Piła</w:t>
            </w:r>
          </w:p>
        </w:tc>
        <w:tc>
          <w:tcPr>
            <w:tcW w:w="1672" w:type="dxa"/>
            <w:gridSpan w:val="3"/>
            <w:tcBorders>
              <w:top w:val="single" w:sz="2" w:space="0" w:color="F6BB00"/>
              <w:bottom w:val="single" w:sz="2" w:space="0" w:color="F6BB00"/>
            </w:tcBorders>
            <w:vAlign w:val="center"/>
          </w:tcPr>
          <w:p w14:paraId="0F190AC8" w14:textId="519AC689" w:rsidR="00266261" w:rsidRDefault="00266261" w:rsidP="00266261">
            <w:pPr>
              <w:spacing w:after="0" w:line="240" w:lineRule="auto"/>
              <w:jc w:val="center"/>
              <w:rPr>
                <w:b/>
                <w:color w:val="FF0000"/>
                <w:sz w:val="18"/>
                <w:szCs w:val="18"/>
              </w:rPr>
            </w:pPr>
            <w:r w:rsidRPr="00B62E18">
              <w:rPr>
                <w:b/>
                <w:color w:val="FF0000"/>
                <w:szCs w:val="22"/>
              </w:rPr>
              <w:t>↓</w:t>
            </w:r>
            <w:r w:rsidR="004A6111" w:rsidRPr="00E37F67">
              <w:rPr>
                <w:b/>
                <w:color w:val="FF0000"/>
                <w:sz w:val="18"/>
                <w:szCs w:val="22"/>
              </w:rPr>
              <w:t>98,5</w:t>
            </w:r>
          </w:p>
        </w:tc>
        <w:tc>
          <w:tcPr>
            <w:tcW w:w="1023" w:type="dxa"/>
            <w:tcBorders>
              <w:top w:val="single" w:sz="2" w:space="0" w:color="F6BB00"/>
              <w:bottom w:val="single" w:sz="2" w:space="0" w:color="F6BB00"/>
              <w:right w:val="nil"/>
            </w:tcBorders>
            <w:shd w:val="clear" w:color="auto" w:fill="auto"/>
            <w:vAlign w:val="bottom"/>
          </w:tcPr>
          <w:p w14:paraId="61573147" w14:textId="0E64F1BE" w:rsidR="00266261" w:rsidRPr="00E37F67" w:rsidRDefault="00266261" w:rsidP="00266261">
            <w:pPr>
              <w:spacing w:after="0" w:line="240" w:lineRule="auto"/>
              <w:jc w:val="center"/>
              <w:rPr>
                <w:b/>
                <w:color w:val="FF0000"/>
                <w:sz w:val="18"/>
                <w:szCs w:val="18"/>
              </w:rPr>
            </w:pPr>
          </w:p>
        </w:tc>
      </w:tr>
      <w:tr w:rsidR="00266261" w:rsidRPr="00EB1427" w14:paraId="0C9A9A6A" w14:textId="0C51D8B1" w:rsidTr="00734085">
        <w:tc>
          <w:tcPr>
            <w:tcW w:w="6237" w:type="dxa"/>
            <w:tcBorders>
              <w:top w:val="single" w:sz="2" w:space="0" w:color="F6BB00"/>
              <w:bottom w:val="single" w:sz="2" w:space="0" w:color="F6BB00"/>
            </w:tcBorders>
            <w:vAlign w:val="center"/>
          </w:tcPr>
          <w:p w14:paraId="39A99AF8" w14:textId="16912392" w:rsidR="00266261" w:rsidRDefault="00266261" w:rsidP="001A1B92">
            <w:pPr>
              <w:spacing w:after="0" w:line="240" w:lineRule="auto"/>
              <w:ind w:left="601"/>
              <w:jc w:val="left"/>
              <w:rPr>
                <w:sz w:val="18"/>
                <w:szCs w:val="18"/>
              </w:rPr>
            </w:pPr>
            <w:r>
              <w:rPr>
                <w:sz w:val="18"/>
                <w:szCs w:val="18"/>
              </w:rPr>
              <w:t>ZIT Poznań</w:t>
            </w:r>
          </w:p>
        </w:tc>
        <w:tc>
          <w:tcPr>
            <w:tcW w:w="1672" w:type="dxa"/>
            <w:gridSpan w:val="3"/>
            <w:tcBorders>
              <w:top w:val="single" w:sz="2" w:space="0" w:color="F6BB00"/>
              <w:bottom w:val="single" w:sz="2" w:space="0" w:color="F6BB00"/>
            </w:tcBorders>
            <w:vAlign w:val="center"/>
          </w:tcPr>
          <w:p w14:paraId="300D62F8" w14:textId="0EBB9899" w:rsidR="00266261" w:rsidRDefault="00266261" w:rsidP="00266261">
            <w:pPr>
              <w:spacing w:after="0" w:line="240" w:lineRule="auto"/>
              <w:jc w:val="center"/>
              <w:rPr>
                <w:b/>
                <w:color w:val="FF0000"/>
                <w:sz w:val="18"/>
                <w:szCs w:val="18"/>
              </w:rPr>
            </w:pPr>
            <w:r w:rsidRPr="007C3D9A">
              <w:rPr>
                <w:b/>
                <w:color w:val="00B050"/>
                <w:szCs w:val="22"/>
              </w:rPr>
              <w:t>↑</w:t>
            </w:r>
            <w:r w:rsidR="004A6111" w:rsidRPr="00E37F67">
              <w:rPr>
                <w:b/>
                <w:color w:val="00B050"/>
                <w:sz w:val="18"/>
                <w:szCs w:val="22"/>
              </w:rPr>
              <w:t>102,6</w:t>
            </w:r>
          </w:p>
        </w:tc>
        <w:tc>
          <w:tcPr>
            <w:tcW w:w="1023" w:type="dxa"/>
            <w:tcBorders>
              <w:top w:val="single" w:sz="2" w:space="0" w:color="F6BB00"/>
              <w:bottom w:val="single" w:sz="2" w:space="0" w:color="F6BB00"/>
              <w:right w:val="nil"/>
            </w:tcBorders>
            <w:shd w:val="clear" w:color="auto" w:fill="auto"/>
            <w:vAlign w:val="bottom"/>
          </w:tcPr>
          <w:p w14:paraId="3AF2ADBB" w14:textId="6FB1B00B" w:rsidR="00266261" w:rsidRPr="00E37F67" w:rsidRDefault="00266261" w:rsidP="00266261">
            <w:pPr>
              <w:spacing w:after="0" w:line="240" w:lineRule="auto"/>
              <w:jc w:val="center"/>
              <w:rPr>
                <w:b/>
                <w:color w:val="00B050"/>
                <w:sz w:val="18"/>
                <w:szCs w:val="18"/>
              </w:rPr>
            </w:pPr>
          </w:p>
        </w:tc>
      </w:tr>
      <w:tr w:rsidR="00266261" w:rsidRPr="00EB1427" w14:paraId="227A1630" w14:textId="1A399ACF" w:rsidTr="00734085">
        <w:tc>
          <w:tcPr>
            <w:tcW w:w="6237" w:type="dxa"/>
            <w:tcBorders>
              <w:top w:val="single" w:sz="2" w:space="0" w:color="F6BB00"/>
              <w:bottom w:val="single" w:sz="2" w:space="0" w:color="F6BB00"/>
            </w:tcBorders>
            <w:vAlign w:val="center"/>
          </w:tcPr>
          <w:p w14:paraId="0FFB23A1" w14:textId="49DC902C" w:rsidR="00266261" w:rsidRDefault="00266261" w:rsidP="001A1B92">
            <w:pPr>
              <w:spacing w:after="0" w:line="240" w:lineRule="auto"/>
              <w:ind w:left="601"/>
              <w:jc w:val="left"/>
              <w:rPr>
                <w:sz w:val="18"/>
                <w:szCs w:val="18"/>
              </w:rPr>
            </w:pPr>
            <w:r w:rsidRPr="007A1F76">
              <w:rPr>
                <w:sz w:val="18"/>
                <w:szCs w:val="18"/>
              </w:rPr>
              <w:t xml:space="preserve">ZIT </w:t>
            </w:r>
            <w:r>
              <w:rPr>
                <w:sz w:val="18"/>
                <w:szCs w:val="18"/>
              </w:rPr>
              <w:t>Aglomeracji Kalisko-Ostrowskiej</w:t>
            </w:r>
          </w:p>
        </w:tc>
        <w:tc>
          <w:tcPr>
            <w:tcW w:w="1672" w:type="dxa"/>
            <w:gridSpan w:val="3"/>
            <w:tcBorders>
              <w:top w:val="single" w:sz="2" w:space="0" w:color="F6BB00"/>
              <w:bottom w:val="single" w:sz="2" w:space="0" w:color="F6BB00"/>
            </w:tcBorders>
            <w:vAlign w:val="center"/>
          </w:tcPr>
          <w:p w14:paraId="26B90178" w14:textId="02CAF769" w:rsidR="00266261" w:rsidRDefault="00266261" w:rsidP="00266261">
            <w:pPr>
              <w:spacing w:after="0" w:line="240" w:lineRule="auto"/>
              <w:jc w:val="center"/>
              <w:rPr>
                <w:b/>
                <w:color w:val="FF0000"/>
                <w:sz w:val="18"/>
                <w:szCs w:val="18"/>
              </w:rPr>
            </w:pPr>
            <w:r w:rsidRPr="007C3D9A">
              <w:rPr>
                <w:b/>
                <w:color w:val="00B050"/>
                <w:szCs w:val="22"/>
              </w:rPr>
              <w:t>↑</w:t>
            </w:r>
            <w:r w:rsidR="004A6111" w:rsidRPr="00E37F67">
              <w:rPr>
                <w:b/>
                <w:color w:val="00B050"/>
                <w:sz w:val="18"/>
                <w:szCs w:val="22"/>
              </w:rPr>
              <w:t>102,7</w:t>
            </w:r>
          </w:p>
        </w:tc>
        <w:tc>
          <w:tcPr>
            <w:tcW w:w="1023" w:type="dxa"/>
            <w:tcBorders>
              <w:top w:val="single" w:sz="2" w:space="0" w:color="F6BB00"/>
              <w:bottom w:val="single" w:sz="2" w:space="0" w:color="F6BB00"/>
              <w:right w:val="nil"/>
            </w:tcBorders>
            <w:shd w:val="clear" w:color="auto" w:fill="auto"/>
            <w:vAlign w:val="bottom"/>
          </w:tcPr>
          <w:p w14:paraId="2EF4C3DA" w14:textId="7CB33A27" w:rsidR="00266261" w:rsidRPr="00E37F67" w:rsidRDefault="00266261" w:rsidP="00266261">
            <w:pPr>
              <w:spacing w:after="0" w:line="240" w:lineRule="auto"/>
              <w:jc w:val="center"/>
              <w:rPr>
                <w:b/>
                <w:color w:val="00B050"/>
                <w:sz w:val="18"/>
                <w:szCs w:val="18"/>
              </w:rPr>
            </w:pPr>
          </w:p>
        </w:tc>
      </w:tr>
      <w:tr w:rsidR="00266261" w:rsidRPr="00EB1427" w14:paraId="3A5C119B" w14:textId="194B3433" w:rsidTr="00734085">
        <w:tc>
          <w:tcPr>
            <w:tcW w:w="6237" w:type="dxa"/>
            <w:tcBorders>
              <w:top w:val="single" w:sz="2" w:space="0" w:color="F6BB00"/>
              <w:bottom w:val="single" w:sz="2" w:space="0" w:color="F6BB00"/>
            </w:tcBorders>
            <w:vAlign w:val="center"/>
          </w:tcPr>
          <w:p w14:paraId="25042DD3" w14:textId="55281F25" w:rsidR="00266261" w:rsidRDefault="00266261" w:rsidP="001A1B92">
            <w:pPr>
              <w:spacing w:after="0" w:line="240" w:lineRule="auto"/>
              <w:ind w:left="601"/>
              <w:jc w:val="left"/>
              <w:rPr>
                <w:sz w:val="18"/>
                <w:szCs w:val="18"/>
              </w:rPr>
            </w:pPr>
            <w:r>
              <w:rPr>
                <w:sz w:val="18"/>
                <w:szCs w:val="18"/>
              </w:rPr>
              <w:lastRenderedPageBreak/>
              <w:t>OSI Gniezno</w:t>
            </w:r>
          </w:p>
        </w:tc>
        <w:tc>
          <w:tcPr>
            <w:tcW w:w="1672" w:type="dxa"/>
            <w:gridSpan w:val="3"/>
            <w:tcBorders>
              <w:top w:val="single" w:sz="2" w:space="0" w:color="F6BB00"/>
              <w:bottom w:val="single" w:sz="2" w:space="0" w:color="F6BB00"/>
            </w:tcBorders>
            <w:vAlign w:val="center"/>
          </w:tcPr>
          <w:p w14:paraId="5C90CED8" w14:textId="324D940B" w:rsidR="00266261" w:rsidRDefault="00266261" w:rsidP="00266261">
            <w:pPr>
              <w:spacing w:after="0" w:line="240" w:lineRule="auto"/>
              <w:jc w:val="center"/>
              <w:rPr>
                <w:b/>
                <w:color w:val="FF0000"/>
                <w:sz w:val="18"/>
                <w:szCs w:val="18"/>
              </w:rPr>
            </w:pPr>
            <w:r w:rsidRPr="007C3D9A">
              <w:rPr>
                <w:b/>
                <w:color w:val="00B050"/>
                <w:szCs w:val="22"/>
              </w:rPr>
              <w:t>↑</w:t>
            </w:r>
            <w:r w:rsidR="004A6111" w:rsidRPr="00E37F67">
              <w:rPr>
                <w:b/>
                <w:color w:val="00B050"/>
                <w:sz w:val="18"/>
                <w:szCs w:val="22"/>
              </w:rPr>
              <w:t>100,7</w:t>
            </w:r>
          </w:p>
        </w:tc>
        <w:tc>
          <w:tcPr>
            <w:tcW w:w="1023" w:type="dxa"/>
            <w:tcBorders>
              <w:top w:val="single" w:sz="2" w:space="0" w:color="F6BB00"/>
              <w:bottom w:val="single" w:sz="2" w:space="0" w:color="F6BB00"/>
              <w:right w:val="nil"/>
            </w:tcBorders>
            <w:shd w:val="clear" w:color="auto" w:fill="auto"/>
            <w:vAlign w:val="bottom"/>
          </w:tcPr>
          <w:p w14:paraId="751E3AA7" w14:textId="7A01CE20" w:rsidR="00266261" w:rsidRPr="00E37F67" w:rsidRDefault="00266261" w:rsidP="00266261">
            <w:pPr>
              <w:spacing w:after="0" w:line="240" w:lineRule="auto"/>
              <w:jc w:val="center"/>
              <w:rPr>
                <w:b/>
                <w:color w:val="00B050"/>
                <w:sz w:val="18"/>
                <w:szCs w:val="18"/>
              </w:rPr>
            </w:pPr>
          </w:p>
        </w:tc>
      </w:tr>
      <w:tr w:rsidR="00266261" w:rsidRPr="00EB1427" w14:paraId="7E53B186" w14:textId="1D0ECBD9" w:rsidTr="00734085">
        <w:tc>
          <w:tcPr>
            <w:tcW w:w="6237" w:type="dxa"/>
            <w:tcBorders>
              <w:top w:val="single" w:sz="2" w:space="0" w:color="F6BB00"/>
              <w:bottom w:val="single" w:sz="2" w:space="0" w:color="F6BB00"/>
            </w:tcBorders>
            <w:vAlign w:val="center"/>
          </w:tcPr>
          <w:p w14:paraId="47BA4ADF" w14:textId="45F5487B" w:rsidR="00266261" w:rsidRDefault="00266261" w:rsidP="001A1B92">
            <w:pPr>
              <w:spacing w:after="0" w:line="240" w:lineRule="auto"/>
              <w:ind w:left="601"/>
              <w:jc w:val="left"/>
              <w:rPr>
                <w:sz w:val="18"/>
                <w:szCs w:val="18"/>
              </w:rPr>
            </w:pPr>
            <w:r>
              <w:rPr>
                <w:sz w:val="18"/>
                <w:szCs w:val="18"/>
              </w:rPr>
              <w:t>OSI Konin</w:t>
            </w:r>
          </w:p>
        </w:tc>
        <w:tc>
          <w:tcPr>
            <w:tcW w:w="1672" w:type="dxa"/>
            <w:gridSpan w:val="3"/>
            <w:tcBorders>
              <w:top w:val="single" w:sz="2" w:space="0" w:color="F6BB00"/>
              <w:bottom w:val="single" w:sz="2" w:space="0" w:color="F6BB00"/>
            </w:tcBorders>
            <w:vAlign w:val="center"/>
          </w:tcPr>
          <w:p w14:paraId="2DC51F6F" w14:textId="4D7A261E" w:rsidR="00266261" w:rsidRDefault="00266261" w:rsidP="00266261">
            <w:pPr>
              <w:spacing w:after="0" w:line="240" w:lineRule="auto"/>
              <w:jc w:val="center"/>
              <w:rPr>
                <w:b/>
                <w:color w:val="FF0000"/>
                <w:sz w:val="18"/>
                <w:szCs w:val="18"/>
              </w:rPr>
            </w:pPr>
            <w:r w:rsidRPr="00B62E18">
              <w:rPr>
                <w:b/>
                <w:color w:val="FF0000"/>
                <w:szCs w:val="22"/>
              </w:rPr>
              <w:t>↓</w:t>
            </w:r>
            <w:r w:rsidR="004A6111" w:rsidRPr="00E37F67">
              <w:rPr>
                <w:b/>
                <w:color w:val="FF0000"/>
                <w:sz w:val="18"/>
                <w:szCs w:val="22"/>
              </w:rPr>
              <w:t>99,4</w:t>
            </w:r>
          </w:p>
        </w:tc>
        <w:tc>
          <w:tcPr>
            <w:tcW w:w="1023" w:type="dxa"/>
            <w:tcBorders>
              <w:top w:val="single" w:sz="2" w:space="0" w:color="F6BB00"/>
              <w:bottom w:val="single" w:sz="2" w:space="0" w:color="F6BB00"/>
              <w:right w:val="nil"/>
            </w:tcBorders>
            <w:shd w:val="clear" w:color="auto" w:fill="auto"/>
            <w:vAlign w:val="bottom"/>
          </w:tcPr>
          <w:p w14:paraId="5BAF0BD6" w14:textId="00EADF03" w:rsidR="00266261" w:rsidRPr="00E37F67" w:rsidRDefault="00266261" w:rsidP="00266261">
            <w:pPr>
              <w:spacing w:after="0" w:line="240" w:lineRule="auto"/>
              <w:jc w:val="center"/>
              <w:rPr>
                <w:b/>
                <w:color w:val="FF0000"/>
                <w:sz w:val="18"/>
                <w:szCs w:val="18"/>
              </w:rPr>
            </w:pPr>
          </w:p>
        </w:tc>
      </w:tr>
      <w:tr w:rsidR="00266261" w:rsidRPr="00EB1427" w14:paraId="76DE8879" w14:textId="1C38F517" w:rsidTr="00734085">
        <w:tc>
          <w:tcPr>
            <w:tcW w:w="6237" w:type="dxa"/>
            <w:tcBorders>
              <w:top w:val="single" w:sz="2" w:space="0" w:color="F6BB00"/>
              <w:bottom w:val="single" w:sz="2" w:space="0" w:color="F6BB00"/>
            </w:tcBorders>
            <w:vAlign w:val="center"/>
          </w:tcPr>
          <w:p w14:paraId="0748B938" w14:textId="50378885" w:rsidR="00266261" w:rsidRDefault="00266261" w:rsidP="001A1B92">
            <w:pPr>
              <w:spacing w:after="0" w:line="240" w:lineRule="auto"/>
              <w:ind w:left="601"/>
              <w:jc w:val="left"/>
              <w:rPr>
                <w:sz w:val="18"/>
                <w:szCs w:val="18"/>
              </w:rPr>
            </w:pPr>
            <w:r>
              <w:rPr>
                <w:sz w:val="18"/>
                <w:szCs w:val="18"/>
              </w:rPr>
              <w:t>OSI Leszno</w:t>
            </w:r>
          </w:p>
        </w:tc>
        <w:tc>
          <w:tcPr>
            <w:tcW w:w="1672" w:type="dxa"/>
            <w:gridSpan w:val="3"/>
            <w:tcBorders>
              <w:top w:val="single" w:sz="2" w:space="0" w:color="F6BB00"/>
              <w:bottom w:val="single" w:sz="2" w:space="0" w:color="F6BB00"/>
            </w:tcBorders>
            <w:vAlign w:val="center"/>
          </w:tcPr>
          <w:p w14:paraId="1EEFF6DF" w14:textId="02345725" w:rsidR="00266261" w:rsidRDefault="00266261" w:rsidP="00266261">
            <w:pPr>
              <w:spacing w:after="0" w:line="240" w:lineRule="auto"/>
              <w:jc w:val="center"/>
              <w:rPr>
                <w:b/>
                <w:color w:val="FF0000"/>
                <w:sz w:val="18"/>
                <w:szCs w:val="18"/>
              </w:rPr>
            </w:pPr>
            <w:r w:rsidRPr="007C3D9A">
              <w:rPr>
                <w:b/>
                <w:color w:val="00B050"/>
                <w:szCs w:val="22"/>
              </w:rPr>
              <w:t>↑</w:t>
            </w:r>
            <w:r w:rsidR="004A6111" w:rsidRPr="00E37F67">
              <w:rPr>
                <w:b/>
                <w:color w:val="00B050"/>
                <w:sz w:val="18"/>
                <w:szCs w:val="22"/>
              </w:rPr>
              <w:t>101,6</w:t>
            </w:r>
          </w:p>
        </w:tc>
        <w:tc>
          <w:tcPr>
            <w:tcW w:w="1023" w:type="dxa"/>
            <w:tcBorders>
              <w:top w:val="single" w:sz="2" w:space="0" w:color="F6BB00"/>
              <w:bottom w:val="single" w:sz="2" w:space="0" w:color="F6BB00"/>
              <w:right w:val="nil"/>
            </w:tcBorders>
            <w:shd w:val="clear" w:color="auto" w:fill="auto"/>
            <w:vAlign w:val="bottom"/>
          </w:tcPr>
          <w:p w14:paraId="501F34FE" w14:textId="3EB0081F" w:rsidR="00266261" w:rsidRPr="00E37F67" w:rsidRDefault="00266261" w:rsidP="00266261">
            <w:pPr>
              <w:spacing w:after="0" w:line="240" w:lineRule="auto"/>
              <w:jc w:val="center"/>
              <w:rPr>
                <w:b/>
                <w:color w:val="FF0000"/>
                <w:sz w:val="18"/>
                <w:szCs w:val="18"/>
              </w:rPr>
            </w:pPr>
          </w:p>
        </w:tc>
      </w:tr>
      <w:tr w:rsidR="00266261" w:rsidRPr="00EB1427" w14:paraId="40C5291D" w14:textId="2DA46652" w:rsidTr="00734085">
        <w:tc>
          <w:tcPr>
            <w:tcW w:w="6237" w:type="dxa"/>
            <w:tcBorders>
              <w:top w:val="single" w:sz="2" w:space="0" w:color="F6BB00"/>
              <w:bottom w:val="single" w:sz="2" w:space="0" w:color="F6BB00"/>
            </w:tcBorders>
            <w:vAlign w:val="center"/>
          </w:tcPr>
          <w:p w14:paraId="026B5C63" w14:textId="15EA5605" w:rsidR="00266261" w:rsidRDefault="00266261" w:rsidP="001A1B92">
            <w:pPr>
              <w:spacing w:after="0" w:line="240" w:lineRule="auto"/>
              <w:ind w:left="601"/>
              <w:jc w:val="left"/>
              <w:rPr>
                <w:sz w:val="18"/>
                <w:szCs w:val="18"/>
              </w:rPr>
            </w:pPr>
            <w:r w:rsidRPr="007A1F76">
              <w:rPr>
                <w:sz w:val="18"/>
                <w:szCs w:val="18"/>
              </w:rPr>
              <w:t>OSI Piła</w:t>
            </w:r>
          </w:p>
        </w:tc>
        <w:tc>
          <w:tcPr>
            <w:tcW w:w="1672" w:type="dxa"/>
            <w:gridSpan w:val="3"/>
            <w:tcBorders>
              <w:top w:val="single" w:sz="2" w:space="0" w:color="F6BB00"/>
              <w:bottom w:val="single" w:sz="2" w:space="0" w:color="F6BB00"/>
            </w:tcBorders>
            <w:vAlign w:val="center"/>
          </w:tcPr>
          <w:p w14:paraId="3A393C25" w14:textId="23868578" w:rsidR="00266261" w:rsidRDefault="00266261" w:rsidP="00266261">
            <w:pPr>
              <w:spacing w:after="0" w:line="240" w:lineRule="auto"/>
              <w:jc w:val="center"/>
              <w:rPr>
                <w:b/>
                <w:color w:val="FF0000"/>
                <w:sz w:val="18"/>
                <w:szCs w:val="18"/>
              </w:rPr>
            </w:pPr>
            <w:r w:rsidRPr="00B62E18">
              <w:rPr>
                <w:b/>
                <w:color w:val="FF0000"/>
                <w:szCs w:val="22"/>
              </w:rPr>
              <w:t>↓</w:t>
            </w:r>
            <w:r w:rsidR="004A6111" w:rsidRPr="00E37F67">
              <w:rPr>
                <w:b/>
                <w:color w:val="FF0000"/>
                <w:sz w:val="18"/>
                <w:szCs w:val="22"/>
              </w:rPr>
              <w:t>99,3</w:t>
            </w:r>
          </w:p>
        </w:tc>
        <w:tc>
          <w:tcPr>
            <w:tcW w:w="1023" w:type="dxa"/>
            <w:tcBorders>
              <w:top w:val="single" w:sz="2" w:space="0" w:color="F6BB00"/>
              <w:bottom w:val="single" w:sz="2" w:space="0" w:color="F6BB00"/>
              <w:right w:val="nil"/>
            </w:tcBorders>
            <w:shd w:val="clear" w:color="auto" w:fill="auto"/>
            <w:vAlign w:val="bottom"/>
          </w:tcPr>
          <w:p w14:paraId="16F63501" w14:textId="7E948A31" w:rsidR="00266261" w:rsidRPr="00E37F67" w:rsidRDefault="00266261" w:rsidP="00266261">
            <w:pPr>
              <w:spacing w:after="0" w:line="240" w:lineRule="auto"/>
              <w:jc w:val="center"/>
              <w:rPr>
                <w:b/>
                <w:color w:val="FF0000"/>
                <w:sz w:val="18"/>
                <w:szCs w:val="18"/>
              </w:rPr>
            </w:pPr>
          </w:p>
        </w:tc>
      </w:tr>
      <w:tr w:rsidR="00266261" w:rsidRPr="00EB1427" w14:paraId="74E416E2" w14:textId="2066A75F" w:rsidTr="00734085">
        <w:tc>
          <w:tcPr>
            <w:tcW w:w="6237" w:type="dxa"/>
            <w:tcBorders>
              <w:top w:val="single" w:sz="2" w:space="0" w:color="F6BB00"/>
              <w:bottom w:val="single" w:sz="2" w:space="0" w:color="F6BB00"/>
            </w:tcBorders>
            <w:vAlign w:val="center"/>
          </w:tcPr>
          <w:p w14:paraId="0AA87A26" w14:textId="0227557F" w:rsidR="00266261" w:rsidRPr="007A1F76" w:rsidRDefault="00266261" w:rsidP="001A1B92">
            <w:pPr>
              <w:spacing w:after="0" w:line="240" w:lineRule="auto"/>
              <w:ind w:left="601"/>
              <w:jc w:val="left"/>
              <w:rPr>
                <w:sz w:val="18"/>
                <w:szCs w:val="18"/>
              </w:rPr>
            </w:pPr>
            <w:r>
              <w:rPr>
                <w:sz w:val="18"/>
                <w:szCs w:val="18"/>
              </w:rPr>
              <w:t>Miasto Poznań</w:t>
            </w:r>
          </w:p>
        </w:tc>
        <w:tc>
          <w:tcPr>
            <w:tcW w:w="1672" w:type="dxa"/>
            <w:gridSpan w:val="3"/>
            <w:tcBorders>
              <w:top w:val="single" w:sz="2" w:space="0" w:color="F6BB00"/>
              <w:bottom w:val="single" w:sz="2" w:space="0" w:color="F6BB00"/>
            </w:tcBorders>
            <w:vAlign w:val="center"/>
          </w:tcPr>
          <w:p w14:paraId="7C62C9C9" w14:textId="2F9BB25E" w:rsidR="00266261" w:rsidRPr="00B62E18" w:rsidRDefault="00266261" w:rsidP="00266261">
            <w:pPr>
              <w:spacing w:after="0" w:line="240" w:lineRule="auto"/>
              <w:jc w:val="center"/>
              <w:rPr>
                <w:b/>
                <w:color w:val="FF0000"/>
                <w:szCs w:val="22"/>
              </w:rPr>
            </w:pPr>
            <w:r w:rsidRPr="00B62E18">
              <w:rPr>
                <w:b/>
                <w:color w:val="FF0000"/>
                <w:szCs w:val="22"/>
              </w:rPr>
              <w:t>↓</w:t>
            </w:r>
            <w:r w:rsidR="004A6111" w:rsidRPr="00E37F67">
              <w:rPr>
                <w:b/>
                <w:color w:val="FF0000"/>
                <w:sz w:val="18"/>
                <w:szCs w:val="22"/>
              </w:rPr>
              <w:t>97,8</w:t>
            </w:r>
          </w:p>
        </w:tc>
        <w:tc>
          <w:tcPr>
            <w:tcW w:w="1023" w:type="dxa"/>
            <w:tcBorders>
              <w:top w:val="single" w:sz="2" w:space="0" w:color="F6BB00"/>
            </w:tcBorders>
            <w:vAlign w:val="center"/>
          </w:tcPr>
          <w:p w14:paraId="1D2FA089" w14:textId="0FEDC498" w:rsidR="00266261" w:rsidRPr="00E37F67" w:rsidRDefault="00266261" w:rsidP="00266261">
            <w:pPr>
              <w:spacing w:after="0" w:line="240" w:lineRule="auto"/>
              <w:jc w:val="center"/>
              <w:rPr>
                <w:b/>
                <w:color w:val="FF0000"/>
                <w:sz w:val="18"/>
                <w:szCs w:val="22"/>
              </w:rPr>
            </w:pPr>
          </w:p>
        </w:tc>
      </w:tr>
      <w:tr w:rsidR="00266261" w:rsidRPr="00EB1427" w14:paraId="31F5E74B" w14:textId="77777777" w:rsidTr="00734085">
        <w:tc>
          <w:tcPr>
            <w:tcW w:w="6237" w:type="dxa"/>
            <w:tcBorders>
              <w:top w:val="single" w:sz="2" w:space="0" w:color="F6BB00"/>
              <w:bottom w:val="single" w:sz="2" w:space="0" w:color="F6BB00"/>
            </w:tcBorders>
            <w:shd w:val="clear" w:color="auto" w:fill="F6BB00"/>
            <w:vAlign w:val="center"/>
          </w:tcPr>
          <w:p w14:paraId="0DA0189A" w14:textId="77777777" w:rsidR="00266261" w:rsidRPr="00EB1427" w:rsidRDefault="00266261" w:rsidP="00266261">
            <w:pPr>
              <w:spacing w:after="0" w:line="240" w:lineRule="auto"/>
              <w:jc w:val="left"/>
              <w:rPr>
                <w:sz w:val="18"/>
                <w:szCs w:val="18"/>
              </w:rPr>
            </w:pPr>
            <w:r w:rsidRPr="00AB5EAA">
              <w:rPr>
                <w:sz w:val="18"/>
                <w:szCs w:val="18"/>
              </w:rPr>
              <w:t>Cel strategiczny 5. Zwiększenie spójności województwa</w:t>
            </w:r>
          </w:p>
        </w:tc>
        <w:tc>
          <w:tcPr>
            <w:tcW w:w="850" w:type="dxa"/>
            <w:tcBorders>
              <w:top w:val="single" w:sz="2" w:space="0" w:color="F6BB00"/>
              <w:bottom w:val="single" w:sz="2" w:space="0" w:color="F6BB00"/>
            </w:tcBorders>
            <w:shd w:val="clear" w:color="auto" w:fill="F6BB00"/>
            <w:vAlign w:val="center"/>
          </w:tcPr>
          <w:p w14:paraId="51DC7EE5" w14:textId="77777777" w:rsidR="00266261" w:rsidRPr="00942877" w:rsidRDefault="00266261" w:rsidP="00266261">
            <w:pPr>
              <w:spacing w:after="0" w:line="240" w:lineRule="auto"/>
              <w:jc w:val="center"/>
              <w:rPr>
                <w:b/>
                <w:color w:val="FF0000"/>
                <w:szCs w:val="22"/>
              </w:rPr>
            </w:pPr>
          </w:p>
        </w:tc>
        <w:tc>
          <w:tcPr>
            <w:tcW w:w="567" w:type="dxa"/>
            <w:tcBorders>
              <w:top w:val="single" w:sz="2" w:space="0" w:color="F6BB00"/>
              <w:bottom w:val="single" w:sz="2" w:space="0" w:color="F6BB00"/>
            </w:tcBorders>
            <w:shd w:val="clear" w:color="auto" w:fill="F6BB00"/>
            <w:vAlign w:val="center"/>
          </w:tcPr>
          <w:p w14:paraId="12FD04D1" w14:textId="77777777" w:rsidR="00266261" w:rsidRPr="008B2D2C" w:rsidRDefault="00266261" w:rsidP="00266261">
            <w:pPr>
              <w:spacing w:after="0" w:line="240" w:lineRule="auto"/>
              <w:jc w:val="center"/>
              <w:rPr>
                <w:b/>
                <w:color w:val="FF0000"/>
                <w:sz w:val="18"/>
                <w:szCs w:val="18"/>
              </w:rPr>
            </w:pPr>
          </w:p>
        </w:tc>
        <w:tc>
          <w:tcPr>
            <w:tcW w:w="1278" w:type="dxa"/>
            <w:gridSpan w:val="2"/>
            <w:tcBorders>
              <w:top w:val="single" w:sz="2" w:space="0" w:color="F6BB00"/>
              <w:bottom w:val="single" w:sz="2" w:space="0" w:color="F6BB00"/>
            </w:tcBorders>
            <w:shd w:val="clear" w:color="auto" w:fill="F6BB00"/>
            <w:vAlign w:val="center"/>
          </w:tcPr>
          <w:p w14:paraId="0FAE6F70" w14:textId="77777777" w:rsidR="00266261" w:rsidRPr="0057408C" w:rsidRDefault="00266261" w:rsidP="00266261">
            <w:pPr>
              <w:spacing w:after="0" w:line="240" w:lineRule="auto"/>
              <w:jc w:val="center"/>
              <w:rPr>
                <w:b/>
                <w:sz w:val="18"/>
                <w:szCs w:val="18"/>
              </w:rPr>
            </w:pPr>
          </w:p>
        </w:tc>
      </w:tr>
      <w:tr w:rsidR="00266261" w:rsidRPr="00EB1427" w14:paraId="2B3BBEC3" w14:textId="77777777" w:rsidTr="00734085">
        <w:tc>
          <w:tcPr>
            <w:tcW w:w="6237" w:type="dxa"/>
            <w:tcBorders>
              <w:top w:val="single" w:sz="2" w:space="0" w:color="F6BB00"/>
              <w:bottom w:val="single" w:sz="2" w:space="0" w:color="F6BB00"/>
            </w:tcBorders>
            <w:vAlign w:val="center"/>
          </w:tcPr>
          <w:p w14:paraId="41B6E649" w14:textId="77777777" w:rsidR="00266261" w:rsidRPr="00AB5EAA" w:rsidRDefault="00266261" w:rsidP="00266261">
            <w:pPr>
              <w:spacing w:after="0" w:line="240" w:lineRule="auto"/>
              <w:jc w:val="left"/>
              <w:rPr>
                <w:sz w:val="18"/>
                <w:szCs w:val="18"/>
              </w:rPr>
            </w:pPr>
            <w:r w:rsidRPr="0090030D">
              <w:rPr>
                <w:sz w:val="18"/>
                <w:szCs w:val="18"/>
              </w:rPr>
              <w:t>Pracujący w głównym miejscu pracy ogółem</w:t>
            </w:r>
          </w:p>
        </w:tc>
        <w:tc>
          <w:tcPr>
            <w:tcW w:w="850" w:type="dxa"/>
            <w:tcBorders>
              <w:top w:val="single" w:sz="2" w:space="0" w:color="F6BB00"/>
              <w:bottom w:val="single" w:sz="2" w:space="0" w:color="F6BB00"/>
            </w:tcBorders>
            <w:vAlign w:val="center"/>
          </w:tcPr>
          <w:p w14:paraId="20AD67A5" w14:textId="77777777" w:rsidR="00266261" w:rsidRPr="00A31B47" w:rsidRDefault="00266261" w:rsidP="00734085">
            <w:pPr>
              <w:spacing w:after="0" w:line="240" w:lineRule="auto"/>
              <w:jc w:val="right"/>
              <w:rPr>
                <w:b/>
                <w:color w:val="00B050"/>
                <w:szCs w:val="22"/>
              </w:rPr>
            </w:pPr>
            <w:r w:rsidRPr="00A31B47">
              <w:rPr>
                <w:b/>
                <w:color w:val="00B050"/>
                <w:szCs w:val="22"/>
              </w:rPr>
              <w:t>↑</w:t>
            </w:r>
          </w:p>
        </w:tc>
        <w:tc>
          <w:tcPr>
            <w:tcW w:w="567" w:type="dxa"/>
            <w:tcBorders>
              <w:top w:val="single" w:sz="2" w:space="0" w:color="F6BB00"/>
              <w:bottom w:val="single" w:sz="2" w:space="0" w:color="F6BB00"/>
            </w:tcBorders>
            <w:vAlign w:val="center"/>
          </w:tcPr>
          <w:p w14:paraId="376DF8B6" w14:textId="77777777" w:rsidR="00266261" w:rsidRPr="00A31B47" w:rsidRDefault="00266261" w:rsidP="00266261">
            <w:pPr>
              <w:spacing w:after="0" w:line="240" w:lineRule="auto"/>
              <w:jc w:val="center"/>
              <w:rPr>
                <w:b/>
                <w:color w:val="00B050"/>
                <w:sz w:val="18"/>
                <w:szCs w:val="18"/>
              </w:rPr>
            </w:pPr>
            <w:r w:rsidRPr="00A31B47">
              <w:rPr>
                <w:b/>
                <w:color w:val="00B050"/>
                <w:sz w:val="18"/>
                <w:szCs w:val="18"/>
              </w:rPr>
              <w:t>(4)</w:t>
            </w:r>
          </w:p>
        </w:tc>
        <w:tc>
          <w:tcPr>
            <w:tcW w:w="1278" w:type="dxa"/>
            <w:gridSpan w:val="2"/>
            <w:tcBorders>
              <w:top w:val="single" w:sz="2" w:space="0" w:color="F6BB00"/>
              <w:bottom w:val="single" w:sz="2" w:space="0" w:color="F6BB00"/>
            </w:tcBorders>
            <w:vAlign w:val="center"/>
          </w:tcPr>
          <w:p w14:paraId="10EB3ACF" w14:textId="77777777" w:rsidR="00266261" w:rsidRPr="0057408C" w:rsidRDefault="00266261" w:rsidP="00266261">
            <w:pPr>
              <w:spacing w:after="0" w:line="240" w:lineRule="auto"/>
              <w:jc w:val="center"/>
              <w:rPr>
                <w:b/>
                <w:sz w:val="18"/>
                <w:szCs w:val="18"/>
              </w:rPr>
            </w:pPr>
            <w:r w:rsidRPr="0057408C">
              <w:rPr>
                <w:b/>
                <w:sz w:val="18"/>
                <w:szCs w:val="18"/>
              </w:rPr>
              <w:t>0 (3)</w:t>
            </w:r>
          </w:p>
        </w:tc>
      </w:tr>
      <w:tr w:rsidR="00266261" w:rsidRPr="00EB1427" w14:paraId="03A0150C" w14:textId="77777777" w:rsidTr="00734085">
        <w:tc>
          <w:tcPr>
            <w:tcW w:w="6237" w:type="dxa"/>
            <w:tcBorders>
              <w:top w:val="single" w:sz="2" w:space="0" w:color="F6BB00"/>
              <w:bottom w:val="single" w:sz="2" w:space="0" w:color="F6BB00"/>
            </w:tcBorders>
            <w:vAlign w:val="center"/>
          </w:tcPr>
          <w:p w14:paraId="2E121515" w14:textId="77777777" w:rsidR="00266261" w:rsidRPr="00AB5EAA" w:rsidRDefault="00266261" w:rsidP="00266261">
            <w:pPr>
              <w:spacing w:after="0" w:line="240" w:lineRule="auto"/>
              <w:jc w:val="left"/>
              <w:rPr>
                <w:sz w:val="18"/>
                <w:szCs w:val="18"/>
              </w:rPr>
            </w:pPr>
            <w:r w:rsidRPr="0090030D">
              <w:rPr>
                <w:sz w:val="18"/>
                <w:szCs w:val="18"/>
              </w:rPr>
              <w:t>Pracujący w głównym miejscu pracy na wsi</w:t>
            </w:r>
          </w:p>
        </w:tc>
        <w:tc>
          <w:tcPr>
            <w:tcW w:w="850" w:type="dxa"/>
            <w:tcBorders>
              <w:top w:val="single" w:sz="2" w:space="0" w:color="F6BB00"/>
              <w:bottom w:val="single" w:sz="2" w:space="0" w:color="F6BB00"/>
            </w:tcBorders>
            <w:vAlign w:val="center"/>
          </w:tcPr>
          <w:p w14:paraId="06BFA318" w14:textId="77777777" w:rsidR="00266261" w:rsidRPr="00A31B47" w:rsidRDefault="00266261" w:rsidP="00734085">
            <w:pPr>
              <w:spacing w:after="0" w:line="240" w:lineRule="auto"/>
              <w:jc w:val="right"/>
              <w:rPr>
                <w:b/>
                <w:color w:val="00B050"/>
                <w:szCs w:val="22"/>
              </w:rPr>
            </w:pPr>
            <w:r w:rsidRPr="00A31B47">
              <w:rPr>
                <w:b/>
                <w:color w:val="00B050"/>
                <w:szCs w:val="22"/>
              </w:rPr>
              <w:t>↑</w:t>
            </w:r>
          </w:p>
        </w:tc>
        <w:tc>
          <w:tcPr>
            <w:tcW w:w="567" w:type="dxa"/>
            <w:tcBorders>
              <w:top w:val="single" w:sz="2" w:space="0" w:color="F6BB00"/>
              <w:bottom w:val="single" w:sz="2" w:space="0" w:color="F6BB00"/>
            </w:tcBorders>
            <w:vAlign w:val="center"/>
          </w:tcPr>
          <w:p w14:paraId="00E088BE" w14:textId="77777777" w:rsidR="00266261" w:rsidRPr="00A31B47" w:rsidRDefault="00266261" w:rsidP="00266261">
            <w:pPr>
              <w:spacing w:after="0" w:line="240" w:lineRule="auto"/>
              <w:jc w:val="center"/>
              <w:rPr>
                <w:b/>
                <w:color w:val="00B050"/>
                <w:sz w:val="18"/>
                <w:szCs w:val="18"/>
              </w:rPr>
            </w:pPr>
            <w:r w:rsidRPr="00A31B47">
              <w:rPr>
                <w:b/>
                <w:color w:val="00B050"/>
                <w:sz w:val="18"/>
                <w:szCs w:val="18"/>
              </w:rPr>
              <w:t>(3)</w:t>
            </w:r>
          </w:p>
        </w:tc>
        <w:tc>
          <w:tcPr>
            <w:tcW w:w="1278" w:type="dxa"/>
            <w:gridSpan w:val="2"/>
            <w:tcBorders>
              <w:top w:val="single" w:sz="2" w:space="0" w:color="F6BB00"/>
              <w:bottom w:val="single" w:sz="2" w:space="0" w:color="F6BB00"/>
            </w:tcBorders>
            <w:vAlign w:val="center"/>
          </w:tcPr>
          <w:p w14:paraId="40EA9D44" w14:textId="77777777" w:rsidR="00266261" w:rsidRPr="0057408C" w:rsidRDefault="00266261" w:rsidP="00266261">
            <w:pPr>
              <w:spacing w:after="0" w:line="240" w:lineRule="auto"/>
              <w:jc w:val="center"/>
              <w:rPr>
                <w:b/>
                <w:sz w:val="18"/>
                <w:szCs w:val="18"/>
              </w:rPr>
            </w:pPr>
            <w:r w:rsidRPr="0057408C">
              <w:rPr>
                <w:b/>
                <w:sz w:val="18"/>
                <w:szCs w:val="18"/>
              </w:rPr>
              <w:t>0 (1)</w:t>
            </w:r>
          </w:p>
        </w:tc>
      </w:tr>
      <w:tr w:rsidR="00266261" w:rsidRPr="00EB1427" w14:paraId="78801245" w14:textId="77777777" w:rsidTr="00734085">
        <w:tc>
          <w:tcPr>
            <w:tcW w:w="6237" w:type="dxa"/>
            <w:tcBorders>
              <w:top w:val="single" w:sz="2" w:space="0" w:color="F6BB00"/>
              <w:bottom w:val="single" w:sz="2" w:space="0" w:color="F6BB00"/>
            </w:tcBorders>
            <w:vAlign w:val="center"/>
          </w:tcPr>
          <w:p w14:paraId="2F54160C" w14:textId="77777777" w:rsidR="00266261" w:rsidRPr="00AB5EAA" w:rsidRDefault="00266261" w:rsidP="00266261">
            <w:pPr>
              <w:spacing w:after="0" w:line="240" w:lineRule="auto"/>
              <w:jc w:val="left"/>
              <w:rPr>
                <w:sz w:val="18"/>
                <w:szCs w:val="18"/>
              </w:rPr>
            </w:pPr>
            <w:r w:rsidRPr="0090030D">
              <w:rPr>
                <w:sz w:val="18"/>
                <w:szCs w:val="18"/>
              </w:rPr>
              <w:t>Pracujący w głównym miejscu pracy w miastach</w:t>
            </w:r>
          </w:p>
        </w:tc>
        <w:tc>
          <w:tcPr>
            <w:tcW w:w="850" w:type="dxa"/>
            <w:tcBorders>
              <w:top w:val="single" w:sz="2" w:space="0" w:color="F6BB00"/>
              <w:bottom w:val="single" w:sz="2" w:space="0" w:color="F6BB00"/>
            </w:tcBorders>
            <w:vAlign w:val="center"/>
          </w:tcPr>
          <w:p w14:paraId="47DE9609" w14:textId="77777777" w:rsidR="00266261" w:rsidRPr="00A31B47" w:rsidRDefault="00266261" w:rsidP="00734085">
            <w:pPr>
              <w:spacing w:after="0" w:line="240" w:lineRule="auto"/>
              <w:jc w:val="right"/>
              <w:rPr>
                <w:b/>
                <w:color w:val="00B050"/>
                <w:szCs w:val="22"/>
              </w:rPr>
            </w:pPr>
            <w:r w:rsidRPr="00A31B47">
              <w:rPr>
                <w:b/>
                <w:color w:val="00B050"/>
                <w:szCs w:val="22"/>
              </w:rPr>
              <w:t>↑</w:t>
            </w:r>
          </w:p>
        </w:tc>
        <w:tc>
          <w:tcPr>
            <w:tcW w:w="567" w:type="dxa"/>
            <w:tcBorders>
              <w:top w:val="single" w:sz="2" w:space="0" w:color="F6BB00"/>
              <w:bottom w:val="single" w:sz="2" w:space="0" w:color="F6BB00"/>
            </w:tcBorders>
            <w:vAlign w:val="center"/>
          </w:tcPr>
          <w:p w14:paraId="412EC2A4" w14:textId="77777777" w:rsidR="00266261" w:rsidRPr="00A31B47" w:rsidRDefault="00266261" w:rsidP="00266261">
            <w:pPr>
              <w:spacing w:after="0" w:line="240" w:lineRule="auto"/>
              <w:jc w:val="center"/>
              <w:rPr>
                <w:b/>
                <w:color w:val="00B050"/>
                <w:sz w:val="18"/>
                <w:szCs w:val="18"/>
              </w:rPr>
            </w:pPr>
            <w:r w:rsidRPr="00A31B47">
              <w:rPr>
                <w:b/>
                <w:color w:val="00B050"/>
                <w:sz w:val="18"/>
                <w:szCs w:val="18"/>
              </w:rPr>
              <w:t>(5)</w:t>
            </w:r>
          </w:p>
        </w:tc>
        <w:tc>
          <w:tcPr>
            <w:tcW w:w="1278" w:type="dxa"/>
            <w:gridSpan w:val="2"/>
            <w:tcBorders>
              <w:top w:val="single" w:sz="2" w:space="0" w:color="F6BB00"/>
              <w:bottom w:val="single" w:sz="2" w:space="0" w:color="F6BB00"/>
            </w:tcBorders>
            <w:vAlign w:val="center"/>
          </w:tcPr>
          <w:p w14:paraId="39EDF295" w14:textId="77777777" w:rsidR="00266261" w:rsidRPr="0057408C" w:rsidRDefault="00266261" w:rsidP="00266261">
            <w:pPr>
              <w:spacing w:after="0" w:line="240" w:lineRule="auto"/>
              <w:jc w:val="center"/>
              <w:rPr>
                <w:b/>
                <w:sz w:val="18"/>
                <w:szCs w:val="18"/>
              </w:rPr>
            </w:pPr>
            <w:r w:rsidRPr="0057408C">
              <w:rPr>
                <w:b/>
                <w:sz w:val="18"/>
                <w:szCs w:val="18"/>
              </w:rPr>
              <w:t>0 (3)</w:t>
            </w:r>
          </w:p>
        </w:tc>
      </w:tr>
      <w:tr w:rsidR="00266261" w:rsidRPr="00EB1427" w14:paraId="4859149E" w14:textId="77777777" w:rsidTr="00734085">
        <w:tc>
          <w:tcPr>
            <w:tcW w:w="6237" w:type="dxa"/>
            <w:tcBorders>
              <w:top w:val="single" w:sz="2" w:space="0" w:color="F6BB00"/>
              <w:bottom w:val="single" w:sz="2" w:space="0" w:color="F6BB00"/>
            </w:tcBorders>
            <w:vAlign w:val="center"/>
          </w:tcPr>
          <w:p w14:paraId="6449E098" w14:textId="77777777" w:rsidR="00266261" w:rsidRPr="00AB5EAA" w:rsidRDefault="00266261" w:rsidP="00266261">
            <w:pPr>
              <w:spacing w:after="0" w:line="240" w:lineRule="auto"/>
              <w:jc w:val="left"/>
              <w:rPr>
                <w:sz w:val="18"/>
                <w:szCs w:val="18"/>
              </w:rPr>
            </w:pPr>
            <w:r w:rsidRPr="0090030D">
              <w:rPr>
                <w:sz w:val="18"/>
                <w:szCs w:val="18"/>
              </w:rPr>
              <w:t>Bezrobotni zarejestrowani ogółem</w:t>
            </w:r>
          </w:p>
        </w:tc>
        <w:tc>
          <w:tcPr>
            <w:tcW w:w="850" w:type="dxa"/>
            <w:tcBorders>
              <w:top w:val="single" w:sz="2" w:space="0" w:color="F6BB00"/>
              <w:bottom w:val="single" w:sz="2" w:space="0" w:color="F6BB00"/>
            </w:tcBorders>
            <w:vAlign w:val="center"/>
          </w:tcPr>
          <w:p w14:paraId="013A070E" w14:textId="77777777" w:rsidR="00266261" w:rsidRPr="00A31B47" w:rsidRDefault="00266261" w:rsidP="00734085">
            <w:pPr>
              <w:spacing w:after="0" w:line="240" w:lineRule="auto"/>
              <w:jc w:val="right"/>
              <w:rPr>
                <w:b/>
                <w:color w:val="00B050"/>
                <w:szCs w:val="22"/>
              </w:rPr>
            </w:pPr>
            <w:r w:rsidRPr="00A31B47">
              <w:rPr>
                <w:b/>
                <w:color w:val="00B050"/>
                <w:szCs w:val="22"/>
              </w:rPr>
              <w:t>↓</w:t>
            </w:r>
          </w:p>
        </w:tc>
        <w:tc>
          <w:tcPr>
            <w:tcW w:w="567" w:type="dxa"/>
            <w:tcBorders>
              <w:top w:val="single" w:sz="2" w:space="0" w:color="F6BB00"/>
              <w:bottom w:val="single" w:sz="2" w:space="0" w:color="F6BB00"/>
            </w:tcBorders>
            <w:vAlign w:val="center"/>
          </w:tcPr>
          <w:p w14:paraId="2A2D63C7" w14:textId="5CA2F1A5" w:rsidR="00266261" w:rsidRPr="00A31B47" w:rsidRDefault="00266261" w:rsidP="00266261">
            <w:pPr>
              <w:spacing w:after="0" w:line="240" w:lineRule="auto"/>
              <w:jc w:val="center"/>
              <w:rPr>
                <w:b/>
                <w:color w:val="00B050"/>
                <w:sz w:val="18"/>
                <w:szCs w:val="18"/>
              </w:rPr>
            </w:pPr>
            <w:r w:rsidRPr="00A31B47">
              <w:rPr>
                <w:b/>
                <w:color w:val="00B050"/>
                <w:sz w:val="18"/>
                <w:szCs w:val="18"/>
              </w:rPr>
              <w:t>(1)</w:t>
            </w:r>
          </w:p>
        </w:tc>
        <w:tc>
          <w:tcPr>
            <w:tcW w:w="1278" w:type="dxa"/>
            <w:gridSpan w:val="2"/>
            <w:tcBorders>
              <w:top w:val="single" w:sz="2" w:space="0" w:color="F6BB00"/>
              <w:bottom w:val="single" w:sz="2" w:space="0" w:color="F6BB00"/>
            </w:tcBorders>
            <w:vAlign w:val="center"/>
          </w:tcPr>
          <w:p w14:paraId="2A598BE8" w14:textId="644C4293" w:rsidR="00266261" w:rsidRPr="0057408C" w:rsidRDefault="00266261" w:rsidP="00266261">
            <w:pPr>
              <w:spacing w:after="0" w:line="240" w:lineRule="auto"/>
              <w:jc w:val="center"/>
              <w:rPr>
                <w:b/>
                <w:color w:val="00B050"/>
                <w:sz w:val="18"/>
                <w:szCs w:val="18"/>
              </w:rPr>
            </w:pPr>
            <w:r>
              <w:rPr>
                <w:b/>
                <w:color w:val="00B050"/>
                <w:sz w:val="18"/>
                <w:szCs w:val="18"/>
              </w:rPr>
              <w:t>+</w:t>
            </w:r>
            <w:r w:rsidRPr="0057408C">
              <w:rPr>
                <w:b/>
                <w:color w:val="00B050"/>
                <w:sz w:val="18"/>
                <w:szCs w:val="18"/>
              </w:rPr>
              <w:t>2 (</w:t>
            </w:r>
            <w:r>
              <w:rPr>
                <w:b/>
                <w:color w:val="00B050"/>
                <w:sz w:val="18"/>
                <w:szCs w:val="18"/>
              </w:rPr>
              <w:t>7</w:t>
            </w:r>
            <w:r w:rsidRPr="0057408C">
              <w:rPr>
                <w:b/>
                <w:color w:val="00B050"/>
                <w:sz w:val="18"/>
                <w:szCs w:val="18"/>
              </w:rPr>
              <w:t>)</w:t>
            </w:r>
          </w:p>
        </w:tc>
      </w:tr>
      <w:tr w:rsidR="00266261" w:rsidRPr="00EB1427" w14:paraId="1BA02CED" w14:textId="77777777" w:rsidTr="00734085">
        <w:tc>
          <w:tcPr>
            <w:tcW w:w="6237" w:type="dxa"/>
            <w:tcBorders>
              <w:top w:val="single" w:sz="2" w:space="0" w:color="F6BB00"/>
              <w:bottom w:val="single" w:sz="2" w:space="0" w:color="F6BB00"/>
            </w:tcBorders>
            <w:vAlign w:val="center"/>
          </w:tcPr>
          <w:p w14:paraId="1C78BE9D" w14:textId="77777777" w:rsidR="00266261" w:rsidRPr="00AB5EAA" w:rsidRDefault="00266261" w:rsidP="00266261">
            <w:pPr>
              <w:spacing w:after="0" w:line="240" w:lineRule="auto"/>
              <w:jc w:val="left"/>
              <w:rPr>
                <w:sz w:val="18"/>
                <w:szCs w:val="18"/>
              </w:rPr>
            </w:pPr>
            <w:r w:rsidRPr="0090030D">
              <w:rPr>
                <w:sz w:val="18"/>
                <w:szCs w:val="18"/>
              </w:rPr>
              <w:t>Bezrobotni zarejestrowani zamieszkali na wsi</w:t>
            </w:r>
          </w:p>
        </w:tc>
        <w:tc>
          <w:tcPr>
            <w:tcW w:w="850" w:type="dxa"/>
            <w:tcBorders>
              <w:top w:val="single" w:sz="2" w:space="0" w:color="F6BB00"/>
              <w:bottom w:val="single" w:sz="2" w:space="0" w:color="F6BB00"/>
            </w:tcBorders>
            <w:vAlign w:val="center"/>
          </w:tcPr>
          <w:p w14:paraId="5F355AA9" w14:textId="77777777" w:rsidR="00266261" w:rsidRPr="00A31B47" w:rsidRDefault="00266261" w:rsidP="00734085">
            <w:pPr>
              <w:spacing w:after="0" w:line="240" w:lineRule="auto"/>
              <w:jc w:val="right"/>
              <w:rPr>
                <w:b/>
                <w:color w:val="00B050"/>
                <w:szCs w:val="22"/>
              </w:rPr>
            </w:pPr>
            <w:r w:rsidRPr="00A31B47">
              <w:rPr>
                <w:b/>
                <w:color w:val="00B050"/>
                <w:szCs w:val="22"/>
              </w:rPr>
              <w:t>↓</w:t>
            </w:r>
          </w:p>
        </w:tc>
        <w:tc>
          <w:tcPr>
            <w:tcW w:w="567" w:type="dxa"/>
            <w:tcBorders>
              <w:top w:val="single" w:sz="2" w:space="0" w:color="F6BB00"/>
              <w:bottom w:val="single" w:sz="2" w:space="0" w:color="F6BB00"/>
            </w:tcBorders>
            <w:vAlign w:val="center"/>
          </w:tcPr>
          <w:p w14:paraId="1CE3E621" w14:textId="5D3929CC" w:rsidR="00266261" w:rsidRPr="00A31B47" w:rsidRDefault="00266261" w:rsidP="00266261">
            <w:pPr>
              <w:spacing w:after="0" w:line="240" w:lineRule="auto"/>
              <w:jc w:val="center"/>
              <w:rPr>
                <w:b/>
                <w:color w:val="00B050"/>
                <w:sz w:val="18"/>
                <w:szCs w:val="18"/>
              </w:rPr>
            </w:pPr>
            <w:r w:rsidRPr="00A31B47">
              <w:rPr>
                <w:b/>
                <w:color w:val="00B050"/>
                <w:sz w:val="18"/>
                <w:szCs w:val="18"/>
              </w:rPr>
              <w:t>(1)</w:t>
            </w:r>
          </w:p>
        </w:tc>
        <w:tc>
          <w:tcPr>
            <w:tcW w:w="1278" w:type="dxa"/>
            <w:gridSpan w:val="2"/>
            <w:tcBorders>
              <w:top w:val="single" w:sz="2" w:space="0" w:color="F6BB00"/>
              <w:bottom w:val="single" w:sz="2" w:space="0" w:color="F6BB00"/>
            </w:tcBorders>
            <w:vAlign w:val="center"/>
          </w:tcPr>
          <w:p w14:paraId="6E004691" w14:textId="3E0370FB" w:rsidR="00266261" w:rsidRPr="0057408C" w:rsidRDefault="00266261" w:rsidP="00266261">
            <w:pPr>
              <w:spacing w:after="0" w:line="240" w:lineRule="auto"/>
              <w:jc w:val="center"/>
              <w:rPr>
                <w:b/>
                <w:color w:val="00B050"/>
                <w:sz w:val="18"/>
                <w:szCs w:val="18"/>
              </w:rPr>
            </w:pPr>
            <w:r>
              <w:rPr>
                <w:b/>
                <w:color w:val="00B050"/>
                <w:sz w:val="18"/>
                <w:szCs w:val="18"/>
              </w:rPr>
              <w:t>+</w:t>
            </w:r>
            <w:r w:rsidRPr="0057408C">
              <w:rPr>
                <w:b/>
                <w:color w:val="00B050"/>
                <w:sz w:val="18"/>
                <w:szCs w:val="18"/>
              </w:rPr>
              <w:t>2 (</w:t>
            </w:r>
            <w:r>
              <w:rPr>
                <w:b/>
                <w:color w:val="00B050"/>
                <w:sz w:val="18"/>
                <w:szCs w:val="18"/>
              </w:rPr>
              <w:t>10</w:t>
            </w:r>
            <w:r w:rsidRPr="0057408C">
              <w:rPr>
                <w:b/>
                <w:color w:val="00B050"/>
                <w:sz w:val="18"/>
                <w:szCs w:val="18"/>
              </w:rPr>
              <w:t>)</w:t>
            </w:r>
          </w:p>
        </w:tc>
      </w:tr>
      <w:tr w:rsidR="00266261" w:rsidRPr="00EB1427" w14:paraId="44CADD7E" w14:textId="77777777" w:rsidTr="00734085">
        <w:tc>
          <w:tcPr>
            <w:tcW w:w="6237" w:type="dxa"/>
            <w:tcBorders>
              <w:top w:val="single" w:sz="2" w:space="0" w:color="F6BB00"/>
              <w:bottom w:val="single" w:sz="2" w:space="0" w:color="F6BB00"/>
            </w:tcBorders>
            <w:vAlign w:val="center"/>
          </w:tcPr>
          <w:p w14:paraId="6AE84A80" w14:textId="77777777" w:rsidR="00266261" w:rsidRPr="00AB5EAA" w:rsidRDefault="00266261" w:rsidP="00266261">
            <w:pPr>
              <w:spacing w:after="0" w:line="240" w:lineRule="auto"/>
              <w:jc w:val="left"/>
              <w:rPr>
                <w:sz w:val="18"/>
                <w:szCs w:val="18"/>
              </w:rPr>
            </w:pPr>
            <w:r w:rsidRPr="0090030D">
              <w:rPr>
                <w:sz w:val="18"/>
                <w:szCs w:val="18"/>
              </w:rPr>
              <w:t>Bezrobotni zarejestrowani ogółem zamieszkali w mieście</w:t>
            </w:r>
          </w:p>
        </w:tc>
        <w:tc>
          <w:tcPr>
            <w:tcW w:w="850" w:type="dxa"/>
            <w:tcBorders>
              <w:top w:val="single" w:sz="2" w:space="0" w:color="F6BB00"/>
              <w:bottom w:val="single" w:sz="2" w:space="0" w:color="F6BB00"/>
            </w:tcBorders>
            <w:vAlign w:val="center"/>
          </w:tcPr>
          <w:p w14:paraId="6C7EF880" w14:textId="77777777" w:rsidR="00266261" w:rsidRPr="00A31B47" w:rsidRDefault="00266261" w:rsidP="00734085">
            <w:pPr>
              <w:spacing w:after="0" w:line="240" w:lineRule="auto"/>
              <w:jc w:val="right"/>
              <w:rPr>
                <w:b/>
                <w:color w:val="00B050"/>
                <w:szCs w:val="22"/>
              </w:rPr>
            </w:pPr>
            <w:r w:rsidRPr="00A31B47">
              <w:rPr>
                <w:b/>
                <w:color w:val="00B050"/>
                <w:szCs w:val="22"/>
              </w:rPr>
              <w:t>↓</w:t>
            </w:r>
          </w:p>
        </w:tc>
        <w:tc>
          <w:tcPr>
            <w:tcW w:w="567" w:type="dxa"/>
            <w:tcBorders>
              <w:top w:val="single" w:sz="2" w:space="0" w:color="F6BB00"/>
              <w:bottom w:val="single" w:sz="2" w:space="0" w:color="F6BB00"/>
            </w:tcBorders>
            <w:vAlign w:val="center"/>
          </w:tcPr>
          <w:p w14:paraId="5E1024D5" w14:textId="77777777" w:rsidR="00266261" w:rsidRPr="00A31B47" w:rsidRDefault="00266261" w:rsidP="00266261">
            <w:pPr>
              <w:spacing w:after="0" w:line="240" w:lineRule="auto"/>
              <w:jc w:val="center"/>
              <w:rPr>
                <w:b/>
                <w:color w:val="00B050"/>
                <w:sz w:val="18"/>
                <w:szCs w:val="18"/>
              </w:rPr>
            </w:pPr>
            <w:r w:rsidRPr="00A31B47">
              <w:rPr>
                <w:b/>
                <w:color w:val="00B050"/>
                <w:sz w:val="18"/>
                <w:szCs w:val="18"/>
              </w:rPr>
              <w:t>(16)</w:t>
            </w:r>
          </w:p>
        </w:tc>
        <w:tc>
          <w:tcPr>
            <w:tcW w:w="1278" w:type="dxa"/>
            <w:gridSpan w:val="2"/>
            <w:tcBorders>
              <w:top w:val="single" w:sz="2" w:space="0" w:color="F6BB00"/>
              <w:bottom w:val="single" w:sz="2" w:space="0" w:color="F6BB00"/>
            </w:tcBorders>
            <w:vAlign w:val="center"/>
          </w:tcPr>
          <w:p w14:paraId="2C61F398" w14:textId="188CF2BD" w:rsidR="00266261" w:rsidRPr="0057408C" w:rsidRDefault="00266261" w:rsidP="00266261">
            <w:pPr>
              <w:spacing w:after="0" w:line="240" w:lineRule="auto"/>
              <w:jc w:val="center"/>
              <w:rPr>
                <w:b/>
                <w:color w:val="00B050"/>
                <w:sz w:val="18"/>
                <w:szCs w:val="18"/>
              </w:rPr>
            </w:pPr>
            <w:r>
              <w:rPr>
                <w:b/>
                <w:color w:val="00B050"/>
                <w:sz w:val="18"/>
                <w:szCs w:val="18"/>
              </w:rPr>
              <w:t>+</w:t>
            </w:r>
            <w:r w:rsidRPr="0057408C">
              <w:rPr>
                <w:b/>
                <w:color w:val="00B050"/>
                <w:sz w:val="18"/>
                <w:szCs w:val="18"/>
              </w:rPr>
              <w:t>3 (</w:t>
            </w:r>
            <w:r>
              <w:rPr>
                <w:b/>
                <w:color w:val="00B050"/>
                <w:sz w:val="18"/>
                <w:szCs w:val="18"/>
              </w:rPr>
              <w:t>1</w:t>
            </w:r>
            <w:r w:rsidRPr="0057408C">
              <w:rPr>
                <w:b/>
                <w:color w:val="00B050"/>
                <w:sz w:val="18"/>
                <w:szCs w:val="18"/>
              </w:rPr>
              <w:t>)</w:t>
            </w:r>
          </w:p>
        </w:tc>
      </w:tr>
      <w:tr w:rsidR="00266261" w:rsidRPr="00EB1427" w14:paraId="387EF516" w14:textId="77777777" w:rsidTr="00734085">
        <w:tc>
          <w:tcPr>
            <w:tcW w:w="6237" w:type="dxa"/>
            <w:tcBorders>
              <w:top w:val="single" w:sz="2" w:space="0" w:color="F6BB00"/>
              <w:bottom w:val="single" w:sz="2" w:space="0" w:color="F6BB00"/>
            </w:tcBorders>
            <w:vAlign w:val="center"/>
          </w:tcPr>
          <w:p w14:paraId="35A00B5B" w14:textId="77777777" w:rsidR="00266261" w:rsidRPr="00AB5EAA" w:rsidRDefault="00266261" w:rsidP="00266261">
            <w:pPr>
              <w:spacing w:after="0" w:line="240" w:lineRule="auto"/>
              <w:jc w:val="left"/>
              <w:rPr>
                <w:sz w:val="18"/>
                <w:szCs w:val="18"/>
              </w:rPr>
            </w:pPr>
            <w:r w:rsidRPr="0090030D">
              <w:rPr>
                <w:sz w:val="18"/>
                <w:szCs w:val="18"/>
              </w:rPr>
              <w:t>Podmioty gospodarki narodowej wpisane do rejestru REGON na 10 tys. ludności</w:t>
            </w:r>
          </w:p>
        </w:tc>
        <w:tc>
          <w:tcPr>
            <w:tcW w:w="850" w:type="dxa"/>
            <w:tcBorders>
              <w:top w:val="single" w:sz="2" w:space="0" w:color="F6BB00"/>
              <w:bottom w:val="single" w:sz="2" w:space="0" w:color="F6BB00"/>
            </w:tcBorders>
            <w:vAlign w:val="center"/>
          </w:tcPr>
          <w:p w14:paraId="57E08111" w14:textId="77777777" w:rsidR="00266261" w:rsidRPr="006F7519" w:rsidRDefault="00266261" w:rsidP="00734085">
            <w:pPr>
              <w:spacing w:after="0" w:line="240" w:lineRule="auto"/>
              <w:jc w:val="right"/>
              <w:rPr>
                <w:b/>
                <w:color w:val="00B050"/>
                <w:szCs w:val="22"/>
              </w:rPr>
            </w:pPr>
            <w:r w:rsidRPr="006F7519">
              <w:rPr>
                <w:b/>
                <w:color w:val="00B050"/>
                <w:szCs w:val="22"/>
              </w:rPr>
              <w:t>↑</w:t>
            </w:r>
          </w:p>
        </w:tc>
        <w:tc>
          <w:tcPr>
            <w:tcW w:w="567" w:type="dxa"/>
            <w:tcBorders>
              <w:top w:val="single" w:sz="2" w:space="0" w:color="F6BB00"/>
              <w:bottom w:val="single" w:sz="2" w:space="0" w:color="F6BB00"/>
            </w:tcBorders>
            <w:vAlign w:val="center"/>
          </w:tcPr>
          <w:p w14:paraId="5AC44F4D" w14:textId="77777777" w:rsidR="00266261" w:rsidRPr="006F7519" w:rsidRDefault="00266261" w:rsidP="00266261">
            <w:pPr>
              <w:spacing w:after="0" w:line="240" w:lineRule="auto"/>
              <w:jc w:val="center"/>
              <w:rPr>
                <w:b/>
                <w:color w:val="00B050"/>
                <w:sz w:val="18"/>
                <w:szCs w:val="18"/>
              </w:rPr>
            </w:pPr>
            <w:r w:rsidRPr="006F7519">
              <w:rPr>
                <w:b/>
                <w:color w:val="00B050"/>
                <w:sz w:val="18"/>
                <w:szCs w:val="18"/>
              </w:rPr>
              <w:t>(8)</w:t>
            </w:r>
          </w:p>
        </w:tc>
        <w:tc>
          <w:tcPr>
            <w:tcW w:w="1278" w:type="dxa"/>
            <w:gridSpan w:val="2"/>
            <w:tcBorders>
              <w:top w:val="single" w:sz="2" w:space="0" w:color="F6BB00"/>
              <w:bottom w:val="single" w:sz="2" w:space="0" w:color="F6BB00"/>
            </w:tcBorders>
            <w:vAlign w:val="center"/>
          </w:tcPr>
          <w:p w14:paraId="38232CEB" w14:textId="77777777" w:rsidR="00266261" w:rsidRPr="0057408C" w:rsidRDefault="00266261" w:rsidP="00266261">
            <w:pPr>
              <w:spacing w:after="0" w:line="240" w:lineRule="auto"/>
              <w:jc w:val="center"/>
              <w:rPr>
                <w:b/>
                <w:sz w:val="18"/>
                <w:szCs w:val="18"/>
              </w:rPr>
            </w:pPr>
            <w:r w:rsidRPr="0057408C">
              <w:rPr>
                <w:b/>
                <w:sz w:val="18"/>
                <w:szCs w:val="18"/>
              </w:rPr>
              <w:t>0 (5)</w:t>
            </w:r>
          </w:p>
        </w:tc>
      </w:tr>
      <w:tr w:rsidR="00266261" w:rsidRPr="00EB1427" w14:paraId="07091A2B" w14:textId="77777777" w:rsidTr="00734085">
        <w:trPr>
          <w:trHeight w:val="173"/>
        </w:trPr>
        <w:tc>
          <w:tcPr>
            <w:tcW w:w="6237" w:type="dxa"/>
            <w:tcBorders>
              <w:top w:val="single" w:sz="2" w:space="0" w:color="F6BB00"/>
              <w:bottom w:val="single" w:sz="2" w:space="0" w:color="F6BB00"/>
            </w:tcBorders>
            <w:vAlign w:val="center"/>
          </w:tcPr>
          <w:p w14:paraId="798D0BEE" w14:textId="77777777" w:rsidR="00266261" w:rsidRPr="00AB5EAA" w:rsidRDefault="00266261" w:rsidP="00266261">
            <w:pPr>
              <w:spacing w:after="0" w:line="240" w:lineRule="auto"/>
              <w:jc w:val="left"/>
              <w:rPr>
                <w:sz w:val="18"/>
                <w:szCs w:val="18"/>
              </w:rPr>
            </w:pPr>
            <w:r w:rsidRPr="00DC2EB5">
              <w:rPr>
                <w:sz w:val="18"/>
                <w:szCs w:val="18"/>
              </w:rPr>
              <w:t>Podmioty gospodarki narodowej wpisane do rejestru REGON na 10 tys. ludności na wsi</w:t>
            </w:r>
          </w:p>
        </w:tc>
        <w:tc>
          <w:tcPr>
            <w:tcW w:w="850" w:type="dxa"/>
            <w:tcBorders>
              <w:top w:val="single" w:sz="2" w:space="0" w:color="F6BB00"/>
              <w:bottom w:val="single" w:sz="2" w:space="0" w:color="F6BB00"/>
            </w:tcBorders>
            <w:vAlign w:val="center"/>
          </w:tcPr>
          <w:p w14:paraId="330F997B" w14:textId="77777777" w:rsidR="00266261" w:rsidRPr="006F7519" w:rsidRDefault="00266261" w:rsidP="00734085">
            <w:pPr>
              <w:spacing w:after="0" w:line="240" w:lineRule="auto"/>
              <w:jc w:val="right"/>
              <w:rPr>
                <w:b/>
                <w:color w:val="00B050"/>
                <w:szCs w:val="22"/>
              </w:rPr>
            </w:pPr>
            <w:r w:rsidRPr="006F7519">
              <w:rPr>
                <w:b/>
                <w:color w:val="00B050"/>
                <w:szCs w:val="22"/>
              </w:rPr>
              <w:t>↑</w:t>
            </w:r>
          </w:p>
        </w:tc>
        <w:tc>
          <w:tcPr>
            <w:tcW w:w="567" w:type="dxa"/>
            <w:tcBorders>
              <w:top w:val="single" w:sz="2" w:space="0" w:color="F6BB00"/>
              <w:bottom w:val="single" w:sz="2" w:space="0" w:color="F6BB00"/>
            </w:tcBorders>
            <w:vAlign w:val="center"/>
          </w:tcPr>
          <w:p w14:paraId="787FCC70" w14:textId="77777777" w:rsidR="00266261" w:rsidRPr="006F7519" w:rsidRDefault="00266261" w:rsidP="00266261">
            <w:pPr>
              <w:spacing w:after="0" w:line="240" w:lineRule="auto"/>
              <w:jc w:val="center"/>
              <w:rPr>
                <w:b/>
                <w:color w:val="00B050"/>
                <w:sz w:val="18"/>
                <w:szCs w:val="18"/>
              </w:rPr>
            </w:pPr>
            <w:r w:rsidRPr="006F7519">
              <w:rPr>
                <w:b/>
                <w:color w:val="00B050"/>
                <w:sz w:val="18"/>
                <w:szCs w:val="18"/>
              </w:rPr>
              <w:t>(6)</w:t>
            </w:r>
          </w:p>
        </w:tc>
        <w:tc>
          <w:tcPr>
            <w:tcW w:w="1278" w:type="dxa"/>
            <w:gridSpan w:val="2"/>
            <w:tcBorders>
              <w:top w:val="single" w:sz="2" w:space="0" w:color="F6BB00"/>
              <w:bottom w:val="single" w:sz="2" w:space="0" w:color="F6BB00"/>
            </w:tcBorders>
            <w:vAlign w:val="center"/>
          </w:tcPr>
          <w:p w14:paraId="59D2CCD6" w14:textId="77777777" w:rsidR="00266261" w:rsidRPr="0057408C" w:rsidRDefault="00266261" w:rsidP="00266261">
            <w:pPr>
              <w:spacing w:after="0" w:line="240" w:lineRule="auto"/>
              <w:jc w:val="center"/>
              <w:rPr>
                <w:b/>
                <w:color w:val="FF0000"/>
                <w:sz w:val="18"/>
                <w:szCs w:val="18"/>
              </w:rPr>
            </w:pPr>
            <w:r w:rsidRPr="0057408C">
              <w:rPr>
                <w:b/>
                <w:color w:val="FF0000"/>
                <w:sz w:val="18"/>
                <w:szCs w:val="18"/>
              </w:rPr>
              <w:t>-1 (3)</w:t>
            </w:r>
          </w:p>
        </w:tc>
      </w:tr>
      <w:tr w:rsidR="00266261" w:rsidRPr="00EB1427" w14:paraId="25158EFD" w14:textId="77777777" w:rsidTr="00734085">
        <w:tc>
          <w:tcPr>
            <w:tcW w:w="6237" w:type="dxa"/>
            <w:tcBorders>
              <w:top w:val="single" w:sz="2" w:space="0" w:color="F6BB00"/>
              <w:bottom w:val="single" w:sz="2" w:space="0" w:color="F6BB00"/>
            </w:tcBorders>
            <w:vAlign w:val="center"/>
          </w:tcPr>
          <w:p w14:paraId="033D90BB" w14:textId="77777777" w:rsidR="00266261" w:rsidRPr="00DC2EB5" w:rsidRDefault="00266261" w:rsidP="00266261">
            <w:pPr>
              <w:spacing w:after="0" w:line="240" w:lineRule="auto"/>
              <w:jc w:val="left"/>
              <w:rPr>
                <w:sz w:val="18"/>
                <w:szCs w:val="18"/>
              </w:rPr>
            </w:pPr>
            <w:r w:rsidRPr="00DC2EB5">
              <w:rPr>
                <w:sz w:val="18"/>
                <w:szCs w:val="18"/>
              </w:rPr>
              <w:t>Podmioty gospodarki narodowej wpisane do rejestru REGON na 10 tys. ludności w miastach</w:t>
            </w:r>
          </w:p>
        </w:tc>
        <w:tc>
          <w:tcPr>
            <w:tcW w:w="850" w:type="dxa"/>
            <w:tcBorders>
              <w:top w:val="single" w:sz="2" w:space="0" w:color="F6BB00"/>
              <w:bottom w:val="single" w:sz="2" w:space="0" w:color="F6BB00"/>
            </w:tcBorders>
            <w:vAlign w:val="center"/>
          </w:tcPr>
          <w:p w14:paraId="6BE616BF" w14:textId="77777777" w:rsidR="00266261" w:rsidRPr="006F7519" w:rsidRDefault="00266261" w:rsidP="00734085">
            <w:pPr>
              <w:spacing w:after="0" w:line="240" w:lineRule="auto"/>
              <w:jc w:val="right"/>
              <w:rPr>
                <w:b/>
                <w:color w:val="00B050"/>
                <w:szCs w:val="22"/>
              </w:rPr>
            </w:pPr>
            <w:r w:rsidRPr="006F7519">
              <w:rPr>
                <w:b/>
                <w:color w:val="00B050"/>
                <w:szCs w:val="22"/>
              </w:rPr>
              <w:t>↑</w:t>
            </w:r>
          </w:p>
        </w:tc>
        <w:tc>
          <w:tcPr>
            <w:tcW w:w="567" w:type="dxa"/>
            <w:tcBorders>
              <w:top w:val="single" w:sz="2" w:space="0" w:color="F6BB00"/>
              <w:bottom w:val="single" w:sz="2" w:space="0" w:color="F6BB00"/>
            </w:tcBorders>
            <w:vAlign w:val="center"/>
          </w:tcPr>
          <w:p w14:paraId="75037BCC" w14:textId="77777777" w:rsidR="00266261" w:rsidRPr="006F7519" w:rsidRDefault="00266261" w:rsidP="00266261">
            <w:pPr>
              <w:spacing w:after="0" w:line="240" w:lineRule="auto"/>
              <w:jc w:val="center"/>
              <w:rPr>
                <w:b/>
                <w:color w:val="00B050"/>
                <w:sz w:val="18"/>
                <w:szCs w:val="18"/>
              </w:rPr>
            </w:pPr>
            <w:r w:rsidRPr="006F7519">
              <w:rPr>
                <w:b/>
                <w:color w:val="00B050"/>
                <w:sz w:val="18"/>
                <w:szCs w:val="18"/>
              </w:rPr>
              <w:t>(7)</w:t>
            </w:r>
          </w:p>
        </w:tc>
        <w:tc>
          <w:tcPr>
            <w:tcW w:w="1278" w:type="dxa"/>
            <w:gridSpan w:val="2"/>
            <w:tcBorders>
              <w:top w:val="single" w:sz="2" w:space="0" w:color="F6BB00"/>
              <w:bottom w:val="single" w:sz="2" w:space="0" w:color="F6BB00"/>
            </w:tcBorders>
            <w:vAlign w:val="center"/>
          </w:tcPr>
          <w:p w14:paraId="21B12CEF" w14:textId="77777777" w:rsidR="00266261" w:rsidRPr="0057408C" w:rsidRDefault="00266261" w:rsidP="00266261">
            <w:pPr>
              <w:spacing w:after="0" w:line="240" w:lineRule="auto"/>
              <w:jc w:val="center"/>
              <w:rPr>
                <w:b/>
                <w:color w:val="FF0000"/>
                <w:sz w:val="18"/>
                <w:szCs w:val="18"/>
              </w:rPr>
            </w:pPr>
            <w:r w:rsidRPr="0057408C">
              <w:rPr>
                <w:b/>
                <w:color w:val="FF0000"/>
                <w:sz w:val="18"/>
                <w:szCs w:val="18"/>
              </w:rPr>
              <w:t>-2 (5)</w:t>
            </w:r>
          </w:p>
        </w:tc>
      </w:tr>
      <w:tr w:rsidR="00266261" w:rsidRPr="00EB1427" w14:paraId="2C1D81F4" w14:textId="77777777" w:rsidTr="00734085">
        <w:tc>
          <w:tcPr>
            <w:tcW w:w="6237" w:type="dxa"/>
            <w:tcBorders>
              <w:top w:val="single" w:sz="2" w:space="0" w:color="F6BB00"/>
              <w:bottom w:val="single" w:sz="2" w:space="0" w:color="F6BB00"/>
            </w:tcBorders>
            <w:vAlign w:val="center"/>
          </w:tcPr>
          <w:p w14:paraId="471B424C" w14:textId="77777777" w:rsidR="00266261" w:rsidRPr="00DC2EB5" w:rsidRDefault="00266261" w:rsidP="00266261">
            <w:pPr>
              <w:spacing w:after="0" w:line="240" w:lineRule="auto"/>
              <w:jc w:val="left"/>
              <w:rPr>
                <w:sz w:val="18"/>
                <w:szCs w:val="18"/>
              </w:rPr>
            </w:pPr>
            <w:r w:rsidRPr="00DC2EB5">
              <w:rPr>
                <w:sz w:val="18"/>
                <w:szCs w:val="18"/>
              </w:rPr>
              <w:t>Podmioty gospodarki narodowej prowadzące działalność przemysłową, budowlaną</w:t>
            </w:r>
            <w:r>
              <w:rPr>
                <w:sz w:val="18"/>
                <w:szCs w:val="18"/>
              </w:rPr>
              <w:t xml:space="preserve"> </w:t>
            </w:r>
            <w:r w:rsidRPr="00DC2EB5">
              <w:rPr>
                <w:sz w:val="18"/>
                <w:szCs w:val="18"/>
              </w:rPr>
              <w:t>i usługową w ogólnej liczbie podmiotów wpisanych do rejestru REGON</w:t>
            </w:r>
          </w:p>
        </w:tc>
        <w:tc>
          <w:tcPr>
            <w:tcW w:w="850" w:type="dxa"/>
            <w:tcBorders>
              <w:top w:val="single" w:sz="2" w:space="0" w:color="F6BB00"/>
              <w:bottom w:val="single" w:sz="2" w:space="0" w:color="F6BB00"/>
            </w:tcBorders>
            <w:vAlign w:val="center"/>
          </w:tcPr>
          <w:p w14:paraId="7BCB34E6" w14:textId="77777777" w:rsidR="00266261" w:rsidRPr="00B039CE" w:rsidRDefault="00266261" w:rsidP="00734085">
            <w:pPr>
              <w:spacing w:after="0" w:line="240" w:lineRule="auto"/>
              <w:jc w:val="right"/>
              <w:rPr>
                <w:b/>
                <w:color w:val="00B050"/>
                <w:szCs w:val="22"/>
              </w:rPr>
            </w:pPr>
            <w:r w:rsidRPr="00B039CE">
              <w:rPr>
                <w:b/>
                <w:color w:val="00B050"/>
                <w:szCs w:val="22"/>
              </w:rPr>
              <w:t>↑</w:t>
            </w:r>
          </w:p>
        </w:tc>
        <w:tc>
          <w:tcPr>
            <w:tcW w:w="567" w:type="dxa"/>
            <w:tcBorders>
              <w:top w:val="single" w:sz="2" w:space="0" w:color="F6BB00"/>
              <w:bottom w:val="single" w:sz="2" w:space="0" w:color="F6BB00"/>
            </w:tcBorders>
            <w:vAlign w:val="center"/>
          </w:tcPr>
          <w:p w14:paraId="3DB94CD9" w14:textId="77777777" w:rsidR="00266261" w:rsidRPr="00B039CE" w:rsidRDefault="00266261" w:rsidP="00266261">
            <w:pPr>
              <w:spacing w:after="0" w:line="240" w:lineRule="auto"/>
              <w:jc w:val="center"/>
              <w:rPr>
                <w:b/>
                <w:color w:val="00B050"/>
                <w:sz w:val="18"/>
                <w:szCs w:val="18"/>
              </w:rPr>
            </w:pPr>
            <w:r w:rsidRPr="00B039CE">
              <w:rPr>
                <w:b/>
                <w:color w:val="00B050"/>
                <w:sz w:val="18"/>
                <w:szCs w:val="18"/>
              </w:rPr>
              <w:t>(4)</w:t>
            </w:r>
          </w:p>
        </w:tc>
        <w:tc>
          <w:tcPr>
            <w:tcW w:w="1278" w:type="dxa"/>
            <w:gridSpan w:val="2"/>
            <w:tcBorders>
              <w:top w:val="single" w:sz="2" w:space="0" w:color="F6BB00"/>
              <w:bottom w:val="single" w:sz="2" w:space="0" w:color="F6BB00"/>
            </w:tcBorders>
            <w:vAlign w:val="center"/>
          </w:tcPr>
          <w:p w14:paraId="08C5ECE3" w14:textId="77777777" w:rsidR="00266261" w:rsidRPr="0057408C" w:rsidRDefault="00266261" w:rsidP="00266261">
            <w:pPr>
              <w:spacing w:after="0" w:line="240" w:lineRule="auto"/>
              <w:jc w:val="center"/>
              <w:rPr>
                <w:b/>
                <w:sz w:val="18"/>
                <w:szCs w:val="18"/>
              </w:rPr>
            </w:pPr>
            <w:r w:rsidRPr="0057408C">
              <w:rPr>
                <w:b/>
                <w:sz w:val="18"/>
                <w:szCs w:val="18"/>
              </w:rPr>
              <w:t>0 (13)</w:t>
            </w:r>
          </w:p>
        </w:tc>
      </w:tr>
      <w:tr w:rsidR="00266261" w:rsidRPr="00EB1427" w14:paraId="3AB89EFF" w14:textId="77777777" w:rsidTr="00734085">
        <w:tc>
          <w:tcPr>
            <w:tcW w:w="6237" w:type="dxa"/>
            <w:tcBorders>
              <w:top w:val="single" w:sz="2" w:space="0" w:color="F6BB00"/>
              <w:bottom w:val="single" w:sz="2" w:space="0" w:color="F6BB00"/>
            </w:tcBorders>
            <w:vAlign w:val="center"/>
          </w:tcPr>
          <w:p w14:paraId="030F3E0B" w14:textId="77777777" w:rsidR="00266261" w:rsidRPr="00DC2EB5" w:rsidRDefault="00266261" w:rsidP="00266261">
            <w:pPr>
              <w:spacing w:after="0" w:line="240" w:lineRule="auto"/>
              <w:jc w:val="left"/>
              <w:rPr>
                <w:sz w:val="18"/>
                <w:szCs w:val="18"/>
              </w:rPr>
            </w:pPr>
            <w:r w:rsidRPr="00DC2EB5">
              <w:rPr>
                <w:sz w:val="18"/>
                <w:szCs w:val="18"/>
              </w:rPr>
              <w:t>Podmioty gospodarki narodowej prowadzące działalność przemysłową, budowlaną</w:t>
            </w:r>
            <w:r>
              <w:rPr>
                <w:sz w:val="18"/>
                <w:szCs w:val="18"/>
              </w:rPr>
              <w:t xml:space="preserve"> </w:t>
            </w:r>
            <w:r w:rsidRPr="00DC2EB5">
              <w:rPr>
                <w:sz w:val="18"/>
                <w:szCs w:val="18"/>
              </w:rPr>
              <w:t>i usługową w ogólnej liczbie podmiotów na wsi wpisanych do rejestru REGON</w:t>
            </w:r>
          </w:p>
        </w:tc>
        <w:tc>
          <w:tcPr>
            <w:tcW w:w="850" w:type="dxa"/>
            <w:tcBorders>
              <w:top w:val="single" w:sz="2" w:space="0" w:color="F6BB00"/>
              <w:bottom w:val="single" w:sz="2" w:space="0" w:color="F6BB00"/>
            </w:tcBorders>
            <w:vAlign w:val="center"/>
          </w:tcPr>
          <w:p w14:paraId="7ACBDBA6" w14:textId="77777777" w:rsidR="00266261" w:rsidRPr="00B039CE" w:rsidRDefault="00266261" w:rsidP="00734085">
            <w:pPr>
              <w:spacing w:after="0" w:line="240" w:lineRule="auto"/>
              <w:jc w:val="right"/>
              <w:rPr>
                <w:b/>
                <w:color w:val="00B050"/>
                <w:szCs w:val="22"/>
              </w:rPr>
            </w:pPr>
            <w:r w:rsidRPr="00B039CE">
              <w:rPr>
                <w:b/>
                <w:color w:val="00B050"/>
                <w:szCs w:val="22"/>
              </w:rPr>
              <w:t>↑</w:t>
            </w:r>
          </w:p>
        </w:tc>
        <w:tc>
          <w:tcPr>
            <w:tcW w:w="567" w:type="dxa"/>
            <w:tcBorders>
              <w:top w:val="single" w:sz="2" w:space="0" w:color="F6BB00"/>
              <w:bottom w:val="single" w:sz="2" w:space="0" w:color="F6BB00"/>
            </w:tcBorders>
            <w:vAlign w:val="center"/>
          </w:tcPr>
          <w:p w14:paraId="79B65D39" w14:textId="77777777" w:rsidR="00266261" w:rsidRPr="00B039CE" w:rsidRDefault="00266261" w:rsidP="00266261">
            <w:pPr>
              <w:spacing w:after="0" w:line="240" w:lineRule="auto"/>
              <w:jc w:val="center"/>
              <w:rPr>
                <w:b/>
                <w:color w:val="00B050"/>
                <w:sz w:val="18"/>
                <w:szCs w:val="18"/>
              </w:rPr>
            </w:pPr>
            <w:r w:rsidRPr="00B039CE">
              <w:rPr>
                <w:b/>
                <w:color w:val="00B050"/>
                <w:sz w:val="18"/>
                <w:szCs w:val="18"/>
              </w:rPr>
              <w:t>(5)</w:t>
            </w:r>
          </w:p>
        </w:tc>
        <w:tc>
          <w:tcPr>
            <w:tcW w:w="1278" w:type="dxa"/>
            <w:gridSpan w:val="2"/>
            <w:tcBorders>
              <w:top w:val="single" w:sz="2" w:space="0" w:color="F6BB00"/>
              <w:bottom w:val="single" w:sz="2" w:space="0" w:color="F6BB00"/>
            </w:tcBorders>
            <w:vAlign w:val="center"/>
          </w:tcPr>
          <w:p w14:paraId="64235674" w14:textId="77777777" w:rsidR="00266261" w:rsidRPr="0057408C" w:rsidRDefault="00266261" w:rsidP="00266261">
            <w:pPr>
              <w:spacing w:after="0" w:line="240" w:lineRule="auto"/>
              <w:jc w:val="center"/>
              <w:rPr>
                <w:b/>
                <w:sz w:val="18"/>
                <w:szCs w:val="18"/>
              </w:rPr>
            </w:pPr>
            <w:r w:rsidRPr="0057408C">
              <w:rPr>
                <w:b/>
                <w:color w:val="FF0000"/>
                <w:sz w:val="18"/>
                <w:szCs w:val="18"/>
              </w:rPr>
              <w:t>-1 (12)</w:t>
            </w:r>
          </w:p>
        </w:tc>
      </w:tr>
      <w:tr w:rsidR="00266261" w:rsidRPr="00EB1427" w14:paraId="0CA85229" w14:textId="77777777" w:rsidTr="00734085">
        <w:tc>
          <w:tcPr>
            <w:tcW w:w="6237" w:type="dxa"/>
            <w:tcBorders>
              <w:top w:val="single" w:sz="2" w:space="0" w:color="F6BB00"/>
              <w:bottom w:val="single" w:sz="2" w:space="0" w:color="F6BB00"/>
            </w:tcBorders>
            <w:vAlign w:val="center"/>
          </w:tcPr>
          <w:p w14:paraId="57B863F8" w14:textId="77777777" w:rsidR="00266261" w:rsidRPr="00DC2EB5" w:rsidRDefault="00266261" w:rsidP="00266261">
            <w:pPr>
              <w:spacing w:after="0" w:line="240" w:lineRule="auto"/>
              <w:jc w:val="left"/>
              <w:rPr>
                <w:sz w:val="18"/>
                <w:szCs w:val="18"/>
              </w:rPr>
            </w:pPr>
            <w:r w:rsidRPr="00DC2EB5">
              <w:rPr>
                <w:sz w:val="18"/>
                <w:szCs w:val="18"/>
              </w:rPr>
              <w:t>Podmioty gospodarki narodowej prowadzące działalność przemysłową, budowlaną</w:t>
            </w:r>
            <w:r>
              <w:rPr>
                <w:sz w:val="18"/>
                <w:szCs w:val="18"/>
              </w:rPr>
              <w:t xml:space="preserve"> </w:t>
            </w:r>
            <w:r w:rsidRPr="00DC2EB5">
              <w:rPr>
                <w:sz w:val="18"/>
                <w:szCs w:val="18"/>
              </w:rPr>
              <w:t>i usługową w ogólnej liczbie podmiotów w miastach wpisanych do rejestru REGON</w:t>
            </w:r>
          </w:p>
        </w:tc>
        <w:tc>
          <w:tcPr>
            <w:tcW w:w="850" w:type="dxa"/>
            <w:tcBorders>
              <w:top w:val="single" w:sz="2" w:space="0" w:color="F6BB00"/>
              <w:bottom w:val="single" w:sz="2" w:space="0" w:color="F6BB00"/>
            </w:tcBorders>
            <w:vAlign w:val="center"/>
          </w:tcPr>
          <w:p w14:paraId="57DFF7EF" w14:textId="77777777" w:rsidR="00266261" w:rsidRPr="00B039CE" w:rsidRDefault="00266261" w:rsidP="00734085">
            <w:pPr>
              <w:spacing w:after="0" w:line="240" w:lineRule="auto"/>
              <w:jc w:val="right"/>
              <w:rPr>
                <w:b/>
                <w:color w:val="00B050"/>
                <w:szCs w:val="22"/>
              </w:rPr>
            </w:pPr>
            <w:r w:rsidRPr="00B039CE">
              <w:rPr>
                <w:b/>
                <w:color w:val="00B050"/>
                <w:szCs w:val="22"/>
              </w:rPr>
              <w:t>↑</w:t>
            </w:r>
          </w:p>
        </w:tc>
        <w:tc>
          <w:tcPr>
            <w:tcW w:w="567" w:type="dxa"/>
            <w:tcBorders>
              <w:top w:val="single" w:sz="2" w:space="0" w:color="F6BB00"/>
              <w:bottom w:val="single" w:sz="2" w:space="0" w:color="F6BB00"/>
            </w:tcBorders>
            <w:vAlign w:val="center"/>
          </w:tcPr>
          <w:p w14:paraId="463779AB" w14:textId="77777777" w:rsidR="00266261" w:rsidRPr="00B039CE" w:rsidRDefault="00266261" w:rsidP="00266261">
            <w:pPr>
              <w:spacing w:after="0" w:line="240" w:lineRule="auto"/>
              <w:jc w:val="center"/>
              <w:rPr>
                <w:b/>
                <w:color w:val="00B050"/>
                <w:sz w:val="18"/>
                <w:szCs w:val="18"/>
              </w:rPr>
            </w:pPr>
            <w:r w:rsidRPr="00B039CE">
              <w:rPr>
                <w:b/>
                <w:color w:val="00B050"/>
                <w:sz w:val="18"/>
                <w:szCs w:val="18"/>
              </w:rPr>
              <w:t>(2)</w:t>
            </w:r>
          </w:p>
        </w:tc>
        <w:tc>
          <w:tcPr>
            <w:tcW w:w="1278" w:type="dxa"/>
            <w:gridSpan w:val="2"/>
            <w:tcBorders>
              <w:top w:val="single" w:sz="2" w:space="0" w:color="F6BB00"/>
              <w:bottom w:val="single" w:sz="2" w:space="0" w:color="F6BB00"/>
            </w:tcBorders>
            <w:vAlign w:val="center"/>
          </w:tcPr>
          <w:p w14:paraId="594379E6" w14:textId="77777777" w:rsidR="00266261" w:rsidRPr="0057408C" w:rsidRDefault="00266261" w:rsidP="00266261">
            <w:pPr>
              <w:spacing w:after="0" w:line="240" w:lineRule="auto"/>
              <w:jc w:val="center"/>
              <w:rPr>
                <w:b/>
                <w:sz w:val="18"/>
                <w:szCs w:val="18"/>
              </w:rPr>
            </w:pPr>
            <w:r w:rsidRPr="0057408C">
              <w:rPr>
                <w:b/>
                <w:color w:val="00B050"/>
                <w:sz w:val="18"/>
                <w:szCs w:val="18"/>
              </w:rPr>
              <w:t>+1 (12)</w:t>
            </w:r>
          </w:p>
        </w:tc>
      </w:tr>
      <w:tr w:rsidR="00266261" w:rsidRPr="00EB1427" w14:paraId="0D3454D3" w14:textId="77777777" w:rsidTr="00734085">
        <w:tc>
          <w:tcPr>
            <w:tcW w:w="6237" w:type="dxa"/>
            <w:tcBorders>
              <w:top w:val="single" w:sz="2" w:space="0" w:color="F6BB00"/>
              <w:bottom w:val="single" w:sz="2" w:space="0" w:color="F6BB00"/>
            </w:tcBorders>
            <w:vAlign w:val="center"/>
          </w:tcPr>
          <w:p w14:paraId="3064AE0F" w14:textId="77777777" w:rsidR="00266261" w:rsidRPr="00DC2EB5" w:rsidRDefault="00266261" w:rsidP="00266261">
            <w:pPr>
              <w:spacing w:after="0" w:line="240" w:lineRule="auto"/>
              <w:jc w:val="left"/>
              <w:rPr>
                <w:sz w:val="18"/>
                <w:szCs w:val="18"/>
              </w:rPr>
            </w:pPr>
            <w:r w:rsidRPr="00DC2EB5">
              <w:rPr>
                <w:sz w:val="18"/>
                <w:szCs w:val="18"/>
              </w:rPr>
              <w:t>Odsetek osób pracujących poza sektorem rolniczym</w:t>
            </w:r>
          </w:p>
        </w:tc>
        <w:tc>
          <w:tcPr>
            <w:tcW w:w="850" w:type="dxa"/>
            <w:tcBorders>
              <w:top w:val="single" w:sz="2" w:space="0" w:color="F6BB00"/>
              <w:bottom w:val="single" w:sz="2" w:space="0" w:color="F6BB00"/>
            </w:tcBorders>
            <w:vAlign w:val="center"/>
          </w:tcPr>
          <w:p w14:paraId="21765403" w14:textId="77777777" w:rsidR="00266261" w:rsidRPr="00712177" w:rsidRDefault="00266261" w:rsidP="00734085">
            <w:pPr>
              <w:spacing w:after="0" w:line="240" w:lineRule="auto"/>
              <w:jc w:val="right"/>
              <w:rPr>
                <w:b/>
                <w:color w:val="00B050"/>
                <w:szCs w:val="22"/>
              </w:rPr>
            </w:pPr>
            <w:r w:rsidRPr="00712177">
              <w:rPr>
                <w:b/>
                <w:color w:val="00B050"/>
                <w:szCs w:val="22"/>
              </w:rPr>
              <w:t>↑</w:t>
            </w:r>
          </w:p>
        </w:tc>
        <w:tc>
          <w:tcPr>
            <w:tcW w:w="567" w:type="dxa"/>
            <w:tcBorders>
              <w:top w:val="single" w:sz="2" w:space="0" w:color="F6BB00"/>
              <w:bottom w:val="single" w:sz="2" w:space="0" w:color="F6BB00"/>
            </w:tcBorders>
            <w:vAlign w:val="center"/>
          </w:tcPr>
          <w:p w14:paraId="5381B368" w14:textId="77777777" w:rsidR="00266261" w:rsidRPr="00712177" w:rsidRDefault="00266261" w:rsidP="00266261">
            <w:pPr>
              <w:spacing w:after="0" w:line="240" w:lineRule="auto"/>
              <w:jc w:val="center"/>
              <w:rPr>
                <w:b/>
                <w:color w:val="00B050"/>
                <w:sz w:val="18"/>
                <w:szCs w:val="18"/>
              </w:rPr>
            </w:pPr>
            <w:r w:rsidRPr="00712177">
              <w:rPr>
                <w:b/>
                <w:color w:val="00B050"/>
                <w:sz w:val="18"/>
                <w:szCs w:val="18"/>
              </w:rPr>
              <w:t>(7)</w:t>
            </w:r>
          </w:p>
        </w:tc>
        <w:tc>
          <w:tcPr>
            <w:tcW w:w="1278" w:type="dxa"/>
            <w:gridSpan w:val="2"/>
            <w:tcBorders>
              <w:top w:val="single" w:sz="2" w:space="0" w:color="F6BB00"/>
              <w:bottom w:val="single" w:sz="2" w:space="0" w:color="F6BB00"/>
            </w:tcBorders>
            <w:vAlign w:val="center"/>
          </w:tcPr>
          <w:p w14:paraId="31CC7F17" w14:textId="77777777" w:rsidR="00266261" w:rsidRPr="0057408C" w:rsidRDefault="00266261" w:rsidP="00266261">
            <w:pPr>
              <w:spacing w:after="0" w:line="240" w:lineRule="auto"/>
              <w:jc w:val="center"/>
              <w:rPr>
                <w:b/>
                <w:color w:val="00B050"/>
                <w:sz w:val="18"/>
                <w:szCs w:val="18"/>
              </w:rPr>
            </w:pPr>
            <w:r w:rsidRPr="0057408C">
              <w:rPr>
                <w:b/>
                <w:color w:val="00B050"/>
                <w:sz w:val="18"/>
                <w:szCs w:val="18"/>
              </w:rPr>
              <w:t>+2 (9)</w:t>
            </w:r>
          </w:p>
        </w:tc>
      </w:tr>
      <w:tr w:rsidR="00266261" w:rsidRPr="00EB1427" w14:paraId="51EF9F3A" w14:textId="77777777" w:rsidTr="00734085">
        <w:tc>
          <w:tcPr>
            <w:tcW w:w="6237" w:type="dxa"/>
            <w:tcBorders>
              <w:top w:val="single" w:sz="2" w:space="0" w:color="F6BB00"/>
              <w:bottom w:val="single" w:sz="2" w:space="0" w:color="F6BB00"/>
            </w:tcBorders>
            <w:vAlign w:val="center"/>
          </w:tcPr>
          <w:p w14:paraId="2BA6D05C" w14:textId="77777777" w:rsidR="00266261" w:rsidRPr="00DC2EB5" w:rsidRDefault="00266261" w:rsidP="00266261">
            <w:pPr>
              <w:spacing w:after="0" w:line="240" w:lineRule="auto"/>
              <w:jc w:val="left"/>
              <w:rPr>
                <w:sz w:val="18"/>
                <w:szCs w:val="18"/>
              </w:rPr>
            </w:pPr>
            <w:r w:rsidRPr="00DC2EB5">
              <w:rPr>
                <w:sz w:val="18"/>
                <w:szCs w:val="18"/>
              </w:rPr>
              <w:t>Odsetek osób pracujących poza sekcją A (wg faktycznego miejsca pracy)</w:t>
            </w:r>
          </w:p>
        </w:tc>
        <w:tc>
          <w:tcPr>
            <w:tcW w:w="850" w:type="dxa"/>
            <w:tcBorders>
              <w:top w:val="single" w:sz="2" w:space="0" w:color="F6BB00"/>
              <w:bottom w:val="single" w:sz="2" w:space="0" w:color="F6BB00"/>
            </w:tcBorders>
            <w:vAlign w:val="center"/>
          </w:tcPr>
          <w:p w14:paraId="39942B9E" w14:textId="77777777" w:rsidR="00266261" w:rsidRPr="00712177" w:rsidRDefault="00266261" w:rsidP="00734085">
            <w:pPr>
              <w:spacing w:after="0" w:line="240" w:lineRule="auto"/>
              <w:jc w:val="right"/>
              <w:rPr>
                <w:b/>
                <w:color w:val="00B050"/>
                <w:szCs w:val="22"/>
              </w:rPr>
            </w:pPr>
            <w:r w:rsidRPr="00712177">
              <w:rPr>
                <w:b/>
                <w:color w:val="00B050"/>
                <w:szCs w:val="22"/>
              </w:rPr>
              <w:t>↑</w:t>
            </w:r>
          </w:p>
        </w:tc>
        <w:tc>
          <w:tcPr>
            <w:tcW w:w="567" w:type="dxa"/>
            <w:tcBorders>
              <w:top w:val="single" w:sz="2" w:space="0" w:color="F6BB00"/>
              <w:bottom w:val="single" w:sz="2" w:space="0" w:color="F6BB00"/>
            </w:tcBorders>
            <w:vAlign w:val="center"/>
          </w:tcPr>
          <w:p w14:paraId="045A3035" w14:textId="77777777" w:rsidR="00266261" w:rsidRPr="00712177" w:rsidRDefault="00266261" w:rsidP="00266261">
            <w:pPr>
              <w:spacing w:after="0" w:line="240" w:lineRule="auto"/>
              <w:jc w:val="center"/>
              <w:rPr>
                <w:b/>
                <w:color w:val="00B050"/>
                <w:sz w:val="18"/>
                <w:szCs w:val="18"/>
              </w:rPr>
            </w:pPr>
            <w:r w:rsidRPr="00712177">
              <w:rPr>
                <w:b/>
                <w:color w:val="00B050"/>
                <w:sz w:val="18"/>
                <w:szCs w:val="18"/>
              </w:rPr>
              <w:t>(6)</w:t>
            </w:r>
          </w:p>
        </w:tc>
        <w:tc>
          <w:tcPr>
            <w:tcW w:w="1278" w:type="dxa"/>
            <w:gridSpan w:val="2"/>
            <w:tcBorders>
              <w:top w:val="single" w:sz="2" w:space="0" w:color="F6BB00"/>
              <w:bottom w:val="single" w:sz="2" w:space="0" w:color="F6BB00"/>
            </w:tcBorders>
            <w:vAlign w:val="center"/>
          </w:tcPr>
          <w:p w14:paraId="12F812A2" w14:textId="77777777" w:rsidR="00266261" w:rsidRPr="0057408C" w:rsidRDefault="00266261" w:rsidP="00266261">
            <w:pPr>
              <w:spacing w:after="0" w:line="240" w:lineRule="auto"/>
              <w:jc w:val="center"/>
              <w:rPr>
                <w:b/>
                <w:sz w:val="18"/>
                <w:szCs w:val="18"/>
              </w:rPr>
            </w:pPr>
            <w:r w:rsidRPr="0057408C">
              <w:rPr>
                <w:b/>
                <w:sz w:val="18"/>
                <w:szCs w:val="18"/>
              </w:rPr>
              <w:t>0 (7) (dane za 2016)</w:t>
            </w:r>
          </w:p>
        </w:tc>
      </w:tr>
      <w:tr w:rsidR="00266261" w:rsidRPr="00EB1427" w14:paraId="69C7112F" w14:textId="77777777" w:rsidTr="00734085">
        <w:tc>
          <w:tcPr>
            <w:tcW w:w="6237" w:type="dxa"/>
            <w:tcBorders>
              <w:top w:val="single" w:sz="2" w:space="0" w:color="F6BB00"/>
              <w:bottom w:val="single" w:sz="2" w:space="0" w:color="F6BB00"/>
            </w:tcBorders>
            <w:shd w:val="clear" w:color="auto" w:fill="F6BB00"/>
            <w:vAlign w:val="center"/>
          </w:tcPr>
          <w:p w14:paraId="70BC4DC2" w14:textId="77777777" w:rsidR="00266261" w:rsidRPr="00EB1427" w:rsidRDefault="00266261" w:rsidP="00266261">
            <w:pPr>
              <w:spacing w:after="0" w:line="240" w:lineRule="auto"/>
              <w:jc w:val="left"/>
              <w:rPr>
                <w:sz w:val="18"/>
                <w:szCs w:val="18"/>
              </w:rPr>
            </w:pPr>
            <w:r w:rsidRPr="00AB5EAA">
              <w:rPr>
                <w:sz w:val="18"/>
                <w:szCs w:val="18"/>
              </w:rPr>
              <w:t>Cel strategiczny 6. Wzmocnienie potencjału gospodarczego regionu</w:t>
            </w:r>
          </w:p>
        </w:tc>
        <w:tc>
          <w:tcPr>
            <w:tcW w:w="850" w:type="dxa"/>
            <w:tcBorders>
              <w:top w:val="single" w:sz="2" w:space="0" w:color="F6BB00"/>
              <w:bottom w:val="single" w:sz="2" w:space="0" w:color="F6BB00"/>
            </w:tcBorders>
            <w:shd w:val="clear" w:color="auto" w:fill="F6BB00"/>
            <w:vAlign w:val="center"/>
          </w:tcPr>
          <w:p w14:paraId="02FFF594" w14:textId="77777777" w:rsidR="00266261" w:rsidRPr="00942877" w:rsidRDefault="00266261" w:rsidP="00266261">
            <w:pPr>
              <w:spacing w:after="0" w:line="240" w:lineRule="auto"/>
              <w:jc w:val="center"/>
              <w:rPr>
                <w:b/>
                <w:color w:val="FF0000"/>
                <w:szCs w:val="22"/>
              </w:rPr>
            </w:pPr>
          </w:p>
        </w:tc>
        <w:tc>
          <w:tcPr>
            <w:tcW w:w="567" w:type="dxa"/>
            <w:tcBorders>
              <w:top w:val="single" w:sz="2" w:space="0" w:color="F6BB00"/>
              <w:bottom w:val="single" w:sz="2" w:space="0" w:color="F6BB00"/>
            </w:tcBorders>
            <w:shd w:val="clear" w:color="auto" w:fill="F6BB00"/>
            <w:vAlign w:val="center"/>
          </w:tcPr>
          <w:p w14:paraId="307CEA09" w14:textId="77777777" w:rsidR="00266261" w:rsidRPr="008B2D2C" w:rsidRDefault="00266261" w:rsidP="00266261">
            <w:pPr>
              <w:spacing w:after="0" w:line="240" w:lineRule="auto"/>
              <w:jc w:val="center"/>
              <w:rPr>
                <w:b/>
                <w:color w:val="FF0000"/>
                <w:sz w:val="18"/>
                <w:szCs w:val="18"/>
              </w:rPr>
            </w:pPr>
          </w:p>
        </w:tc>
        <w:tc>
          <w:tcPr>
            <w:tcW w:w="1278" w:type="dxa"/>
            <w:gridSpan w:val="2"/>
            <w:tcBorders>
              <w:top w:val="single" w:sz="2" w:space="0" w:color="F6BB00"/>
              <w:bottom w:val="single" w:sz="2" w:space="0" w:color="F6BB00"/>
            </w:tcBorders>
            <w:shd w:val="clear" w:color="auto" w:fill="F6BB00"/>
            <w:vAlign w:val="center"/>
          </w:tcPr>
          <w:p w14:paraId="432B28BF" w14:textId="77777777" w:rsidR="00266261" w:rsidRPr="0057408C" w:rsidRDefault="00266261" w:rsidP="00266261">
            <w:pPr>
              <w:spacing w:after="0" w:line="240" w:lineRule="auto"/>
              <w:jc w:val="center"/>
              <w:rPr>
                <w:b/>
                <w:sz w:val="18"/>
                <w:szCs w:val="18"/>
              </w:rPr>
            </w:pPr>
          </w:p>
        </w:tc>
      </w:tr>
      <w:tr w:rsidR="00266261" w:rsidRPr="00EB1427" w14:paraId="3C005AC6" w14:textId="77777777" w:rsidTr="00734085">
        <w:tc>
          <w:tcPr>
            <w:tcW w:w="6237" w:type="dxa"/>
            <w:tcBorders>
              <w:top w:val="single" w:sz="2" w:space="0" w:color="F6BB00"/>
              <w:bottom w:val="single" w:sz="2" w:space="0" w:color="F6BB00"/>
            </w:tcBorders>
            <w:vAlign w:val="center"/>
          </w:tcPr>
          <w:p w14:paraId="14EB2433" w14:textId="77777777" w:rsidR="00266261" w:rsidRPr="00942877" w:rsidRDefault="00266261" w:rsidP="00266261">
            <w:pPr>
              <w:spacing w:after="0" w:line="240" w:lineRule="auto"/>
              <w:jc w:val="left"/>
              <w:rPr>
                <w:sz w:val="18"/>
                <w:szCs w:val="18"/>
              </w:rPr>
            </w:pPr>
            <w:r w:rsidRPr="004F0ECE">
              <w:rPr>
                <w:sz w:val="18"/>
                <w:szCs w:val="18"/>
              </w:rPr>
              <w:t>Podmioty gospodarki narodowej wpisane do rejestru REGON na 10 tys. ludności</w:t>
            </w:r>
          </w:p>
        </w:tc>
        <w:tc>
          <w:tcPr>
            <w:tcW w:w="850" w:type="dxa"/>
            <w:tcBorders>
              <w:top w:val="single" w:sz="2" w:space="0" w:color="F6BB00"/>
              <w:bottom w:val="single" w:sz="2" w:space="0" w:color="F6BB00"/>
            </w:tcBorders>
            <w:vAlign w:val="center"/>
          </w:tcPr>
          <w:p w14:paraId="1BD87020" w14:textId="77777777" w:rsidR="00266261" w:rsidRPr="00C16858" w:rsidRDefault="00266261" w:rsidP="00734085">
            <w:pPr>
              <w:spacing w:after="0" w:line="240" w:lineRule="auto"/>
              <w:jc w:val="right"/>
              <w:rPr>
                <w:b/>
                <w:color w:val="00B050"/>
                <w:szCs w:val="22"/>
              </w:rPr>
            </w:pPr>
            <w:r w:rsidRPr="00C16858">
              <w:rPr>
                <w:b/>
                <w:color w:val="00B050"/>
                <w:szCs w:val="22"/>
              </w:rPr>
              <w:t>↑</w:t>
            </w:r>
          </w:p>
        </w:tc>
        <w:tc>
          <w:tcPr>
            <w:tcW w:w="567" w:type="dxa"/>
            <w:tcBorders>
              <w:top w:val="single" w:sz="2" w:space="0" w:color="F6BB00"/>
              <w:bottom w:val="single" w:sz="2" w:space="0" w:color="F6BB00"/>
            </w:tcBorders>
            <w:vAlign w:val="center"/>
          </w:tcPr>
          <w:p w14:paraId="59524CEC" w14:textId="77777777" w:rsidR="00266261" w:rsidRPr="00C16858" w:rsidRDefault="00266261" w:rsidP="00266261">
            <w:pPr>
              <w:spacing w:after="0" w:line="240" w:lineRule="auto"/>
              <w:jc w:val="center"/>
              <w:rPr>
                <w:b/>
                <w:color w:val="00B050"/>
                <w:sz w:val="18"/>
                <w:szCs w:val="18"/>
              </w:rPr>
            </w:pPr>
            <w:r w:rsidRPr="00C16858">
              <w:rPr>
                <w:b/>
                <w:color w:val="00B050"/>
                <w:sz w:val="18"/>
                <w:szCs w:val="18"/>
              </w:rPr>
              <w:t>(8)</w:t>
            </w:r>
          </w:p>
        </w:tc>
        <w:tc>
          <w:tcPr>
            <w:tcW w:w="1278" w:type="dxa"/>
            <w:gridSpan w:val="2"/>
            <w:tcBorders>
              <w:top w:val="single" w:sz="2" w:space="0" w:color="F6BB00"/>
              <w:bottom w:val="single" w:sz="2" w:space="0" w:color="F6BB00"/>
            </w:tcBorders>
            <w:vAlign w:val="center"/>
          </w:tcPr>
          <w:p w14:paraId="455DD6A5" w14:textId="77777777" w:rsidR="00266261" w:rsidRPr="0057408C" w:rsidRDefault="00266261" w:rsidP="00266261">
            <w:pPr>
              <w:spacing w:after="0" w:line="240" w:lineRule="auto"/>
              <w:jc w:val="center"/>
              <w:rPr>
                <w:b/>
                <w:sz w:val="18"/>
                <w:szCs w:val="18"/>
              </w:rPr>
            </w:pPr>
            <w:r w:rsidRPr="0057408C">
              <w:rPr>
                <w:b/>
                <w:sz w:val="18"/>
                <w:szCs w:val="18"/>
              </w:rPr>
              <w:t>0 (5)</w:t>
            </w:r>
          </w:p>
        </w:tc>
      </w:tr>
      <w:tr w:rsidR="00266261" w:rsidRPr="00EB1427" w14:paraId="61DC51D3" w14:textId="77777777" w:rsidTr="00734085">
        <w:tc>
          <w:tcPr>
            <w:tcW w:w="6237" w:type="dxa"/>
            <w:tcBorders>
              <w:top w:val="single" w:sz="2" w:space="0" w:color="F6BB00"/>
              <w:bottom w:val="single" w:sz="2" w:space="0" w:color="F6BB00"/>
            </w:tcBorders>
            <w:vAlign w:val="center"/>
          </w:tcPr>
          <w:p w14:paraId="74A727CE" w14:textId="77777777" w:rsidR="00266261" w:rsidRPr="00942877" w:rsidRDefault="00266261" w:rsidP="00266261">
            <w:pPr>
              <w:spacing w:after="0" w:line="240" w:lineRule="auto"/>
              <w:jc w:val="left"/>
              <w:rPr>
                <w:sz w:val="18"/>
                <w:szCs w:val="18"/>
              </w:rPr>
            </w:pPr>
            <w:r w:rsidRPr="004F0ECE">
              <w:rPr>
                <w:sz w:val="18"/>
                <w:szCs w:val="18"/>
              </w:rPr>
              <w:t>Udział nakładów ponoszonych przez sektor przedsiębiorstw w nakładach na działalność B+R ogółem</w:t>
            </w:r>
          </w:p>
        </w:tc>
        <w:tc>
          <w:tcPr>
            <w:tcW w:w="850" w:type="dxa"/>
            <w:tcBorders>
              <w:top w:val="single" w:sz="2" w:space="0" w:color="F6BB00"/>
              <w:bottom w:val="single" w:sz="2" w:space="0" w:color="F6BB00"/>
            </w:tcBorders>
            <w:vAlign w:val="center"/>
          </w:tcPr>
          <w:p w14:paraId="4BAF0DC9" w14:textId="77777777" w:rsidR="00266261" w:rsidRPr="00C16858" w:rsidRDefault="00266261" w:rsidP="00734085">
            <w:pPr>
              <w:spacing w:after="0" w:line="240" w:lineRule="auto"/>
              <w:jc w:val="right"/>
              <w:rPr>
                <w:b/>
                <w:color w:val="00B050"/>
                <w:szCs w:val="22"/>
              </w:rPr>
            </w:pPr>
            <w:r w:rsidRPr="00C16858">
              <w:rPr>
                <w:b/>
                <w:color w:val="00B050"/>
                <w:szCs w:val="22"/>
              </w:rPr>
              <w:t>↑</w:t>
            </w:r>
          </w:p>
        </w:tc>
        <w:tc>
          <w:tcPr>
            <w:tcW w:w="567" w:type="dxa"/>
            <w:tcBorders>
              <w:top w:val="single" w:sz="2" w:space="0" w:color="F6BB00"/>
              <w:bottom w:val="single" w:sz="2" w:space="0" w:color="F6BB00"/>
            </w:tcBorders>
            <w:vAlign w:val="center"/>
          </w:tcPr>
          <w:p w14:paraId="15B0ACEB" w14:textId="77777777" w:rsidR="00266261" w:rsidRPr="00C16858" w:rsidRDefault="00266261" w:rsidP="00266261">
            <w:pPr>
              <w:spacing w:after="0" w:line="240" w:lineRule="auto"/>
              <w:jc w:val="center"/>
              <w:rPr>
                <w:b/>
                <w:color w:val="00B050"/>
                <w:sz w:val="18"/>
                <w:szCs w:val="18"/>
              </w:rPr>
            </w:pPr>
            <w:r w:rsidRPr="00C16858">
              <w:rPr>
                <w:b/>
                <w:color w:val="00B050"/>
                <w:sz w:val="18"/>
                <w:szCs w:val="18"/>
              </w:rPr>
              <w:t>(1)</w:t>
            </w:r>
          </w:p>
        </w:tc>
        <w:tc>
          <w:tcPr>
            <w:tcW w:w="1278" w:type="dxa"/>
            <w:gridSpan w:val="2"/>
            <w:tcBorders>
              <w:top w:val="single" w:sz="2" w:space="0" w:color="F6BB00"/>
              <w:bottom w:val="single" w:sz="2" w:space="0" w:color="F6BB00"/>
            </w:tcBorders>
            <w:vAlign w:val="center"/>
          </w:tcPr>
          <w:p w14:paraId="35E65F21" w14:textId="77777777" w:rsidR="00266261" w:rsidRPr="0057408C" w:rsidRDefault="00266261" w:rsidP="00266261">
            <w:pPr>
              <w:spacing w:after="0" w:line="240" w:lineRule="auto"/>
              <w:jc w:val="center"/>
              <w:rPr>
                <w:b/>
                <w:color w:val="00B050"/>
                <w:sz w:val="18"/>
                <w:szCs w:val="18"/>
              </w:rPr>
            </w:pPr>
            <w:r w:rsidRPr="0057408C">
              <w:rPr>
                <w:b/>
                <w:color w:val="00B050"/>
                <w:sz w:val="18"/>
                <w:szCs w:val="18"/>
              </w:rPr>
              <w:t>+5 (10) (dane za 2016)</w:t>
            </w:r>
          </w:p>
        </w:tc>
      </w:tr>
      <w:tr w:rsidR="00266261" w:rsidRPr="00C16858" w14:paraId="78471EFD" w14:textId="77777777" w:rsidTr="00734085">
        <w:tc>
          <w:tcPr>
            <w:tcW w:w="6237" w:type="dxa"/>
            <w:tcBorders>
              <w:top w:val="single" w:sz="2" w:space="0" w:color="F6BB00"/>
              <w:bottom w:val="single" w:sz="2" w:space="0" w:color="F6BB00"/>
            </w:tcBorders>
            <w:vAlign w:val="center"/>
          </w:tcPr>
          <w:p w14:paraId="5C3BE783" w14:textId="77777777" w:rsidR="00266261" w:rsidRPr="00942877" w:rsidRDefault="00266261" w:rsidP="00266261">
            <w:pPr>
              <w:spacing w:after="0" w:line="240" w:lineRule="auto"/>
              <w:jc w:val="left"/>
              <w:rPr>
                <w:sz w:val="18"/>
                <w:szCs w:val="18"/>
              </w:rPr>
            </w:pPr>
            <w:r w:rsidRPr="004F0ECE">
              <w:rPr>
                <w:sz w:val="18"/>
                <w:szCs w:val="18"/>
              </w:rPr>
              <w:t>Jednostki aktywne badawczo wg sektorów wykonawczych ogółem na 100 tys. podmiotów gospodarki narodowej</w:t>
            </w:r>
          </w:p>
        </w:tc>
        <w:tc>
          <w:tcPr>
            <w:tcW w:w="850" w:type="dxa"/>
            <w:tcBorders>
              <w:top w:val="single" w:sz="2" w:space="0" w:color="F6BB00"/>
              <w:bottom w:val="single" w:sz="2" w:space="0" w:color="F6BB00"/>
            </w:tcBorders>
            <w:vAlign w:val="center"/>
          </w:tcPr>
          <w:p w14:paraId="012D80F5" w14:textId="77777777" w:rsidR="00266261" w:rsidRPr="00C16858" w:rsidRDefault="00266261" w:rsidP="00734085">
            <w:pPr>
              <w:spacing w:after="0" w:line="240" w:lineRule="auto"/>
              <w:jc w:val="right"/>
              <w:rPr>
                <w:b/>
                <w:color w:val="00B050"/>
                <w:szCs w:val="22"/>
              </w:rPr>
            </w:pPr>
            <w:r w:rsidRPr="00C16858">
              <w:rPr>
                <w:b/>
                <w:color w:val="00B050"/>
                <w:szCs w:val="22"/>
              </w:rPr>
              <w:t>↑</w:t>
            </w:r>
          </w:p>
        </w:tc>
        <w:tc>
          <w:tcPr>
            <w:tcW w:w="567" w:type="dxa"/>
            <w:tcBorders>
              <w:top w:val="single" w:sz="2" w:space="0" w:color="F6BB00"/>
              <w:bottom w:val="single" w:sz="2" w:space="0" w:color="F6BB00"/>
            </w:tcBorders>
            <w:vAlign w:val="center"/>
          </w:tcPr>
          <w:p w14:paraId="49B8EDDA" w14:textId="77777777" w:rsidR="00266261" w:rsidRPr="00C16858" w:rsidRDefault="00266261" w:rsidP="00266261">
            <w:pPr>
              <w:spacing w:after="0" w:line="240" w:lineRule="auto"/>
              <w:jc w:val="center"/>
              <w:rPr>
                <w:b/>
                <w:color w:val="00B050"/>
                <w:sz w:val="18"/>
                <w:szCs w:val="18"/>
              </w:rPr>
            </w:pPr>
            <w:r w:rsidRPr="00C16858">
              <w:rPr>
                <w:b/>
                <w:color w:val="00B050"/>
                <w:sz w:val="18"/>
                <w:szCs w:val="18"/>
              </w:rPr>
              <w:t>(15)</w:t>
            </w:r>
          </w:p>
        </w:tc>
        <w:tc>
          <w:tcPr>
            <w:tcW w:w="1278" w:type="dxa"/>
            <w:gridSpan w:val="2"/>
            <w:tcBorders>
              <w:top w:val="single" w:sz="2" w:space="0" w:color="F6BB00"/>
              <w:bottom w:val="single" w:sz="2" w:space="0" w:color="F6BB00"/>
            </w:tcBorders>
            <w:vAlign w:val="center"/>
          </w:tcPr>
          <w:p w14:paraId="56899C89" w14:textId="77777777" w:rsidR="00266261" w:rsidRPr="0057408C" w:rsidRDefault="00266261" w:rsidP="00266261">
            <w:pPr>
              <w:spacing w:after="0" w:line="240" w:lineRule="auto"/>
              <w:jc w:val="center"/>
              <w:rPr>
                <w:b/>
                <w:color w:val="FF0000"/>
                <w:sz w:val="18"/>
                <w:szCs w:val="18"/>
              </w:rPr>
            </w:pPr>
            <w:r w:rsidRPr="0057408C">
              <w:rPr>
                <w:b/>
                <w:color w:val="FF0000"/>
                <w:sz w:val="18"/>
                <w:szCs w:val="18"/>
              </w:rPr>
              <w:t>-4 (10) (dane za 2016)</w:t>
            </w:r>
          </w:p>
        </w:tc>
      </w:tr>
      <w:tr w:rsidR="00266261" w:rsidRPr="00EB1427" w14:paraId="646F6120" w14:textId="77777777" w:rsidTr="00734085">
        <w:tc>
          <w:tcPr>
            <w:tcW w:w="6237" w:type="dxa"/>
            <w:tcBorders>
              <w:top w:val="single" w:sz="2" w:space="0" w:color="F6BB00"/>
              <w:bottom w:val="single" w:sz="2" w:space="0" w:color="F6BB00"/>
            </w:tcBorders>
            <w:vAlign w:val="center"/>
          </w:tcPr>
          <w:p w14:paraId="5B7CCD57" w14:textId="77777777" w:rsidR="00266261" w:rsidRPr="00942877" w:rsidRDefault="00266261" w:rsidP="00266261">
            <w:pPr>
              <w:spacing w:after="0" w:line="240" w:lineRule="auto"/>
              <w:jc w:val="left"/>
              <w:rPr>
                <w:sz w:val="18"/>
                <w:szCs w:val="18"/>
              </w:rPr>
            </w:pPr>
            <w:r w:rsidRPr="004F0ECE">
              <w:rPr>
                <w:sz w:val="18"/>
                <w:szCs w:val="18"/>
              </w:rPr>
              <w:t>Nakłady wewnętrzne na B+R na 1 mieszkańca</w:t>
            </w:r>
          </w:p>
        </w:tc>
        <w:tc>
          <w:tcPr>
            <w:tcW w:w="850" w:type="dxa"/>
            <w:tcBorders>
              <w:top w:val="single" w:sz="2" w:space="0" w:color="F6BB00"/>
              <w:bottom w:val="single" w:sz="2" w:space="0" w:color="F6BB00"/>
            </w:tcBorders>
            <w:vAlign w:val="center"/>
          </w:tcPr>
          <w:p w14:paraId="5DDE5F24" w14:textId="77777777" w:rsidR="00266261" w:rsidRPr="005E510D" w:rsidRDefault="00266261" w:rsidP="00734085">
            <w:pPr>
              <w:spacing w:after="0" w:line="240" w:lineRule="auto"/>
              <w:jc w:val="right"/>
              <w:rPr>
                <w:b/>
                <w:color w:val="FF0000"/>
                <w:szCs w:val="22"/>
              </w:rPr>
            </w:pPr>
            <w:r w:rsidRPr="005E510D">
              <w:rPr>
                <w:b/>
                <w:color w:val="FF0000"/>
                <w:szCs w:val="22"/>
              </w:rPr>
              <w:t>↓</w:t>
            </w:r>
          </w:p>
        </w:tc>
        <w:tc>
          <w:tcPr>
            <w:tcW w:w="567" w:type="dxa"/>
            <w:tcBorders>
              <w:top w:val="single" w:sz="2" w:space="0" w:color="F6BB00"/>
              <w:bottom w:val="single" w:sz="2" w:space="0" w:color="F6BB00"/>
            </w:tcBorders>
            <w:vAlign w:val="center"/>
          </w:tcPr>
          <w:p w14:paraId="36F4CE6E" w14:textId="77777777" w:rsidR="00266261" w:rsidRPr="005E510D" w:rsidRDefault="00266261" w:rsidP="00266261">
            <w:pPr>
              <w:spacing w:after="0" w:line="240" w:lineRule="auto"/>
              <w:jc w:val="center"/>
              <w:rPr>
                <w:b/>
                <w:color w:val="FF0000"/>
                <w:sz w:val="18"/>
                <w:szCs w:val="18"/>
              </w:rPr>
            </w:pPr>
            <w:r w:rsidRPr="005E510D">
              <w:rPr>
                <w:b/>
                <w:color w:val="FF0000"/>
                <w:sz w:val="18"/>
                <w:szCs w:val="18"/>
              </w:rPr>
              <w:t>(15)</w:t>
            </w:r>
          </w:p>
        </w:tc>
        <w:tc>
          <w:tcPr>
            <w:tcW w:w="1278" w:type="dxa"/>
            <w:gridSpan w:val="2"/>
            <w:tcBorders>
              <w:top w:val="single" w:sz="2" w:space="0" w:color="F6BB00"/>
              <w:bottom w:val="single" w:sz="2" w:space="0" w:color="F6BB00"/>
            </w:tcBorders>
            <w:vAlign w:val="center"/>
          </w:tcPr>
          <w:p w14:paraId="68A03071" w14:textId="77777777" w:rsidR="00266261" w:rsidRPr="0057408C" w:rsidRDefault="00266261" w:rsidP="00266261">
            <w:pPr>
              <w:spacing w:after="0" w:line="240" w:lineRule="auto"/>
              <w:jc w:val="center"/>
              <w:rPr>
                <w:b/>
                <w:color w:val="FF0000"/>
                <w:sz w:val="18"/>
                <w:szCs w:val="18"/>
              </w:rPr>
            </w:pPr>
            <w:r w:rsidRPr="0057408C">
              <w:rPr>
                <w:b/>
                <w:color w:val="FF0000"/>
                <w:sz w:val="18"/>
                <w:szCs w:val="18"/>
              </w:rPr>
              <w:t>-2 (6)</w:t>
            </w:r>
          </w:p>
        </w:tc>
      </w:tr>
      <w:tr w:rsidR="00266261" w:rsidRPr="00EB1427" w14:paraId="25F06122" w14:textId="77777777" w:rsidTr="00734085">
        <w:tc>
          <w:tcPr>
            <w:tcW w:w="6237" w:type="dxa"/>
            <w:tcBorders>
              <w:top w:val="single" w:sz="2" w:space="0" w:color="F6BB00"/>
              <w:bottom w:val="single" w:sz="2" w:space="0" w:color="F6BB00"/>
            </w:tcBorders>
            <w:vAlign w:val="center"/>
          </w:tcPr>
          <w:p w14:paraId="45E3E974" w14:textId="77777777" w:rsidR="00266261" w:rsidRPr="004F0ECE" w:rsidRDefault="00266261" w:rsidP="00266261">
            <w:pPr>
              <w:spacing w:after="0" w:line="240" w:lineRule="auto"/>
              <w:jc w:val="left"/>
              <w:rPr>
                <w:sz w:val="18"/>
                <w:szCs w:val="18"/>
              </w:rPr>
            </w:pPr>
            <w:r w:rsidRPr="004F0ECE">
              <w:rPr>
                <w:sz w:val="18"/>
                <w:szCs w:val="18"/>
              </w:rPr>
              <w:t>Odsetek podmiotów z udziałem kapitału zagranicznego</w:t>
            </w:r>
          </w:p>
        </w:tc>
        <w:tc>
          <w:tcPr>
            <w:tcW w:w="850" w:type="dxa"/>
            <w:tcBorders>
              <w:top w:val="single" w:sz="2" w:space="0" w:color="F6BB00"/>
              <w:bottom w:val="single" w:sz="2" w:space="0" w:color="F6BB00"/>
            </w:tcBorders>
            <w:vAlign w:val="center"/>
          </w:tcPr>
          <w:p w14:paraId="537FEFF7" w14:textId="77777777" w:rsidR="00266261" w:rsidRPr="00AE0416" w:rsidRDefault="00266261" w:rsidP="00734085">
            <w:pPr>
              <w:spacing w:after="0" w:line="240" w:lineRule="auto"/>
              <w:jc w:val="right"/>
              <w:rPr>
                <w:b/>
                <w:color w:val="FF0000"/>
                <w:szCs w:val="22"/>
              </w:rPr>
            </w:pPr>
            <w:r w:rsidRPr="00AE0416">
              <w:rPr>
                <w:b/>
                <w:color w:val="FF0000"/>
                <w:szCs w:val="22"/>
              </w:rPr>
              <w:t>↓</w:t>
            </w:r>
          </w:p>
        </w:tc>
        <w:tc>
          <w:tcPr>
            <w:tcW w:w="567" w:type="dxa"/>
            <w:tcBorders>
              <w:top w:val="single" w:sz="2" w:space="0" w:color="F6BB00"/>
              <w:bottom w:val="single" w:sz="2" w:space="0" w:color="F6BB00"/>
            </w:tcBorders>
            <w:vAlign w:val="center"/>
          </w:tcPr>
          <w:p w14:paraId="6E25B4FD" w14:textId="77777777" w:rsidR="00266261" w:rsidRPr="00AE0416" w:rsidRDefault="00266261" w:rsidP="00266261">
            <w:pPr>
              <w:spacing w:after="0" w:line="240" w:lineRule="auto"/>
              <w:jc w:val="center"/>
              <w:rPr>
                <w:b/>
                <w:color w:val="FF0000"/>
                <w:sz w:val="18"/>
                <w:szCs w:val="18"/>
              </w:rPr>
            </w:pPr>
            <w:r w:rsidRPr="00AE0416">
              <w:rPr>
                <w:b/>
                <w:color w:val="FF0000"/>
                <w:sz w:val="18"/>
                <w:szCs w:val="18"/>
              </w:rPr>
              <w:t>(9)</w:t>
            </w:r>
          </w:p>
        </w:tc>
        <w:tc>
          <w:tcPr>
            <w:tcW w:w="1278" w:type="dxa"/>
            <w:gridSpan w:val="2"/>
            <w:tcBorders>
              <w:top w:val="single" w:sz="2" w:space="0" w:color="F6BB00"/>
              <w:bottom w:val="single" w:sz="2" w:space="0" w:color="F6BB00"/>
            </w:tcBorders>
            <w:vAlign w:val="center"/>
          </w:tcPr>
          <w:p w14:paraId="379D3B15" w14:textId="77777777" w:rsidR="00266261" w:rsidRPr="0057408C" w:rsidRDefault="00266261" w:rsidP="00266261">
            <w:pPr>
              <w:spacing w:after="0" w:line="240" w:lineRule="auto"/>
              <w:jc w:val="center"/>
              <w:rPr>
                <w:b/>
                <w:sz w:val="18"/>
                <w:szCs w:val="18"/>
              </w:rPr>
            </w:pPr>
            <w:r w:rsidRPr="0057408C">
              <w:rPr>
                <w:b/>
                <w:sz w:val="18"/>
                <w:szCs w:val="18"/>
              </w:rPr>
              <w:t>0 (5)</w:t>
            </w:r>
          </w:p>
        </w:tc>
      </w:tr>
      <w:tr w:rsidR="00266261" w:rsidRPr="00EB1427" w14:paraId="4487D4C1" w14:textId="77777777" w:rsidTr="00734085">
        <w:tc>
          <w:tcPr>
            <w:tcW w:w="6237" w:type="dxa"/>
            <w:tcBorders>
              <w:top w:val="single" w:sz="2" w:space="0" w:color="F6BB00"/>
              <w:bottom w:val="single" w:sz="2" w:space="0" w:color="F6BB00"/>
            </w:tcBorders>
            <w:vAlign w:val="center"/>
          </w:tcPr>
          <w:p w14:paraId="11CB1A4A" w14:textId="77777777" w:rsidR="00266261" w:rsidRPr="004F0ECE" w:rsidRDefault="00266261" w:rsidP="00266261">
            <w:pPr>
              <w:spacing w:after="0" w:line="240" w:lineRule="auto"/>
              <w:jc w:val="left"/>
              <w:rPr>
                <w:sz w:val="18"/>
                <w:szCs w:val="18"/>
              </w:rPr>
            </w:pPr>
            <w:r w:rsidRPr="004F0ECE">
              <w:rPr>
                <w:sz w:val="18"/>
                <w:szCs w:val="18"/>
              </w:rPr>
              <w:t>Nakłady inwestycyjne na 1 mieszkańca</w:t>
            </w:r>
          </w:p>
        </w:tc>
        <w:tc>
          <w:tcPr>
            <w:tcW w:w="850" w:type="dxa"/>
            <w:tcBorders>
              <w:top w:val="single" w:sz="2" w:space="0" w:color="F6BB00"/>
              <w:bottom w:val="single" w:sz="2" w:space="0" w:color="F6BB00"/>
            </w:tcBorders>
            <w:vAlign w:val="center"/>
          </w:tcPr>
          <w:p w14:paraId="37BC408E" w14:textId="77777777" w:rsidR="00266261" w:rsidRPr="00AE0416" w:rsidRDefault="00266261" w:rsidP="00734085">
            <w:pPr>
              <w:spacing w:after="0" w:line="240" w:lineRule="auto"/>
              <w:jc w:val="right"/>
              <w:rPr>
                <w:b/>
                <w:color w:val="00B050"/>
                <w:szCs w:val="22"/>
              </w:rPr>
            </w:pPr>
            <w:r w:rsidRPr="00AE0416">
              <w:rPr>
                <w:b/>
                <w:color w:val="00B050"/>
                <w:szCs w:val="22"/>
              </w:rPr>
              <w:t>↑</w:t>
            </w:r>
          </w:p>
        </w:tc>
        <w:tc>
          <w:tcPr>
            <w:tcW w:w="567" w:type="dxa"/>
            <w:tcBorders>
              <w:top w:val="single" w:sz="2" w:space="0" w:color="F6BB00"/>
              <w:bottom w:val="single" w:sz="2" w:space="0" w:color="F6BB00"/>
            </w:tcBorders>
            <w:vAlign w:val="center"/>
          </w:tcPr>
          <w:p w14:paraId="4C055FDA" w14:textId="77777777" w:rsidR="00266261" w:rsidRPr="00AE0416" w:rsidRDefault="00266261" w:rsidP="00266261">
            <w:pPr>
              <w:spacing w:after="0" w:line="240" w:lineRule="auto"/>
              <w:jc w:val="center"/>
              <w:rPr>
                <w:b/>
                <w:color w:val="00B050"/>
                <w:sz w:val="18"/>
                <w:szCs w:val="18"/>
              </w:rPr>
            </w:pPr>
            <w:r w:rsidRPr="00AE0416">
              <w:rPr>
                <w:b/>
                <w:color w:val="00B050"/>
                <w:sz w:val="18"/>
                <w:szCs w:val="18"/>
              </w:rPr>
              <w:t>(4)</w:t>
            </w:r>
          </w:p>
        </w:tc>
        <w:tc>
          <w:tcPr>
            <w:tcW w:w="1278" w:type="dxa"/>
            <w:gridSpan w:val="2"/>
            <w:tcBorders>
              <w:top w:val="single" w:sz="2" w:space="0" w:color="F6BB00"/>
              <w:bottom w:val="single" w:sz="2" w:space="0" w:color="F6BB00"/>
            </w:tcBorders>
            <w:vAlign w:val="center"/>
          </w:tcPr>
          <w:p w14:paraId="053B06FD" w14:textId="77777777" w:rsidR="00266261" w:rsidRPr="0057408C" w:rsidRDefault="00266261" w:rsidP="00266261">
            <w:pPr>
              <w:spacing w:after="0" w:line="240" w:lineRule="auto"/>
              <w:jc w:val="center"/>
              <w:rPr>
                <w:b/>
                <w:sz w:val="18"/>
                <w:szCs w:val="18"/>
              </w:rPr>
            </w:pPr>
            <w:r w:rsidRPr="0057408C">
              <w:rPr>
                <w:b/>
                <w:sz w:val="18"/>
                <w:szCs w:val="18"/>
              </w:rPr>
              <w:t>0 (5)</w:t>
            </w:r>
          </w:p>
        </w:tc>
      </w:tr>
      <w:tr w:rsidR="00266261" w:rsidRPr="00EB1427" w14:paraId="42AB7ED5" w14:textId="77777777" w:rsidTr="00734085">
        <w:tc>
          <w:tcPr>
            <w:tcW w:w="6237" w:type="dxa"/>
            <w:tcBorders>
              <w:top w:val="single" w:sz="2" w:space="0" w:color="F6BB00"/>
              <w:bottom w:val="single" w:sz="2" w:space="0" w:color="F6BB00"/>
            </w:tcBorders>
            <w:vAlign w:val="center"/>
          </w:tcPr>
          <w:p w14:paraId="29F9B679" w14:textId="77777777" w:rsidR="00266261" w:rsidRPr="004F0ECE" w:rsidRDefault="00266261" w:rsidP="00266261">
            <w:pPr>
              <w:spacing w:after="0" w:line="240" w:lineRule="auto"/>
              <w:jc w:val="left"/>
              <w:rPr>
                <w:sz w:val="18"/>
                <w:szCs w:val="18"/>
              </w:rPr>
            </w:pPr>
            <w:r w:rsidRPr="00915B87">
              <w:rPr>
                <w:sz w:val="18"/>
                <w:szCs w:val="18"/>
              </w:rPr>
              <w:t>Udział przychodów netto ze sprzedaży produktów innowacyjnych w przychodach netto ze sprzedaży</w:t>
            </w:r>
            <w:r>
              <w:rPr>
                <w:sz w:val="18"/>
                <w:szCs w:val="18"/>
              </w:rPr>
              <w:t xml:space="preserve"> </w:t>
            </w:r>
            <w:r w:rsidRPr="00915B87">
              <w:rPr>
                <w:sz w:val="18"/>
                <w:szCs w:val="18"/>
              </w:rPr>
              <w:t>ogółem w przedsiębiorstwach przemysłowych</w:t>
            </w:r>
          </w:p>
        </w:tc>
        <w:tc>
          <w:tcPr>
            <w:tcW w:w="850" w:type="dxa"/>
            <w:tcBorders>
              <w:top w:val="single" w:sz="2" w:space="0" w:color="F6BB00"/>
              <w:bottom w:val="single" w:sz="2" w:space="0" w:color="F6BB00"/>
            </w:tcBorders>
            <w:vAlign w:val="center"/>
          </w:tcPr>
          <w:p w14:paraId="6BDA08EF" w14:textId="77777777" w:rsidR="00266261" w:rsidRPr="00AE0416" w:rsidRDefault="00266261" w:rsidP="00734085">
            <w:pPr>
              <w:spacing w:after="0" w:line="240" w:lineRule="auto"/>
              <w:jc w:val="right"/>
              <w:rPr>
                <w:b/>
                <w:color w:val="FF0000"/>
                <w:szCs w:val="22"/>
              </w:rPr>
            </w:pPr>
            <w:r w:rsidRPr="00AE0416">
              <w:rPr>
                <w:b/>
                <w:color w:val="FF0000"/>
                <w:szCs w:val="22"/>
              </w:rPr>
              <w:t>↓</w:t>
            </w:r>
          </w:p>
        </w:tc>
        <w:tc>
          <w:tcPr>
            <w:tcW w:w="567" w:type="dxa"/>
            <w:tcBorders>
              <w:top w:val="single" w:sz="2" w:space="0" w:color="F6BB00"/>
              <w:bottom w:val="single" w:sz="2" w:space="0" w:color="F6BB00"/>
            </w:tcBorders>
            <w:vAlign w:val="center"/>
          </w:tcPr>
          <w:p w14:paraId="2695B5E2" w14:textId="77777777" w:rsidR="00266261" w:rsidRPr="00AE0416" w:rsidRDefault="00266261" w:rsidP="00266261">
            <w:pPr>
              <w:spacing w:after="0" w:line="240" w:lineRule="auto"/>
              <w:jc w:val="center"/>
              <w:rPr>
                <w:b/>
                <w:color w:val="FF0000"/>
                <w:sz w:val="18"/>
                <w:szCs w:val="18"/>
              </w:rPr>
            </w:pPr>
            <w:r w:rsidRPr="00AE0416">
              <w:rPr>
                <w:b/>
                <w:color w:val="FF0000"/>
                <w:sz w:val="18"/>
                <w:szCs w:val="18"/>
              </w:rPr>
              <w:t>(15)</w:t>
            </w:r>
          </w:p>
        </w:tc>
        <w:tc>
          <w:tcPr>
            <w:tcW w:w="1278" w:type="dxa"/>
            <w:gridSpan w:val="2"/>
            <w:tcBorders>
              <w:top w:val="single" w:sz="2" w:space="0" w:color="F6BB00"/>
              <w:bottom w:val="single" w:sz="2" w:space="0" w:color="F6BB00"/>
            </w:tcBorders>
            <w:vAlign w:val="center"/>
          </w:tcPr>
          <w:p w14:paraId="586F58B8" w14:textId="77777777" w:rsidR="00266261" w:rsidRPr="0057408C" w:rsidRDefault="00266261" w:rsidP="00266261">
            <w:pPr>
              <w:spacing w:after="0" w:line="240" w:lineRule="auto"/>
              <w:jc w:val="center"/>
              <w:rPr>
                <w:b/>
                <w:color w:val="FF0000"/>
                <w:sz w:val="18"/>
                <w:szCs w:val="18"/>
              </w:rPr>
            </w:pPr>
            <w:r w:rsidRPr="0057408C">
              <w:rPr>
                <w:b/>
                <w:color w:val="FF0000"/>
                <w:sz w:val="18"/>
                <w:szCs w:val="18"/>
              </w:rPr>
              <w:t>-5 (7) (dane za 2016)</w:t>
            </w:r>
          </w:p>
        </w:tc>
      </w:tr>
      <w:tr w:rsidR="00266261" w:rsidRPr="00EB1427" w14:paraId="25B074A6" w14:textId="77777777" w:rsidTr="00734085">
        <w:tc>
          <w:tcPr>
            <w:tcW w:w="6237" w:type="dxa"/>
            <w:tcBorders>
              <w:top w:val="single" w:sz="2" w:space="0" w:color="F6BB00"/>
              <w:bottom w:val="single" w:sz="2" w:space="0" w:color="F6BB00"/>
            </w:tcBorders>
            <w:vAlign w:val="center"/>
          </w:tcPr>
          <w:p w14:paraId="7E93033D" w14:textId="77777777" w:rsidR="00266261" w:rsidRPr="00915B87" w:rsidRDefault="00266261" w:rsidP="00266261">
            <w:pPr>
              <w:spacing w:after="0" w:line="240" w:lineRule="auto"/>
              <w:jc w:val="left"/>
              <w:rPr>
                <w:sz w:val="18"/>
                <w:szCs w:val="18"/>
              </w:rPr>
            </w:pPr>
            <w:r w:rsidRPr="00915B87">
              <w:rPr>
                <w:sz w:val="18"/>
                <w:szCs w:val="18"/>
              </w:rPr>
              <w:t>Powierzchnia użytków rolnych z certyfikatem i w okresie przestawiania w ekologicznych gospodarstwach rolnych</w:t>
            </w:r>
          </w:p>
        </w:tc>
        <w:tc>
          <w:tcPr>
            <w:tcW w:w="850" w:type="dxa"/>
            <w:tcBorders>
              <w:top w:val="single" w:sz="2" w:space="0" w:color="F6BB00"/>
              <w:bottom w:val="single" w:sz="2" w:space="0" w:color="F6BB00"/>
            </w:tcBorders>
            <w:vAlign w:val="center"/>
          </w:tcPr>
          <w:p w14:paraId="68F02EEC" w14:textId="77777777" w:rsidR="00266261" w:rsidRPr="00422C7A" w:rsidRDefault="00266261" w:rsidP="00734085">
            <w:pPr>
              <w:spacing w:after="0" w:line="240" w:lineRule="auto"/>
              <w:jc w:val="right"/>
              <w:rPr>
                <w:b/>
                <w:color w:val="FF0000"/>
                <w:szCs w:val="22"/>
              </w:rPr>
            </w:pPr>
            <w:r w:rsidRPr="00422C7A">
              <w:rPr>
                <w:b/>
                <w:color w:val="FF0000"/>
                <w:szCs w:val="22"/>
              </w:rPr>
              <w:t>↓</w:t>
            </w:r>
          </w:p>
        </w:tc>
        <w:tc>
          <w:tcPr>
            <w:tcW w:w="567" w:type="dxa"/>
            <w:tcBorders>
              <w:top w:val="single" w:sz="2" w:space="0" w:color="F6BB00"/>
              <w:bottom w:val="single" w:sz="2" w:space="0" w:color="F6BB00"/>
            </w:tcBorders>
            <w:vAlign w:val="center"/>
          </w:tcPr>
          <w:p w14:paraId="61450600" w14:textId="77777777" w:rsidR="00266261" w:rsidRPr="00422C7A" w:rsidRDefault="00266261" w:rsidP="00266261">
            <w:pPr>
              <w:spacing w:after="0" w:line="240" w:lineRule="auto"/>
              <w:jc w:val="center"/>
              <w:rPr>
                <w:b/>
                <w:color w:val="FF0000"/>
                <w:sz w:val="18"/>
                <w:szCs w:val="18"/>
              </w:rPr>
            </w:pPr>
            <w:r w:rsidRPr="00422C7A">
              <w:rPr>
                <w:b/>
                <w:color w:val="FF0000"/>
                <w:sz w:val="18"/>
                <w:szCs w:val="18"/>
              </w:rPr>
              <w:t>(13)</w:t>
            </w:r>
          </w:p>
        </w:tc>
        <w:tc>
          <w:tcPr>
            <w:tcW w:w="1278" w:type="dxa"/>
            <w:gridSpan w:val="2"/>
            <w:tcBorders>
              <w:top w:val="single" w:sz="2" w:space="0" w:color="F6BB00"/>
              <w:bottom w:val="single" w:sz="2" w:space="0" w:color="F6BB00"/>
            </w:tcBorders>
            <w:vAlign w:val="center"/>
          </w:tcPr>
          <w:p w14:paraId="300407EA" w14:textId="77777777" w:rsidR="00266261" w:rsidRPr="0057408C" w:rsidRDefault="00266261" w:rsidP="00266261">
            <w:pPr>
              <w:spacing w:after="0" w:line="240" w:lineRule="auto"/>
              <w:jc w:val="center"/>
              <w:rPr>
                <w:b/>
                <w:color w:val="FF0000"/>
                <w:sz w:val="18"/>
                <w:szCs w:val="18"/>
              </w:rPr>
            </w:pPr>
            <w:r w:rsidRPr="0057408C">
              <w:rPr>
                <w:b/>
                <w:color w:val="FF0000"/>
                <w:sz w:val="18"/>
                <w:szCs w:val="18"/>
              </w:rPr>
              <w:t>-1 (8)</w:t>
            </w:r>
          </w:p>
        </w:tc>
      </w:tr>
      <w:tr w:rsidR="00266261" w:rsidRPr="00EB1427" w14:paraId="72A78628" w14:textId="77777777" w:rsidTr="00734085">
        <w:tc>
          <w:tcPr>
            <w:tcW w:w="6237" w:type="dxa"/>
            <w:tcBorders>
              <w:top w:val="single" w:sz="2" w:space="0" w:color="F6BB00"/>
              <w:bottom w:val="single" w:sz="2" w:space="0" w:color="F6BB00"/>
            </w:tcBorders>
            <w:vAlign w:val="center"/>
          </w:tcPr>
          <w:p w14:paraId="7D77D992" w14:textId="77777777" w:rsidR="00266261" w:rsidRPr="00915B87" w:rsidRDefault="00266261" w:rsidP="00266261">
            <w:pPr>
              <w:spacing w:after="0" w:line="240" w:lineRule="auto"/>
              <w:jc w:val="left"/>
              <w:rPr>
                <w:sz w:val="18"/>
                <w:szCs w:val="18"/>
              </w:rPr>
            </w:pPr>
            <w:r w:rsidRPr="00915B87">
              <w:rPr>
                <w:sz w:val="18"/>
                <w:szCs w:val="18"/>
              </w:rPr>
              <w:t>Nakłady wewnętrzne na B+R w relacji do PKB (ceny bieżące)</w:t>
            </w:r>
          </w:p>
        </w:tc>
        <w:tc>
          <w:tcPr>
            <w:tcW w:w="850" w:type="dxa"/>
            <w:tcBorders>
              <w:top w:val="single" w:sz="2" w:space="0" w:color="F6BB00"/>
              <w:bottom w:val="single" w:sz="2" w:space="0" w:color="F6BB00"/>
            </w:tcBorders>
            <w:vAlign w:val="center"/>
          </w:tcPr>
          <w:p w14:paraId="79E2AB00" w14:textId="77777777" w:rsidR="00266261" w:rsidRPr="00422C7A" w:rsidRDefault="00266261" w:rsidP="00734085">
            <w:pPr>
              <w:spacing w:after="0" w:line="240" w:lineRule="auto"/>
              <w:jc w:val="right"/>
              <w:rPr>
                <w:b/>
                <w:color w:val="FF0000"/>
                <w:szCs w:val="22"/>
              </w:rPr>
            </w:pPr>
            <w:r w:rsidRPr="00422C7A">
              <w:rPr>
                <w:b/>
                <w:color w:val="FF0000"/>
                <w:szCs w:val="22"/>
              </w:rPr>
              <w:t>↓</w:t>
            </w:r>
          </w:p>
        </w:tc>
        <w:tc>
          <w:tcPr>
            <w:tcW w:w="567" w:type="dxa"/>
            <w:tcBorders>
              <w:top w:val="single" w:sz="2" w:space="0" w:color="F6BB00"/>
              <w:bottom w:val="single" w:sz="2" w:space="0" w:color="F6BB00"/>
            </w:tcBorders>
            <w:vAlign w:val="center"/>
          </w:tcPr>
          <w:p w14:paraId="07C70DAC" w14:textId="77777777" w:rsidR="00266261" w:rsidRPr="00422C7A" w:rsidRDefault="00266261" w:rsidP="00266261">
            <w:pPr>
              <w:spacing w:after="0" w:line="240" w:lineRule="auto"/>
              <w:jc w:val="center"/>
              <w:rPr>
                <w:b/>
                <w:color w:val="FF0000"/>
                <w:sz w:val="18"/>
                <w:szCs w:val="18"/>
              </w:rPr>
            </w:pPr>
            <w:r w:rsidRPr="00422C7A">
              <w:rPr>
                <w:b/>
                <w:color w:val="FF0000"/>
                <w:sz w:val="18"/>
                <w:szCs w:val="18"/>
              </w:rPr>
              <w:t>(15)</w:t>
            </w:r>
          </w:p>
        </w:tc>
        <w:tc>
          <w:tcPr>
            <w:tcW w:w="1278" w:type="dxa"/>
            <w:gridSpan w:val="2"/>
            <w:tcBorders>
              <w:top w:val="single" w:sz="2" w:space="0" w:color="F6BB00"/>
              <w:bottom w:val="single" w:sz="2" w:space="0" w:color="F6BB00"/>
            </w:tcBorders>
            <w:vAlign w:val="center"/>
          </w:tcPr>
          <w:p w14:paraId="7A643DE5" w14:textId="77777777" w:rsidR="00266261" w:rsidRPr="0057408C" w:rsidRDefault="00266261" w:rsidP="00266261">
            <w:pPr>
              <w:spacing w:after="0" w:line="240" w:lineRule="auto"/>
              <w:jc w:val="center"/>
              <w:rPr>
                <w:b/>
                <w:color w:val="FF0000"/>
                <w:sz w:val="18"/>
                <w:szCs w:val="18"/>
              </w:rPr>
            </w:pPr>
            <w:r w:rsidRPr="0057408C">
              <w:rPr>
                <w:b/>
                <w:color w:val="FF0000"/>
                <w:sz w:val="18"/>
                <w:szCs w:val="18"/>
              </w:rPr>
              <w:t>-2 (8) (dane za 2015)</w:t>
            </w:r>
          </w:p>
        </w:tc>
      </w:tr>
      <w:tr w:rsidR="00266261" w:rsidRPr="00EB1427" w14:paraId="3FF988C4" w14:textId="77777777" w:rsidTr="00734085">
        <w:tc>
          <w:tcPr>
            <w:tcW w:w="6237" w:type="dxa"/>
            <w:tcBorders>
              <w:top w:val="single" w:sz="2" w:space="0" w:color="F6BB00"/>
              <w:bottom w:val="single" w:sz="2" w:space="0" w:color="F6BB00"/>
            </w:tcBorders>
            <w:vAlign w:val="center"/>
          </w:tcPr>
          <w:p w14:paraId="1FD29210" w14:textId="77777777" w:rsidR="00266261" w:rsidRPr="00915B87" w:rsidRDefault="00266261" w:rsidP="00266261">
            <w:pPr>
              <w:spacing w:after="0" w:line="240" w:lineRule="auto"/>
              <w:jc w:val="left"/>
              <w:rPr>
                <w:sz w:val="18"/>
                <w:szCs w:val="18"/>
              </w:rPr>
            </w:pPr>
            <w:r w:rsidRPr="00915B87">
              <w:rPr>
                <w:sz w:val="18"/>
                <w:szCs w:val="18"/>
              </w:rPr>
              <w:t>Produkcja sprzedana przemysłu na 1 mieszkańca (wg PKD 2007)</w:t>
            </w:r>
          </w:p>
        </w:tc>
        <w:tc>
          <w:tcPr>
            <w:tcW w:w="850" w:type="dxa"/>
            <w:tcBorders>
              <w:top w:val="single" w:sz="2" w:space="0" w:color="F6BB00"/>
              <w:bottom w:val="single" w:sz="2" w:space="0" w:color="F6BB00"/>
            </w:tcBorders>
            <w:vAlign w:val="center"/>
          </w:tcPr>
          <w:p w14:paraId="6C3A2815" w14:textId="77777777" w:rsidR="00266261" w:rsidRPr="00422C7A" w:rsidRDefault="00266261" w:rsidP="00734085">
            <w:pPr>
              <w:spacing w:after="0" w:line="240" w:lineRule="auto"/>
              <w:jc w:val="right"/>
              <w:rPr>
                <w:b/>
                <w:color w:val="00B050"/>
                <w:szCs w:val="22"/>
              </w:rPr>
            </w:pPr>
            <w:r w:rsidRPr="00422C7A">
              <w:rPr>
                <w:b/>
                <w:color w:val="00B050"/>
                <w:szCs w:val="22"/>
              </w:rPr>
              <w:t>↑</w:t>
            </w:r>
          </w:p>
        </w:tc>
        <w:tc>
          <w:tcPr>
            <w:tcW w:w="567" w:type="dxa"/>
            <w:tcBorders>
              <w:top w:val="single" w:sz="2" w:space="0" w:color="F6BB00"/>
              <w:bottom w:val="single" w:sz="2" w:space="0" w:color="F6BB00"/>
            </w:tcBorders>
            <w:vAlign w:val="center"/>
          </w:tcPr>
          <w:p w14:paraId="0E209748" w14:textId="77777777" w:rsidR="00266261" w:rsidRPr="00422C7A" w:rsidRDefault="00266261" w:rsidP="00266261">
            <w:pPr>
              <w:spacing w:after="0" w:line="240" w:lineRule="auto"/>
              <w:jc w:val="center"/>
              <w:rPr>
                <w:b/>
                <w:color w:val="00B050"/>
                <w:sz w:val="18"/>
                <w:szCs w:val="18"/>
              </w:rPr>
            </w:pPr>
            <w:r w:rsidRPr="00422C7A">
              <w:rPr>
                <w:b/>
                <w:color w:val="00B050"/>
                <w:sz w:val="18"/>
                <w:szCs w:val="18"/>
              </w:rPr>
              <w:t>(2)</w:t>
            </w:r>
          </w:p>
        </w:tc>
        <w:tc>
          <w:tcPr>
            <w:tcW w:w="1278" w:type="dxa"/>
            <w:gridSpan w:val="2"/>
            <w:tcBorders>
              <w:top w:val="single" w:sz="2" w:space="0" w:color="F6BB00"/>
              <w:bottom w:val="single" w:sz="2" w:space="0" w:color="F6BB00"/>
            </w:tcBorders>
            <w:vAlign w:val="center"/>
          </w:tcPr>
          <w:p w14:paraId="13585D21" w14:textId="77777777" w:rsidR="00266261" w:rsidRPr="0057408C" w:rsidRDefault="00266261" w:rsidP="00266261">
            <w:pPr>
              <w:spacing w:after="0" w:line="240" w:lineRule="auto"/>
              <w:jc w:val="center"/>
              <w:rPr>
                <w:b/>
                <w:color w:val="00B050"/>
                <w:sz w:val="18"/>
                <w:szCs w:val="18"/>
              </w:rPr>
            </w:pPr>
            <w:r w:rsidRPr="0057408C">
              <w:rPr>
                <w:b/>
                <w:color w:val="00B050"/>
                <w:sz w:val="18"/>
                <w:szCs w:val="18"/>
              </w:rPr>
              <w:t>+2 (3)</w:t>
            </w:r>
          </w:p>
        </w:tc>
      </w:tr>
      <w:tr w:rsidR="00266261" w:rsidRPr="00EB1427" w14:paraId="547E5955" w14:textId="77777777" w:rsidTr="00734085">
        <w:tc>
          <w:tcPr>
            <w:tcW w:w="6237" w:type="dxa"/>
            <w:tcBorders>
              <w:top w:val="single" w:sz="2" w:space="0" w:color="F6BB00"/>
              <w:bottom w:val="single" w:sz="2" w:space="0" w:color="F6BB00"/>
            </w:tcBorders>
            <w:shd w:val="clear" w:color="auto" w:fill="F6BB00"/>
            <w:vAlign w:val="center"/>
          </w:tcPr>
          <w:p w14:paraId="63008F82" w14:textId="77777777" w:rsidR="00266261" w:rsidRPr="00EB1427" w:rsidRDefault="00266261" w:rsidP="00266261">
            <w:pPr>
              <w:spacing w:after="0" w:line="240" w:lineRule="auto"/>
              <w:jc w:val="left"/>
              <w:rPr>
                <w:sz w:val="18"/>
                <w:szCs w:val="18"/>
              </w:rPr>
            </w:pPr>
            <w:r w:rsidRPr="00AB5EAA">
              <w:rPr>
                <w:sz w:val="18"/>
                <w:szCs w:val="18"/>
              </w:rPr>
              <w:t>Cel strategiczny 7. Wzrost kompetencji mieszkańców i zatrudnienia</w:t>
            </w:r>
          </w:p>
        </w:tc>
        <w:tc>
          <w:tcPr>
            <w:tcW w:w="850" w:type="dxa"/>
            <w:tcBorders>
              <w:top w:val="single" w:sz="2" w:space="0" w:color="F6BB00"/>
              <w:bottom w:val="single" w:sz="2" w:space="0" w:color="F6BB00"/>
            </w:tcBorders>
            <w:shd w:val="clear" w:color="auto" w:fill="F6BB00"/>
            <w:vAlign w:val="center"/>
          </w:tcPr>
          <w:p w14:paraId="278E52EF" w14:textId="77777777" w:rsidR="00266261" w:rsidRPr="00942877" w:rsidRDefault="00266261" w:rsidP="00266261">
            <w:pPr>
              <w:spacing w:after="0" w:line="240" w:lineRule="auto"/>
              <w:jc w:val="center"/>
              <w:rPr>
                <w:b/>
                <w:color w:val="FF0000"/>
                <w:szCs w:val="22"/>
              </w:rPr>
            </w:pPr>
          </w:p>
        </w:tc>
        <w:tc>
          <w:tcPr>
            <w:tcW w:w="567" w:type="dxa"/>
            <w:tcBorders>
              <w:top w:val="single" w:sz="2" w:space="0" w:color="F6BB00"/>
              <w:bottom w:val="single" w:sz="2" w:space="0" w:color="F6BB00"/>
            </w:tcBorders>
            <w:shd w:val="clear" w:color="auto" w:fill="F6BB00"/>
            <w:vAlign w:val="center"/>
          </w:tcPr>
          <w:p w14:paraId="1A105319" w14:textId="77777777" w:rsidR="00266261" w:rsidRPr="008B2D2C" w:rsidRDefault="00266261" w:rsidP="00266261">
            <w:pPr>
              <w:spacing w:after="0" w:line="240" w:lineRule="auto"/>
              <w:jc w:val="center"/>
              <w:rPr>
                <w:b/>
                <w:color w:val="FF0000"/>
                <w:sz w:val="18"/>
                <w:szCs w:val="18"/>
              </w:rPr>
            </w:pPr>
          </w:p>
        </w:tc>
        <w:tc>
          <w:tcPr>
            <w:tcW w:w="1278" w:type="dxa"/>
            <w:gridSpan w:val="2"/>
            <w:tcBorders>
              <w:top w:val="single" w:sz="2" w:space="0" w:color="F6BB00"/>
              <w:bottom w:val="single" w:sz="2" w:space="0" w:color="F6BB00"/>
            </w:tcBorders>
            <w:shd w:val="clear" w:color="auto" w:fill="F6BB00"/>
            <w:vAlign w:val="center"/>
          </w:tcPr>
          <w:p w14:paraId="7F50A95D" w14:textId="77777777" w:rsidR="00266261" w:rsidRPr="0057408C" w:rsidRDefault="00266261" w:rsidP="00266261">
            <w:pPr>
              <w:spacing w:after="0" w:line="240" w:lineRule="auto"/>
              <w:jc w:val="center"/>
              <w:rPr>
                <w:b/>
                <w:sz w:val="18"/>
                <w:szCs w:val="18"/>
              </w:rPr>
            </w:pPr>
          </w:p>
        </w:tc>
      </w:tr>
      <w:tr w:rsidR="00266261" w:rsidRPr="00EB1427" w14:paraId="4B7C6F2B" w14:textId="77777777" w:rsidTr="00734085">
        <w:tc>
          <w:tcPr>
            <w:tcW w:w="6237" w:type="dxa"/>
            <w:tcBorders>
              <w:top w:val="single" w:sz="2" w:space="0" w:color="F6BB00"/>
              <w:bottom w:val="single" w:sz="2" w:space="0" w:color="F6BB00"/>
            </w:tcBorders>
            <w:vAlign w:val="center"/>
          </w:tcPr>
          <w:p w14:paraId="0E35F829" w14:textId="77777777" w:rsidR="00266261" w:rsidRPr="00AB5EAA" w:rsidRDefault="00266261" w:rsidP="00266261">
            <w:pPr>
              <w:spacing w:after="0" w:line="240" w:lineRule="auto"/>
              <w:jc w:val="left"/>
              <w:rPr>
                <w:sz w:val="18"/>
                <w:szCs w:val="18"/>
              </w:rPr>
            </w:pPr>
            <w:r w:rsidRPr="00410A31">
              <w:rPr>
                <w:sz w:val="18"/>
                <w:szCs w:val="18"/>
              </w:rPr>
              <w:t>Osoby dorosłe w wieku 25-64 lata uczestniczące w kształceniu i szkoleniu</w:t>
            </w:r>
          </w:p>
        </w:tc>
        <w:tc>
          <w:tcPr>
            <w:tcW w:w="850" w:type="dxa"/>
            <w:tcBorders>
              <w:top w:val="single" w:sz="2" w:space="0" w:color="F6BB00"/>
              <w:bottom w:val="single" w:sz="2" w:space="0" w:color="F6BB00"/>
            </w:tcBorders>
            <w:vAlign w:val="center"/>
          </w:tcPr>
          <w:p w14:paraId="477DEE0C" w14:textId="77777777" w:rsidR="00266261" w:rsidRPr="00796539" w:rsidRDefault="00266261" w:rsidP="00734085">
            <w:pPr>
              <w:spacing w:after="0" w:line="240" w:lineRule="auto"/>
              <w:jc w:val="right"/>
              <w:rPr>
                <w:b/>
                <w:color w:val="FF0000"/>
                <w:szCs w:val="22"/>
              </w:rPr>
            </w:pPr>
            <w:r w:rsidRPr="00796539">
              <w:rPr>
                <w:b/>
                <w:color w:val="FF0000"/>
                <w:szCs w:val="22"/>
              </w:rPr>
              <w:t>↓</w:t>
            </w:r>
          </w:p>
        </w:tc>
        <w:tc>
          <w:tcPr>
            <w:tcW w:w="567" w:type="dxa"/>
            <w:tcBorders>
              <w:top w:val="single" w:sz="2" w:space="0" w:color="F6BB00"/>
              <w:bottom w:val="single" w:sz="2" w:space="0" w:color="F6BB00"/>
            </w:tcBorders>
            <w:vAlign w:val="center"/>
          </w:tcPr>
          <w:p w14:paraId="45222231" w14:textId="77777777" w:rsidR="00266261" w:rsidRPr="00796539" w:rsidRDefault="00266261" w:rsidP="00266261">
            <w:pPr>
              <w:spacing w:after="0" w:line="240" w:lineRule="auto"/>
              <w:jc w:val="center"/>
              <w:rPr>
                <w:b/>
                <w:color w:val="FF0000"/>
                <w:sz w:val="18"/>
                <w:szCs w:val="18"/>
              </w:rPr>
            </w:pPr>
            <w:r w:rsidRPr="00796539">
              <w:rPr>
                <w:b/>
                <w:color w:val="FF0000"/>
                <w:sz w:val="18"/>
                <w:szCs w:val="18"/>
              </w:rPr>
              <w:t>(13)</w:t>
            </w:r>
          </w:p>
        </w:tc>
        <w:tc>
          <w:tcPr>
            <w:tcW w:w="1278" w:type="dxa"/>
            <w:gridSpan w:val="2"/>
            <w:tcBorders>
              <w:top w:val="single" w:sz="2" w:space="0" w:color="F6BB00"/>
              <w:bottom w:val="single" w:sz="2" w:space="0" w:color="F6BB00"/>
            </w:tcBorders>
            <w:vAlign w:val="center"/>
          </w:tcPr>
          <w:p w14:paraId="498697DA" w14:textId="77777777" w:rsidR="00266261" w:rsidRPr="0057408C" w:rsidRDefault="00266261" w:rsidP="00266261">
            <w:pPr>
              <w:spacing w:after="0" w:line="240" w:lineRule="auto"/>
              <w:jc w:val="center"/>
              <w:rPr>
                <w:b/>
                <w:color w:val="FF0000"/>
                <w:sz w:val="18"/>
                <w:szCs w:val="18"/>
              </w:rPr>
            </w:pPr>
            <w:r w:rsidRPr="0057408C">
              <w:rPr>
                <w:b/>
                <w:color w:val="FF0000"/>
                <w:sz w:val="18"/>
                <w:szCs w:val="18"/>
              </w:rPr>
              <w:t>-2 (11)</w:t>
            </w:r>
          </w:p>
        </w:tc>
      </w:tr>
      <w:tr w:rsidR="00266261" w:rsidRPr="00EB1427" w14:paraId="341CAE54" w14:textId="77777777" w:rsidTr="00734085">
        <w:tc>
          <w:tcPr>
            <w:tcW w:w="6237" w:type="dxa"/>
            <w:tcBorders>
              <w:top w:val="single" w:sz="2" w:space="0" w:color="F6BB00"/>
              <w:bottom w:val="single" w:sz="2" w:space="0" w:color="F6BB00"/>
            </w:tcBorders>
            <w:vAlign w:val="center"/>
          </w:tcPr>
          <w:p w14:paraId="7FC1B0D0" w14:textId="77777777" w:rsidR="00266261" w:rsidRPr="00AB5EAA" w:rsidRDefault="00266261" w:rsidP="00266261">
            <w:pPr>
              <w:spacing w:after="0" w:line="240" w:lineRule="auto"/>
              <w:jc w:val="left"/>
              <w:rPr>
                <w:sz w:val="18"/>
                <w:szCs w:val="18"/>
              </w:rPr>
            </w:pPr>
            <w:r w:rsidRPr="00410A31">
              <w:rPr>
                <w:sz w:val="18"/>
                <w:szCs w:val="18"/>
              </w:rPr>
              <w:t>Odsetek studiujących na kierunkach technicznych i przyrodniczych (bez cudzoziemców)</w:t>
            </w:r>
          </w:p>
        </w:tc>
        <w:tc>
          <w:tcPr>
            <w:tcW w:w="850" w:type="dxa"/>
            <w:tcBorders>
              <w:top w:val="single" w:sz="2" w:space="0" w:color="F6BB00"/>
              <w:bottom w:val="single" w:sz="2" w:space="0" w:color="F6BB00"/>
            </w:tcBorders>
            <w:vAlign w:val="center"/>
          </w:tcPr>
          <w:p w14:paraId="44A926DB" w14:textId="77777777" w:rsidR="00266261" w:rsidRPr="00796539" w:rsidRDefault="00266261" w:rsidP="00734085">
            <w:pPr>
              <w:spacing w:after="0" w:line="240" w:lineRule="auto"/>
              <w:jc w:val="right"/>
              <w:rPr>
                <w:b/>
                <w:color w:val="FF0000"/>
                <w:szCs w:val="22"/>
              </w:rPr>
            </w:pPr>
            <w:r w:rsidRPr="00796539">
              <w:rPr>
                <w:b/>
                <w:color w:val="FF0000"/>
                <w:szCs w:val="22"/>
              </w:rPr>
              <w:t>↓</w:t>
            </w:r>
          </w:p>
        </w:tc>
        <w:tc>
          <w:tcPr>
            <w:tcW w:w="567" w:type="dxa"/>
            <w:tcBorders>
              <w:top w:val="single" w:sz="2" w:space="0" w:color="F6BB00"/>
              <w:bottom w:val="single" w:sz="2" w:space="0" w:color="F6BB00"/>
            </w:tcBorders>
            <w:vAlign w:val="center"/>
          </w:tcPr>
          <w:p w14:paraId="28446CD0" w14:textId="77777777" w:rsidR="00266261" w:rsidRPr="00796539" w:rsidRDefault="00266261" w:rsidP="00266261">
            <w:pPr>
              <w:spacing w:after="0" w:line="240" w:lineRule="auto"/>
              <w:jc w:val="center"/>
              <w:rPr>
                <w:b/>
                <w:color w:val="FF0000"/>
                <w:sz w:val="18"/>
                <w:szCs w:val="18"/>
              </w:rPr>
            </w:pPr>
            <w:r w:rsidRPr="00796539">
              <w:rPr>
                <w:b/>
                <w:color w:val="FF0000"/>
                <w:sz w:val="18"/>
                <w:szCs w:val="18"/>
              </w:rPr>
              <w:t>(12)</w:t>
            </w:r>
          </w:p>
        </w:tc>
        <w:tc>
          <w:tcPr>
            <w:tcW w:w="1278" w:type="dxa"/>
            <w:gridSpan w:val="2"/>
            <w:tcBorders>
              <w:top w:val="single" w:sz="2" w:space="0" w:color="F6BB00"/>
              <w:bottom w:val="single" w:sz="2" w:space="0" w:color="F6BB00"/>
            </w:tcBorders>
            <w:vAlign w:val="center"/>
          </w:tcPr>
          <w:p w14:paraId="640F2574" w14:textId="77777777" w:rsidR="00266261" w:rsidRPr="0057408C" w:rsidRDefault="00266261" w:rsidP="00266261">
            <w:pPr>
              <w:spacing w:after="0" w:line="240" w:lineRule="auto"/>
              <w:jc w:val="center"/>
              <w:rPr>
                <w:b/>
                <w:sz w:val="18"/>
                <w:szCs w:val="18"/>
              </w:rPr>
            </w:pPr>
            <w:r w:rsidRPr="0057408C">
              <w:rPr>
                <w:b/>
                <w:color w:val="00B050"/>
                <w:sz w:val="18"/>
                <w:szCs w:val="18"/>
              </w:rPr>
              <w:t>+2 (12)</w:t>
            </w:r>
          </w:p>
        </w:tc>
      </w:tr>
      <w:tr w:rsidR="00266261" w:rsidRPr="00EB1427" w14:paraId="0FBB21B2" w14:textId="77777777" w:rsidTr="00734085">
        <w:tc>
          <w:tcPr>
            <w:tcW w:w="6237" w:type="dxa"/>
            <w:tcBorders>
              <w:top w:val="single" w:sz="2" w:space="0" w:color="F6BB00"/>
              <w:bottom w:val="single" w:sz="2" w:space="0" w:color="F6BB00"/>
            </w:tcBorders>
            <w:vAlign w:val="center"/>
          </w:tcPr>
          <w:p w14:paraId="4B58A887" w14:textId="77777777" w:rsidR="00266261" w:rsidRPr="00AB5EAA" w:rsidRDefault="00266261" w:rsidP="00266261">
            <w:pPr>
              <w:spacing w:after="0" w:line="240" w:lineRule="auto"/>
              <w:jc w:val="left"/>
              <w:rPr>
                <w:sz w:val="18"/>
                <w:szCs w:val="18"/>
              </w:rPr>
            </w:pPr>
            <w:r w:rsidRPr="00410A31">
              <w:rPr>
                <w:sz w:val="18"/>
                <w:szCs w:val="18"/>
              </w:rPr>
              <w:t>Odsetek dzieci w wieku 3-5 lat objętych wychowaniem przedszkolnym na wsi</w:t>
            </w:r>
          </w:p>
        </w:tc>
        <w:tc>
          <w:tcPr>
            <w:tcW w:w="850" w:type="dxa"/>
            <w:tcBorders>
              <w:top w:val="single" w:sz="2" w:space="0" w:color="F6BB00"/>
              <w:bottom w:val="single" w:sz="2" w:space="0" w:color="F6BB00"/>
            </w:tcBorders>
            <w:vAlign w:val="center"/>
          </w:tcPr>
          <w:p w14:paraId="23461EFB" w14:textId="77777777" w:rsidR="00266261" w:rsidRPr="0022263C" w:rsidRDefault="00266261" w:rsidP="00734085">
            <w:pPr>
              <w:spacing w:after="0" w:line="240" w:lineRule="auto"/>
              <w:jc w:val="right"/>
              <w:rPr>
                <w:b/>
                <w:color w:val="00B050"/>
                <w:szCs w:val="22"/>
              </w:rPr>
            </w:pPr>
            <w:r w:rsidRPr="0022263C">
              <w:rPr>
                <w:b/>
                <w:color w:val="00B050"/>
                <w:szCs w:val="22"/>
              </w:rPr>
              <w:t>↑</w:t>
            </w:r>
          </w:p>
        </w:tc>
        <w:tc>
          <w:tcPr>
            <w:tcW w:w="567" w:type="dxa"/>
            <w:tcBorders>
              <w:top w:val="single" w:sz="2" w:space="0" w:color="F6BB00"/>
              <w:bottom w:val="single" w:sz="2" w:space="0" w:color="F6BB00"/>
            </w:tcBorders>
            <w:vAlign w:val="center"/>
          </w:tcPr>
          <w:p w14:paraId="541F5827" w14:textId="77777777" w:rsidR="00266261" w:rsidRPr="0022263C" w:rsidRDefault="00266261" w:rsidP="00266261">
            <w:pPr>
              <w:spacing w:after="0" w:line="240" w:lineRule="auto"/>
              <w:jc w:val="center"/>
              <w:rPr>
                <w:b/>
                <w:color w:val="00B050"/>
                <w:sz w:val="18"/>
                <w:szCs w:val="18"/>
              </w:rPr>
            </w:pPr>
            <w:r w:rsidRPr="0022263C">
              <w:rPr>
                <w:b/>
                <w:color w:val="00B050"/>
                <w:sz w:val="18"/>
                <w:szCs w:val="18"/>
              </w:rPr>
              <w:t>(8)</w:t>
            </w:r>
          </w:p>
        </w:tc>
        <w:tc>
          <w:tcPr>
            <w:tcW w:w="1278" w:type="dxa"/>
            <w:gridSpan w:val="2"/>
            <w:tcBorders>
              <w:top w:val="single" w:sz="2" w:space="0" w:color="F6BB00"/>
              <w:bottom w:val="single" w:sz="2" w:space="0" w:color="F6BB00"/>
            </w:tcBorders>
            <w:vAlign w:val="center"/>
          </w:tcPr>
          <w:p w14:paraId="5185A942" w14:textId="77777777" w:rsidR="00266261" w:rsidRPr="0057408C" w:rsidRDefault="00266261" w:rsidP="00266261">
            <w:pPr>
              <w:spacing w:after="0" w:line="240" w:lineRule="auto"/>
              <w:jc w:val="center"/>
              <w:rPr>
                <w:b/>
                <w:sz w:val="18"/>
                <w:szCs w:val="18"/>
              </w:rPr>
            </w:pPr>
            <w:r w:rsidRPr="0057408C">
              <w:rPr>
                <w:b/>
                <w:color w:val="FF0000"/>
                <w:sz w:val="18"/>
                <w:szCs w:val="18"/>
              </w:rPr>
              <w:t>-1 (5)</w:t>
            </w:r>
          </w:p>
        </w:tc>
      </w:tr>
      <w:tr w:rsidR="00266261" w:rsidRPr="00EB1427" w14:paraId="583FA0C4" w14:textId="77777777" w:rsidTr="00734085">
        <w:tc>
          <w:tcPr>
            <w:tcW w:w="6237" w:type="dxa"/>
            <w:tcBorders>
              <w:top w:val="single" w:sz="2" w:space="0" w:color="F6BB00"/>
              <w:bottom w:val="single" w:sz="2" w:space="0" w:color="F6BB00"/>
            </w:tcBorders>
            <w:vAlign w:val="center"/>
          </w:tcPr>
          <w:p w14:paraId="19085F8A" w14:textId="77777777" w:rsidR="00266261" w:rsidRPr="00AB5EAA" w:rsidRDefault="00266261" w:rsidP="00266261">
            <w:pPr>
              <w:spacing w:after="0" w:line="240" w:lineRule="auto"/>
              <w:jc w:val="left"/>
              <w:rPr>
                <w:sz w:val="18"/>
                <w:szCs w:val="18"/>
              </w:rPr>
            </w:pPr>
            <w:r w:rsidRPr="00410A31">
              <w:rPr>
                <w:sz w:val="18"/>
                <w:szCs w:val="18"/>
              </w:rPr>
              <w:t>Dzieci w wieku 3-5 lat przypadające na jedno miejsce w placówce wychowania przedszkolnego</w:t>
            </w:r>
          </w:p>
        </w:tc>
        <w:tc>
          <w:tcPr>
            <w:tcW w:w="850" w:type="dxa"/>
            <w:tcBorders>
              <w:top w:val="single" w:sz="2" w:space="0" w:color="F6BB00"/>
              <w:bottom w:val="single" w:sz="2" w:space="0" w:color="F6BB00"/>
            </w:tcBorders>
            <w:vAlign w:val="center"/>
          </w:tcPr>
          <w:p w14:paraId="7145FB9C" w14:textId="77777777" w:rsidR="00266261" w:rsidRPr="0022263C" w:rsidRDefault="00266261" w:rsidP="00734085">
            <w:pPr>
              <w:spacing w:after="0" w:line="240" w:lineRule="auto"/>
              <w:jc w:val="right"/>
              <w:rPr>
                <w:b/>
                <w:color w:val="00B050"/>
                <w:szCs w:val="22"/>
              </w:rPr>
            </w:pPr>
            <w:r w:rsidRPr="0022263C">
              <w:rPr>
                <w:b/>
                <w:color w:val="00B050"/>
                <w:szCs w:val="22"/>
              </w:rPr>
              <w:t>↓</w:t>
            </w:r>
          </w:p>
        </w:tc>
        <w:tc>
          <w:tcPr>
            <w:tcW w:w="567" w:type="dxa"/>
            <w:tcBorders>
              <w:top w:val="single" w:sz="2" w:space="0" w:color="F6BB00"/>
              <w:bottom w:val="single" w:sz="2" w:space="0" w:color="F6BB00"/>
            </w:tcBorders>
            <w:vAlign w:val="center"/>
          </w:tcPr>
          <w:p w14:paraId="24D27EA5" w14:textId="77777777" w:rsidR="00266261" w:rsidRPr="0022263C" w:rsidRDefault="00266261" w:rsidP="00266261">
            <w:pPr>
              <w:spacing w:after="0" w:line="240" w:lineRule="auto"/>
              <w:jc w:val="center"/>
              <w:rPr>
                <w:b/>
                <w:color w:val="00B050"/>
                <w:sz w:val="18"/>
                <w:szCs w:val="18"/>
              </w:rPr>
            </w:pPr>
            <w:r w:rsidRPr="0022263C">
              <w:rPr>
                <w:b/>
                <w:color w:val="00B050"/>
                <w:sz w:val="18"/>
                <w:szCs w:val="18"/>
              </w:rPr>
              <w:t>(3)</w:t>
            </w:r>
          </w:p>
        </w:tc>
        <w:tc>
          <w:tcPr>
            <w:tcW w:w="1278" w:type="dxa"/>
            <w:gridSpan w:val="2"/>
            <w:tcBorders>
              <w:top w:val="single" w:sz="2" w:space="0" w:color="F6BB00"/>
              <w:bottom w:val="single" w:sz="2" w:space="0" w:color="F6BB00"/>
            </w:tcBorders>
            <w:vAlign w:val="center"/>
          </w:tcPr>
          <w:p w14:paraId="3A5133DE" w14:textId="77777777" w:rsidR="00266261" w:rsidRPr="0057408C" w:rsidRDefault="00266261" w:rsidP="00266261">
            <w:pPr>
              <w:spacing w:after="0" w:line="240" w:lineRule="auto"/>
              <w:jc w:val="center"/>
              <w:rPr>
                <w:b/>
                <w:sz w:val="18"/>
                <w:szCs w:val="18"/>
              </w:rPr>
            </w:pPr>
            <w:r w:rsidRPr="0057408C">
              <w:rPr>
                <w:b/>
                <w:color w:val="FF0000"/>
                <w:sz w:val="18"/>
                <w:szCs w:val="18"/>
              </w:rPr>
              <w:t>+1 (13)</w:t>
            </w:r>
          </w:p>
        </w:tc>
      </w:tr>
      <w:tr w:rsidR="00266261" w:rsidRPr="00EB1427" w14:paraId="349B7E9F" w14:textId="77777777" w:rsidTr="00734085">
        <w:tc>
          <w:tcPr>
            <w:tcW w:w="6237" w:type="dxa"/>
            <w:tcBorders>
              <w:top w:val="single" w:sz="2" w:space="0" w:color="F6BB00"/>
              <w:bottom w:val="single" w:sz="2" w:space="0" w:color="F6BB00"/>
            </w:tcBorders>
            <w:vAlign w:val="center"/>
          </w:tcPr>
          <w:p w14:paraId="1C07663B" w14:textId="77777777" w:rsidR="00266261" w:rsidRPr="00AB5EAA" w:rsidRDefault="00266261" w:rsidP="00266261">
            <w:pPr>
              <w:spacing w:after="0" w:line="240" w:lineRule="auto"/>
              <w:jc w:val="left"/>
              <w:rPr>
                <w:sz w:val="18"/>
                <w:szCs w:val="18"/>
              </w:rPr>
            </w:pPr>
            <w:r w:rsidRPr="00410A31">
              <w:rPr>
                <w:sz w:val="18"/>
                <w:szCs w:val="18"/>
              </w:rPr>
              <w:t>Stopa bezrobocia rejestrowanego</w:t>
            </w:r>
          </w:p>
        </w:tc>
        <w:tc>
          <w:tcPr>
            <w:tcW w:w="850" w:type="dxa"/>
            <w:tcBorders>
              <w:top w:val="single" w:sz="2" w:space="0" w:color="F6BB00"/>
              <w:bottom w:val="single" w:sz="2" w:space="0" w:color="F6BB00"/>
            </w:tcBorders>
            <w:vAlign w:val="center"/>
          </w:tcPr>
          <w:p w14:paraId="62E9B5E8" w14:textId="77777777" w:rsidR="00266261" w:rsidRPr="00F90F0E" w:rsidRDefault="00266261" w:rsidP="00734085">
            <w:pPr>
              <w:spacing w:after="0" w:line="240" w:lineRule="auto"/>
              <w:jc w:val="right"/>
              <w:rPr>
                <w:b/>
                <w:color w:val="00B050"/>
                <w:szCs w:val="22"/>
              </w:rPr>
            </w:pPr>
            <w:r w:rsidRPr="00F90F0E">
              <w:rPr>
                <w:b/>
                <w:color w:val="00B050"/>
                <w:szCs w:val="22"/>
              </w:rPr>
              <w:t>↓</w:t>
            </w:r>
          </w:p>
        </w:tc>
        <w:tc>
          <w:tcPr>
            <w:tcW w:w="567" w:type="dxa"/>
            <w:tcBorders>
              <w:top w:val="single" w:sz="2" w:space="0" w:color="F6BB00"/>
              <w:bottom w:val="single" w:sz="2" w:space="0" w:color="F6BB00"/>
            </w:tcBorders>
            <w:vAlign w:val="center"/>
          </w:tcPr>
          <w:p w14:paraId="3AF46245" w14:textId="02756FF2" w:rsidR="00266261" w:rsidRPr="00F90F0E" w:rsidRDefault="00266261" w:rsidP="00266261">
            <w:pPr>
              <w:spacing w:after="0" w:line="240" w:lineRule="auto"/>
              <w:jc w:val="center"/>
              <w:rPr>
                <w:b/>
                <w:color w:val="00B050"/>
                <w:sz w:val="18"/>
                <w:szCs w:val="18"/>
              </w:rPr>
            </w:pPr>
            <w:r w:rsidRPr="00F90F0E">
              <w:rPr>
                <w:b/>
                <w:color w:val="00B050"/>
                <w:sz w:val="18"/>
                <w:szCs w:val="18"/>
              </w:rPr>
              <w:t>(1)</w:t>
            </w:r>
          </w:p>
        </w:tc>
        <w:tc>
          <w:tcPr>
            <w:tcW w:w="1278" w:type="dxa"/>
            <w:gridSpan w:val="2"/>
            <w:tcBorders>
              <w:top w:val="single" w:sz="2" w:space="0" w:color="F6BB00"/>
              <w:bottom w:val="single" w:sz="2" w:space="0" w:color="F6BB00"/>
            </w:tcBorders>
            <w:vAlign w:val="center"/>
          </w:tcPr>
          <w:p w14:paraId="4C6AB480" w14:textId="204DB18D" w:rsidR="00266261" w:rsidRPr="0057408C" w:rsidRDefault="00266261" w:rsidP="00266261">
            <w:pPr>
              <w:spacing w:after="0" w:line="240" w:lineRule="auto"/>
              <w:jc w:val="center"/>
              <w:rPr>
                <w:b/>
                <w:sz w:val="18"/>
                <w:szCs w:val="18"/>
              </w:rPr>
            </w:pPr>
            <w:r w:rsidRPr="0057408C">
              <w:rPr>
                <w:b/>
                <w:sz w:val="18"/>
                <w:szCs w:val="18"/>
              </w:rPr>
              <w:t>0 (1)</w:t>
            </w:r>
          </w:p>
        </w:tc>
      </w:tr>
      <w:tr w:rsidR="00266261" w:rsidRPr="00EB1427" w14:paraId="7068EAB7" w14:textId="77777777" w:rsidTr="00734085">
        <w:tc>
          <w:tcPr>
            <w:tcW w:w="6237" w:type="dxa"/>
            <w:tcBorders>
              <w:top w:val="single" w:sz="2" w:space="0" w:color="F6BB00"/>
              <w:bottom w:val="single" w:sz="2" w:space="0" w:color="F6BB00"/>
            </w:tcBorders>
            <w:vAlign w:val="center"/>
          </w:tcPr>
          <w:p w14:paraId="4C5577B9" w14:textId="77777777" w:rsidR="00266261" w:rsidRPr="00AB5EAA" w:rsidRDefault="00266261" w:rsidP="00266261">
            <w:pPr>
              <w:spacing w:after="0" w:line="240" w:lineRule="auto"/>
              <w:jc w:val="left"/>
              <w:rPr>
                <w:sz w:val="18"/>
                <w:szCs w:val="18"/>
              </w:rPr>
            </w:pPr>
            <w:r w:rsidRPr="00410A31">
              <w:rPr>
                <w:sz w:val="18"/>
                <w:szCs w:val="18"/>
              </w:rPr>
              <w:lastRenderedPageBreak/>
              <w:t>Bezrobotni absolwenci ogółem</w:t>
            </w:r>
          </w:p>
        </w:tc>
        <w:tc>
          <w:tcPr>
            <w:tcW w:w="850" w:type="dxa"/>
            <w:tcBorders>
              <w:top w:val="single" w:sz="2" w:space="0" w:color="F6BB00"/>
              <w:bottom w:val="single" w:sz="2" w:space="0" w:color="F6BB00"/>
            </w:tcBorders>
            <w:vAlign w:val="center"/>
          </w:tcPr>
          <w:p w14:paraId="05DEC582" w14:textId="77777777" w:rsidR="00266261" w:rsidRPr="00F90F0E" w:rsidRDefault="00266261" w:rsidP="00734085">
            <w:pPr>
              <w:spacing w:after="0" w:line="240" w:lineRule="auto"/>
              <w:jc w:val="right"/>
              <w:rPr>
                <w:b/>
                <w:color w:val="00B050"/>
                <w:szCs w:val="22"/>
              </w:rPr>
            </w:pPr>
            <w:r w:rsidRPr="00F90F0E">
              <w:rPr>
                <w:b/>
                <w:color w:val="00B050"/>
                <w:szCs w:val="22"/>
              </w:rPr>
              <w:t>↓</w:t>
            </w:r>
          </w:p>
        </w:tc>
        <w:tc>
          <w:tcPr>
            <w:tcW w:w="567" w:type="dxa"/>
            <w:tcBorders>
              <w:top w:val="single" w:sz="2" w:space="0" w:color="F6BB00"/>
              <w:bottom w:val="single" w:sz="2" w:space="0" w:color="F6BB00"/>
            </w:tcBorders>
            <w:vAlign w:val="center"/>
          </w:tcPr>
          <w:p w14:paraId="4E4BC2C6" w14:textId="15E6009E" w:rsidR="00266261" w:rsidRPr="00F90F0E" w:rsidRDefault="00266261" w:rsidP="00266261">
            <w:pPr>
              <w:spacing w:after="0" w:line="240" w:lineRule="auto"/>
              <w:jc w:val="center"/>
              <w:rPr>
                <w:b/>
                <w:color w:val="00B050"/>
                <w:sz w:val="18"/>
                <w:szCs w:val="18"/>
              </w:rPr>
            </w:pPr>
            <w:r w:rsidRPr="00F90F0E">
              <w:rPr>
                <w:b/>
                <w:color w:val="00B050"/>
                <w:sz w:val="18"/>
                <w:szCs w:val="18"/>
              </w:rPr>
              <w:t>(</w:t>
            </w:r>
            <w:r>
              <w:rPr>
                <w:b/>
                <w:color w:val="00B050"/>
                <w:sz w:val="18"/>
                <w:szCs w:val="18"/>
              </w:rPr>
              <w:t>2</w:t>
            </w:r>
            <w:r w:rsidRPr="00F90F0E">
              <w:rPr>
                <w:b/>
                <w:color w:val="00B050"/>
                <w:sz w:val="18"/>
                <w:szCs w:val="18"/>
              </w:rPr>
              <w:t>)</w:t>
            </w:r>
          </w:p>
        </w:tc>
        <w:tc>
          <w:tcPr>
            <w:tcW w:w="1278" w:type="dxa"/>
            <w:gridSpan w:val="2"/>
            <w:tcBorders>
              <w:top w:val="single" w:sz="2" w:space="0" w:color="F6BB00"/>
              <w:bottom w:val="single" w:sz="2" w:space="0" w:color="F6BB00"/>
            </w:tcBorders>
            <w:vAlign w:val="center"/>
          </w:tcPr>
          <w:p w14:paraId="4B7C08C2" w14:textId="62C3C165" w:rsidR="00266261" w:rsidRPr="0057408C" w:rsidRDefault="00266261" w:rsidP="00266261">
            <w:pPr>
              <w:spacing w:after="0" w:line="240" w:lineRule="auto"/>
              <w:jc w:val="center"/>
              <w:rPr>
                <w:b/>
                <w:color w:val="00B050"/>
                <w:sz w:val="18"/>
                <w:szCs w:val="18"/>
              </w:rPr>
            </w:pPr>
            <w:r>
              <w:rPr>
                <w:b/>
                <w:color w:val="00B050"/>
                <w:sz w:val="18"/>
                <w:szCs w:val="18"/>
              </w:rPr>
              <w:t>+</w:t>
            </w:r>
            <w:r w:rsidRPr="0057408C">
              <w:rPr>
                <w:b/>
                <w:color w:val="00B050"/>
                <w:sz w:val="18"/>
                <w:szCs w:val="18"/>
              </w:rPr>
              <w:t>2 (</w:t>
            </w:r>
            <w:r>
              <w:rPr>
                <w:b/>
                <w:color w:val="00B050"/>
                <w:sz w:val="18"/>
                <w:szCs w:val="18"/>
              </w:rPr>
              <w:t>11</w:t>
            </w:r>
            <w:r w:rsidRPr="0057408C">
              <w:rPr>
                <w:b/>
                <w:color w:val="00B050"/>
                <w:sz w:val="18"/>
                <w:szCs w:val="18"/>
              </w:rPr>
              <w:t>)</w:t>
            </w:r>
          </w:p>
        </w:tc>
      </w:tr>
      <w:tr w:rsidR="00266261" w:rsidRPr="00EB1427" w14:paraId="5D1E7538" w14:textId="77777777" w:rsidTr="00734085">
        <w:tc>
          <w:tcPr>
            <w:tcW w:w="6237" w:type="dxa"/>
            <w:tcBorders>
              <w:top w:val="single" w:sz="2" w:space="0" w:color="F6BB00"/>
              <w:bottom w:val="single" w:sz="2" w:space="0" w:color="F6BB00"/>
            </w:tcBorders>
            <w:vAlign w:val="center"/>
          </w:tcPr>
          <w:p w14:paraId="0401726F" w14:textId="77777777" w:rsidR="00266261" w:rsidRPr="00AB5EAA" w:rsidRDefault="00266261" w:rsidP="00266261">
            <w:pPr>
              <w:spacing w:after="0" w:line="240" w:lineRule="auto"/>
              <w:jc w:val="left"/>
              <w:rPr>
                <w:sz w:val="18"/>
                <w:szCs w:val="18"/>
              </w:rPr>
            </w:pPr>
            <w:r w:rsidRPr="00410A31">
              <w:rPr>
                <w:sz w:val="18"/>
                <w:szCs w:val="18"/>
              </w:rPr>
              <w:t>Wskaźnik zatrudnienia osób w wieku 55-64 lata</w:t>
            </w:r>
          </w:p>
        </w:tc>
        <w:tc>
          <w:tcPr>
            <w:tcW w:w="850" w:type="dxa"/>
            <w:tcBorders>
              <w:top w:val="single" w:sz="2" w:space="0" w:color="F6BB00"/>
              <w:bottom w:val="single" w:sz="2" w:space="0" w:color="F6BB00"/>
            </w:tcBorders>
            <w:vAlign w:val="center"/>
          </w:tcPr>
          <w:p w14:paraId="468FBADB" w14:textId="77777777" w:rsidR="00266261" w:rsidRPr="00F90F0E" w:rsidRDefault="00266261" w:rsidP="00734085">
            <w:pPr>
              <w:spacing w:after="0" w:line="240" w:lineRule="auto"/>
              <w:jc w:val="right"/>
              <w:rPr>
                <w:b/>
                <w:color w:val="00B050"/>
                <w:szCs w:val="22"/>
              </w:rPr>
            </w:pPr>
            <w:r w:rsidRPr="00F90F0E">
              <w:rPr>
                <w:b/>
                <w:color w:val="00B050"/>
                <w:szCs w:val="22"/>
              </w:rPr>
              <w:t>↑</w:t>
            </w:r>
          </w:p>
        </w:tc>
        <w:tc>
          <w:tcPr>
            <w:tcW w:w="567" w:type="dxa"/>
            <w:tcBorders>
              <w:top w:val="single" w:sz="2" w:space="0" w:color="F6BB00"/>
              <w:bottom w:val="single" w:sz="2" w:space="0" w:color="F6BB00"/>
            </w:tcBorders>
            <w:vAlign w:val="center"/>
          </w:tcPr>
          <w:p w14:paraId="130035AF" w14:textId="77777777" w:rsidR="00266261" w:rsidRPr="00F90F0E" w:rsidRDefault="00266261" w:rsidP="00266261">
            <w:pPr>
              <w:spacing w:after="0" w:line="240" w:lineRule="auto"/>
              <w:jc w:val="center"/>
              <w:rPr>
                <w:b/>
                <w:color w:val="00B050"/>
                <w:sz w:val="18"/>
                <w:szCs w:val="18"/>
              </w:rPr>
            </w:pPr>
            <w:r w:rsidRPr="00F90F0E">
              <w:rPr>
                <w:b/>
                <w:color w:val="00B050"/>
                <w:sz w:val="18"/>
                <w:szCs w:val="18"/>
              </w:rPr>
              <w:t>(6)</w:t>
            </w:r>
          </w:p>
        </w:tc>
        <w:tc>
          <w:tcPr>
            <w:tcW w:w="1278" w:type="dxa"/>
            <w:gridSpan w:val="2"/>
            <w:tcBorders>
              <w:top w:val="single" w:sz="2" w:space="0" w:color="F6BB00"/>
              <w:bottom w:val="single" w:sz="2" w:space="0" w:color="F6BB00"/>
            </w:tcBorders>
            <w:vAlign w:val="center"/>
          </w:tcPr>
          <w:p w14:paraId="0A18310D" w14:textId="77777777" w:rsidR="00266261" w:rsidRPr="0057408C" w:rsidRDefault="00266261" w:rsidP="00266261">
            <w:pPr>
              <w:spacing w:after="0" w:line="240" w:lineRule="auto"/>
              <w:jc w:val="center"/>
              <w:rPr>
                <w:b/>
                <w:color w:val="00B050"/>
                <w:sz w:val="18"/>
                <w:szCs w:val="18"/>
              </w:rPr>
            </w:pPr>
            <w:r w:rsidRPr="0057408C">
              <w:rPr>
                <w:b/>
                <w:color w:val="00B050"/>
                <w:sz w:val="18"/>
                <w:szCs w:val="18"/>
              </w:rPr>
              <w:t>+3 (6)</w:t>
            </w:r>
          </w:p>
        </w:tc>
      </w:tr>
      <w:tr w:rsidR="00266261" w:rsidRPr="00EB1427" w14:paraId="51992932" w14:textId="77777777" w:rsidTr="00734085">
        <w:tc>
          <w:tcPr>
            <w:tcW w:w="6237" w:type="dxa"/>
            <w:tcBorders>
              <w:top w:val="single" w:sz="2" w:space="0" w:color="F6BB00"/>
              <w:bottom w:val="single" w:sz="2" w:space="0" w:color="F6BB00"/>
            </w:tcBorders>
            <w:vAlign w:val="center"/>
          </w:tcPr>
          <w:p w14:paraId="7483D9B4" w14:textId="77777777" w:rsidR="00266261" w:rsidRPr="00AB5EAA" w:rsidRDefault="00266261" w:rsidP="00266261">
            <w:pPr>
              <w:spacing w:after="0" w:line="240" w:lineRule="auto"/>
              <w:jc w:val="left"/>
              <w:rPr>
                <w:sz w:val="18"/>
                <w:szCs w:val="18"/>
              </w:rPr>
            </w:pPr>
            <w:r w:rsidRPr="00410A31">
              <w:rPr>
                <w:sz w:val="18"/>
                <w:szCs w:val="18"/>
              </w:rPr>
              <w:t>Wskaźnik zatrudnienia osób w wieku 20-64 lata</w:t>
            </w:r>
          </w:p>
        </w:tc>
        <w:tc>
          <w:tcPr>
            <w:tcW w:w="850" w:type="dxa"/>
            <w:tcBorders>
              <w:top w:val="single" w:sz="2" w:space="0" w:color="F6BB00"/>
              <w:bottom w:val="single" w:sz="2" w:space="0" w:color="F6BB00"/>
            </w:tcBorders>
            <w:vAlign w:val="center"/>
          </w:tcPr>
          <w:p w14:paraId="0143D1F8" w14:textId="77777777" w:rsidR="00266261" w:rsidRPr="00F90F0E" w:rsidRDefault="00266261" w:rsidP="00734085">
            <w:pPr>
              <w:spacing w:after="0" w:line="240" w:lineRule="auto"/>
              <w:jc w:val="right"/>
              <w:rPr>
                <w:b/>
                <w:color w:val="00B050"/>
                <w:szCs w:val="22"/>
              </w:rPr>
            </w:pPr>
            <w:r w:rsidRPr="00F90F0E">
              <w:rPr>
                <w:b/>
                <w:color w:val="00B050"/>
                <w:szCs w:val="22"/>
              </w:rPr>
              <w:t>↑</w:t>
            </w:r>
          </w:p>
        </w:tc>
        <w:tc>
          <w:tcPr>
            <w:tcW w:w="567" w:type="dxa"/>
            <w:tcBorders>
              <w:top w:val="single" w:sz="2" w:space="0" w:color="F6BB00"/>
              <w:bottom w:val="single" w:sz="2" w:space="0" w:color="F6BB00"/>
            </w:tcBorders>
            <w:vAlign w:val="center"/>
          </w:tcPr>
          <w:p w14:paraId="21DAC913" w14:textId="77777777" w:rsidR="00266261" w:rsidRPr="00F90F0E" w:rsidRDefault="00266261" w:rsidP="00266261">
            <w:pPr>
              <w:spacing w:after="0" w:line="240" w:lineRule="auto"/>
              <w:jc w:val="center"/>
              <w:rPr>
                <w:b/>
                <w:color w:val="00B050"/>
                <w:sz w:val="18"/>
                <w:szCs w:val="18"/>
              </w:rPr>
            </w:pPr>
            <w:r w:rsidRPr="00F90F0E">
              <w:rPr>
                <w:b/>
                <w:color w:val="00B050"/>
                <w:sz w:val="18"/>
                <w:szCs w:val="18"/>
              </w:rPr>
              <w:t>(4)</w:t>
            </w:r>
          </w:p>
        </w:tc>
        <w:tc>
          <w:tcPr>
            <w:tcW w:w="1278" w:type="dxa"/>
            <w:gridSpan w:val="2"/>
            <w:tcBorders>
              <w:top w:val="single" w:sz="2" w:space="0" w:color="F6BB00"/>
              <w:bottom w:val="single" w:sz="2" w:space="0" w:color="F6BB00"/>
            </w:tcBorders>
            <w:vAlign w:val="center"/>
          </w:tcPr>
          <w:p w14:paraId="6160974C" w14:textId="77777777" w:rsidR="00266261" w:rsidRPr="0057408C" w:rsidRDefault="00266261" w:rsidP="00266261">
            <w:pPr>
              <w:spacing w:after="0" w:line="240" w:lineRule="auto"/>
              <w:jc w:val="center"/>
              <w:rPr>
                <w:b/>
                <w:color w:val="00B050"/>
                <w:sz w:val="18"/>
                <w:szCs w:val="18"/>
              </w:rPr>
            </w:pPr>
            <w:r w:rsidRPr="0057408C">
              <w:rPr>
                <w:b/>
                <w:color w:val="00B050"/>
                <w:sz w:val="18"/>
                <w:szCs w:val="18"/>
              </w:rPr>
              <w:t>+1 (2)</w:t>
            </w:r>
          </w:p>
        </w:tc>
      </w:tr>
      <w:tr w:rsidR="00266261" w:rsidRPr="00EB1427" w14:paraId="4E144AC9" w14:textId="77777777" w:rsidTr="00734085">
        <w:tc>
          <w:tcPr>
            <w:tcW w:w="6237" w:type="dxa"/>
            <w:tcBorders>
              <w:top w:val="single" w:sz="2" w:space="0" w:color="F6BB00"/>
              <w:bottom w:val="single" w:sz="2" w:space="0" w:color="F6BB00"/>
            </w:tcBorders>
            <w:vAlign w:val="center"/>
          </w:tcPr>
          <w:p w14:paraId="7BCE3894" w14:textId="77777777" w:rsidR="00266261" w:rsidRPr="00AB5EAA" w:rsidRDefault="00266261" w:rsidP="00266261">
            <w:pPr>
              <w:spacing w:after="0" w:line="240" w:lineRule="auto"/>
              <w:jc w:val="left"/>
              <w:rPr>
                <w:sz w:val="18"/>
                <w:szCs w:val="18"/>
              </w:rPr>
            </w:pPr>
            <w:r w:rsidRPr="00410A31">
              <w:rPr>
                <w:sz w:val="18"/>
                <w:szCs w:val="18"/>
              </w:rPr>
              <w:t>Osoby w wieku 18-59 lat mieszkające w gospodarstwach domowych bez osób pracujących</w:t>
            </w:r>
          </w:p>
        </w:tc>
        <w:tc>
          <w:tcPr>
            <w:tcW w:w="850" w:type="dxa"/>
            <w:tcBorders>
              <w:top w:val="single" w:sz="2" w:space="0" w:color="F6BB00"/>
              <w:bottom w:val="single" w:sz="2" w:space="0" w:color="F6BB00"/>
            </w:tcBorders>
            <w:vAlign w:val="center"/>
          </w:tcPr>
          <w:p w14:paraId="315D88AB" w14:textId="77777777" w:rsidR="00266261" w:rsidRPr="00F90F0E" w:rsidRDefault="00266261" w:rsidP="00734085">
            <w:pPr>
              <w:spacing w:after="0" w:line="240" w:lineRule="auto"/>
              <w:jc w:val="right"/>
              <w:rPr>
                <w:b/>
                <w:color w:val="00B050"/>
                <w:szCs w:val="22"/>
              </w:rPr>
            </w:pPr>
            <w:r w:rsidRPr="00F90F0E">
              <w:rPr>
                <w:b/>
                <w:color w:val="00B050"/>
                <w:szCs w:val="22"/>
              </w:rPr>
              <w:t>↓</w:t>
            </w:r>
          </w:p>
        </w:tc>
        <w:tc>
          <w:tcPr>
            <w:tcW w:w="567" w:type="dxa"/>
            <w:tcBorders>
              <w:top w:val="single" w:sz="2" w:space="0" w:color="F6BB00"/>
              <w:bottom w:val="single" w:sz="2" w:space="0" w:color="F6BB00"/>
            </w:tcBorders>
            <w:vAlign w:val="center"/>
          </w:tcPr>
          <w:p w14:paraId="6C50C82F" w14:textId="77777777" w:rsidR="00266261" w:rsidRPr="00F90F0E" w:rsidRDefault="00266261" w:rsidP="00266261">
            <w:pPr>
              <w:spacing w:after="0" w:line="240" w:lineRule="auto"/>
              <w:jc w:val="center"/>
              <w:rPr>
                <w:b/>
                <w:color w:val="00B050"/>
                <w:sz w:val="18"/>
                <w:szCs w:val="18"/>
              </w:rPr>
            </w:pPr>
            <w:r w:rsidRPr="00F90F0E">
              <w:rPr>
                <w:b/>
                <w:color w:val="00B050"/>
                <w:sz w:val="18"/>
                <w:szCs w:val="18"/>
              </w:rPr>
              <w:t>(16)</w:t>
            </w:r>
          </w:p>
        </w:tc>
        <w:tc>
          <w:tcPr>
            <w:tcW w:w="1278" w:type="dxa"/>
            <w:gridSpan w:val="2"/>
            <w:tcBorders>
              <w:top w:val="single" w:sz="2" w:space="0" w:color="F6BB00"/>
              <w:bottom w:val="single" w:sz="2" w:space="0" w:color="F6BB00"/>
            </w:tcBorders>
            <w:vAlign w:val="center"/>
          </w:tcPr>
          <w:p w14:paraId="721C9886" w14:textId="77777777" w:rsidR="00266261" w:rsidRPr="0057408C" w:rsidRDefault="00266261" w:rsidP="00266261">
            <w:pPr>
              <w:spacing w:after="0" w:line="240" w:lineRule="auto"/>
              <w:jc w:val="center"/>
              <w:rPr>
                <w:b/>
                <w:color w:val="00B050"/>
                <w:sz w:val="18"/>
                <w:szCs w:val="18"/>
              </w:rPr>
            </w:pPr>
            <w:r w:rsidRPr="0057408C">
              <w:rPr>
                <w:b/>
                <w:color w:val="00B050"/>
                <w:sz w:val="18"/>
                <w:szCs w:val="18"/>
              </w:rPr>
              <w:t>-1 (16)</w:t>
            </w:r>
          </w:p>
        </w:tc>
      </w:tr>
      <w:tr w:rsidR="00266261" w:rsidRPr="00EB1427" w14:paraId="2A377401" w14:textId="77777777" w:rsidTr="00734085">
        <w:tc>
          <w:tcPr>
            <w:tcW w:w="6237" w:type="dxa"/>
            <w:tcBorders>
              <w:top w:val="single" w:sz="2" w:space="0" w:color="F6BB00"/>
              <w:bottom w:val="single" w:sz="2" w:space="0" w:color="F6BB00"/>
            </w:tcBorders>
            <w:vAlign w:val="center"/>
          </w:tcPr>
          <w:p w14:paraId="7B85CF77" w14:textId="77777777" w:rsidR="00266261" w:rsidRPr="00410A31" w:rsidRDefault="00266261" w:rsidP="00266261">
            <w:pPr>
              <w:spacing w:after="0" w:line="240" w:lineRule="auto"/>
              <w:jc w:val="left"/>
              <w:rPr>
                <w:sz w:val="18"/>
                <w:szCs w:val="18"/>
              </w:rPr>
            </w:pPr>
            <w:r w:rsidRPr="00B27092">
              <w:rPr>
                <w:sz w:val="18"/>
                <w:szCs w:val="18"/>
              </w:rPr>
              <w:t>Udział osób fizycznych prowadzących działalność gospodarczą w ogólnej liczbie osób w wieku</w:t>
            </w:r>
            <w:r>
              <w:rPr>
                <w:sz w:val="18"/>
                <w:szCs w:val="18"/>
              </w:rPr>
              <w:t xml:space="preserve"> </w:t>
            </w:r>
            <w:r w:rsidRPr="00B27092">
              <w:rPr>
                <w:sz w:val="18"/>
                <w:szCs w:val="18"/>
              </w:rPr>
              <w:t>produkcyjnym</w:t>
            </w:r>
          </w:p>
        </w:tc>
        <w:tc>
          <w:tcPr>
            <w:tcW w:w="850" w:type="dxa"/>
            <w:tcBorders>
              <w:top w:val="single" w:sz="2" w:space="0" w:color="F6BB00"/>
              <w:bottom w:val="single" w:sz="2" w:space="0" w:color="F6BB00"/>
            </w:tcBorders>
            <w:vAlign w:val="center"/>
          </w:tcPr>
          <w:p w14:paraId="57750F40" w14:textId="77777777" w:rsidR="00266261" w:rsidRPr="00F90F0E" w:rsidRDefault="00266261" w:rsidP="00734085">
            <w:pPr>
              <w:spacing w:after="0" w:line="240" w:lineRule="auto"/>
              <w:jc w:val="right"/>
              <w:rPr>
                <w:b/>
                <w:color w:val="FF0000"/>
                <w:szCs w:val="22"/>
              </w:rPr>
            </w:pPr>
            <w:r w:rsidRPr="00F90F0E">
              <w:rPr>
                <w:b/>
                <w:color w:val="FF0000"/>
                <w:szCs w:val="22"/>
              </w:rPr>
              <w:t>↓</w:t>
            </w:r>
          </w:p>
        </w:tc>
        <w:tc>
          <w:tcPr>
            <w:tcW w:w="567" w:type="dxa"/>
            <w:tcBorders>
              <w:top w:val="single" w:sz="2" w:space="0" w:color="F6BB00"/>
              <w:bottom w:val="single" w:sz="2" w:space="0" w:color="F6BB00"/>
            </w:tcBorders>
            <w:vAlign w:val="center"/>
          </w:tcPr>
          <w:p w14:paraId="40D6F061" w14:textId="77777777" w:rsidR="00266261" w:rsidRPr="00F90F0E" w:rsidRDefault="00266261" w:rsidP="00266261">
            <w:pPr>
              <w:spacing w:after="0" w:line="240" w:lineRule="auto"/>
              <w:jc w:val="center"/>
              <w:rPr>
                <w:b/>
                <w:color w:val="FF0000"/>
                <w:sz w:val="18"/>
                <w:szCs w:val="18"/>
              </w:rPr>
            </w:pPr>
            <w:r w:rsidRPr="00F90F0E">
              <w:rPr>
                <w:b/>
                <w:color w:val="FF0000"/>
                <w:sz w:val="18"/>
                <w:szCs w:val="18"/>
              </w:rPr>
              <w:t>(11)</w:t>
            </w:r>
          </w:p>
        </w:tc>
        <w:tc>
          <w:tcPr>
            <w:tcW w:w="1278" w:type="dxa"/>
            <w:gridSpan w:val="2"/>
            <w:tcBorders>
              <w:top w:val="single" w:sz="2" w:space="0" w:color="F6BB00"/>
              <w:bottom w:val="single" w:sz="2" w:space="0" w:color="F6BB00"/>
            </w:tcBorders>
            <w:vAlign w:val="center"/>
          </w:tcPr>
          <w:p w14:paraId="10D082D2" w14:textId="77777777" w:rsidR="00266261" w:rsidRPr="0057408C" w:rsidRDefault="00266261" w:rsidP="00266261">
            <w:pPr>
              <w:spacing w:after="0" w:line="240" w:lineRule="auto"/>
              <w:jc w:val="center"/>
              <w:rPr>
                <w:b/>
                <w:color w:val="FF0000"/>
                <w:sz w:val="18"/>
                <w:szCs w:val="18"/>
              </w:rPr>
            </w:pPr>
            <w:r w:rsidRPr="0057408C">
              <w:rPr>
                <w:b/>
                <w:color w:val="FF0000"/>
                <w:sz w:val="18"/>
                <w:szCs w:val="18"/>
              </w:rPr>
              <w:t>-1 (4)</w:t>
            </w:r>
          </w:p>
        </w:tc>
      </w:tr>
      <w:tr w:rsidR="00266261" w:rsidRPr="00EB1427" w14:paraId="4C84837F" w14:textId="77777777" w:rsidTr="00734085">
        <w:tc>
          <w:tcPr>
            <w:tcW w:w="6237" w:type="dxa"/>
            <w:tcBorders>
              <w:top w:val="single" w:sz="2" w:space="0" w:color="F6BB00"/>
              <w:bottom w:val="single" w:sz="2" w:space="0" w:color="F6BB00"/>
            </w:tcBorders>
            <w:vAlign w:val="center"/>
          </w:tcPr>
          <w:p w14:paraId="2C6A094E" w14:textId="77777777" w:rsidR="00266261" w:rsidRPr="00B27092" w:rsidRDefault="00266261" w:rsidP="00266261">
            <w:pPr>
              <w:spacing w:after="0" w:line="240" w:lineRule="auto"/>
              <w:jc w:val="left"/>
              <w:rPr>
                <w:sz w:val="18"/>
                <w:szCs w:val="18"/>
              </w:rPr>
            </w:pPr>
            <w:r w:rsidRPr="00B27092">
              <w:rPr>
                <w:sz w:val="18"/>
                <w:szCs w:val="18"/>
              </w:rPr>
              <w:t>Wydatki z budżetów JST w Dziale 801 - Oświata i wychowanie</w:t>
            </w:r>
          </w:p>
        </w:tc>
        <w:tc>
          <w:tcPr>
            <w:tcW w:w="850" w:type="dxa"/>
            <w:tcBorders>
              <w:top w:val="single" w:sz="2" w:space="0" w:color="F6BB00"/>
              <w:bottom w:val="single" w:sz="2" w:space="0" w:color="F6BB00"/>
            </w:tcBorders>
            <w:vAlign w:val="center"/>
          </w:tcPr>
          <w:p w14:paraId="7AF3BEFD" w14:textId="77777777" w:rsidR="00266261" w:rsidRPr="00F90F0E" w:rsidRDefault="00266261" w:rsidP="00734085">
            <w:pPr>
              <w:spacing w:after="0" w:line="240" w:lineRule="auto"/>
              <w:jc w:val="right"/>
              <w:rPr>
                <w:b/>
                <w:color w:val="00B050"/>
                <w:szCs w:val="22"/>
              </w:rPr>
            </w:pPr>
            <w:r w:rsidRPr="00F90F0E">
              <w:rPr>
                <w:b/>
                <w:color w:val="00B050"/>
                <w:szCs w:val="22"/>
              </w:rPr>
              <w:t>↑</w:t>
            </w:r>
          </w:p>
        </w:tc>
        <w:tc>
          <w:tcPr>
            <w:tcW w:w="567" w:type="dxa"/>
            <w:tcBorders>
              <w:top w:val="single" w:sz="2" w:space="0" w:color="F6BB00"/>
              <w:bottom w:val="single" w:sz="2" w:space="0" w:color="F6BB00"/>
            </w:tcBorders>
            <w:vAlign w:val="center"/>
          </w:tcPr>
          <w:p w14:paraId="73F2DEF3" w14:textId="77777777" w:rsidR="00266261" w:rsidRPr="00F90F0E" w:rsidRDefault="00266261" w:rsidP="00266261">
            <w:pPr>
              <w:spacing w:after="0" w:line="240" w:lineRule="auto"/>
              <w:jc w:val="center"/>
              <w:rPr>
                <w:b/>
                <w:color w:val="00B050"/>
                <w:sz w:val="18"/>
                <w:szCs w:val="18"/>
              </w:rPr>
            </w:pPr>
            <w:r w:rsidRPr="00F90F0E">
              <w:rPr>
                <w:b/>
                <w:color w:val="00B050"/>
                <w:sz w:val="18"/>
                <w:szCs w:val="18"/>
              </w:rPr>
              <w:t>(2)</w:t>
            </w:r>
          </w:p>
        </w:tc>
        <w:tc>
          <w:tcPr>
            <w:tcW w:w="1278" w:type="dxa"/>
            <w:gridSpan w:val="2"/>
            <w:tcBorders>
              <w:top w:val="single" w:sz="2" w:space="0" w:color="F6BB00"/>
              <w:bottom w:val="single" w:sz="2" w:space="0" w:color="F6BB00"/>
            </w:tcBorders>
            <w:vAlign w:val="center"/>
          </w:tcPr>
          <w:p w14:paraId="476017F9" w14:textId="77777777" w:rsidR="00266261" w:rsidRPr="0057408C" w:rsidRDefault="00266261" w:rsidP="00266261">
            <w:pPr>
              <w:spacing w:after="0" w:line="240" w:lineRule="auto"/>
              <w:jc w:val="center"/>
              <w:rPr>
                <w:b/>
                <w:sz w:val="18"/>
                <w:szCs w:val="18"/>
              </w:rPr>
            </w:pPr>
            <w:r w:rsidRPr="0057408C">
              <w:rPr>
                <w:b/>
                <w:sz w:val="18"/>
                <w:szCs w:val="18"/>
              </w:rPr>
              <w:t>0 (3)</w:t>
            </w:r>
          </w:p>
        </w:tc>
      </w:tr>
      <w:tr w:rsidR="00266261" w:rsidRPr="00EB1427" w14:paraId="5964642B" w14:textId="77777777" w:rsidTr="00734085">
        <w:tc>
          <w:tcPr>
            <w:tcW w:w="8932" w:type="dxa"/>
            <w:gridSpan w:val="5"/>
            <w:tcBorders>
              <w:top w:val="single" w:sz="2" w:space="0" w:color="F6BB00"/>
              <w:bottom w:val="single" w:sz="2" w:space="0" w:color="F6BB00"/>
            </w:tcBorders>
            <w:shd w:val="clear" w:color="auto" w:fill="F6BB00"/>
            <w:vAlign w:val="center"/>
          </w:tcPr>
          <w:p w14:paraId="12B58963" w14:textId="77777777" w:rsidR="00266261" w:rsidRPr="0057408C" w:rsidRDefault="00266261" w:rsidP="00266261">
            <w:pPr>
              <w:spacing w:after="0" w:line="240" w:lineRule="auto"/>
              <w:jc w:val="left"/>
              <w:rPr>
                <w:b/>
                <w:sz w:val="18"/>
                <w:szCs w:val="18"/>
              </w:rPr>
            </w:pPr>
            <w:r w:rsidRPr="00AB5EAA">
              <w:rPr>
                <w:sz w:val="18"/>
                <w:szCs w:val="18"/>
              </w:rPr>
              <w:t>Cel strategiczny 8. Zwiększanie zasobów oraz wyrównywanie potencjałów społecznych województwa</w:t>
            </w:r>
          </w:p>
        </w:tc>
      </w:tr>
      <w:tr w:rsidR="00266261" w:rsidRPr="00EB1427" w14:paraId="3CBFC460" w14:textId="77777777" w:rsidTr="00734085">
        <w:tc>
          <w:tcPr>
            <w:tcW w:w="6237" w:type="dxa"/>
            <w:tcBorders>
              <w:top w:val="single" w:sz="2" w:space="0" w:color="F6BB00"/>
              <w:bottom w:val="single" w:sz="2" w:space="0" w:color="F6BB00"/>
            </w:tcBorders>
            <w:vAlign w:val="center"/>
          </w:tcPr>
          <w:p w14:paraId="7B63B137" w14:textId="77777777" w:rsidR="00266261" w:rsidRPr="00AB5EAA" w:rsidRDefault="00266261" w:rsidP="00266261">
            <w:pPr>
              <w:spacing w:after="0" w:line="240" w:lineRule="auto"/>
              <w:jc w:val="left"/>
              <w:rPr>
                <w:sz w:val="18"/>
                <w:szCs w:val="18"/>
              </w:rPr>
            </w:pPr>
            <w:r w:rsidRPr="00E81E69">
              <w:rPr>
                <w:sz w:val="18"/>
                <w:szCs w:val="18"/>
              </w:rPr>
              <w:t>Współczynnik dzietności</w:t>
            </w:r>
          </w:p>
        </w:tc>
        <w:tc>
          <w:tcPr>
            <w:tcW w:w="850" w:type="dxa"/>
            <w:tcBorders>
              <w:top w:val="single" w:sz="2" w:space="0" w:color="F6BB00"/>
              <w:bottom w:val="single" w:sz="2" w:space="0" w:color="F6BB00"/>
            </w:tcBorders>
            <w:vAlign w:val="center"/>
          </w:tcPr>
          <w:p w14:paraId="3A9284E4" w14:textId="77777777" w:rsidR="00266261" w:rsidRPr="00B452AE" w:rsidRDefault="00266261" w:rsidP="00734085">
            <w:pPr>
              <w:spacing w:after="0" w:line="240" w:lineRule="auto"/>
              <w:jc w:val="right"/>
              <w:rPr>
                <w:b/>
                <w:color w:val="00B050"/>
                <w:szCs w:val="22"/>
              </w:rPr>
            </w:pPr>
            <w:r w:rsidRPr="00B452AE">
              <w:rPr>
                <w:b/>
                <w:color w:val="00B050"/>
                <w:szCs w:val="22"/>
              </w:rPr>
              <w:t>↑</w:t>
            </w:r>
          </w:p>
        </w:tc>
        <w:tc>
          <w:tcPr>
            <w:tcW w:w="567" w:type="dxa"/>
            <w:tcBorders>
              <w:top w:val="single" w:sz="2" w:space="0" w:color="F6BB00"/>
              <w:bottom w:val="single" w:sz="2" w:space="0" w:color="F6BB00"/>
            </w:tcBorders>
            <w:vAlign w:val="center"/>
          </w:tcPr>
          <w:p w14:paraId="2200E6B0" w14:textId="77777777" w:rsidR="00266261" w:rsidRPr="00B452AE" w:rsidRDefault="00266261" w:rsidP="00266261">
            <w:pPr>
              <w:spacing w:after="0" w:line="240" w:lineRule="auto"/>
              <w:jc w:val="center"/>
              <w:rPr>
                <w:b/>
                <w:color w:val="00B050"/>
                <w:sz w:val="18"/>
                <w:szCs w:val="18"/>
              </w:rPr>
            </w:pPr>
            <w:r w:rsidRPr="00B452AE">
              <w:rPr>
                <w:b/>
                <w:color w:val="00B050"/>
                <w:sz w:val="18"/>
                <w:szCs w:val="18"/>
              </w:rPr>
              <w:t>(2)</w:t>
            </w:r>
          </w:p>
        </w:tc>
        <w:tc>
          <w:tcPr>
            <w:tcW w:w="1278" w:type="dxa"/>
            <w:gridSpan w:val="2"/>
            <w:tcBorders>
              <w:top w:val="single" w:sz="2" w:space="0" w:color="F6BB00"/>
              <w:bottom w:val="single" w:sz="2" w:space="0" w:color="F6BB00"/>
            </w:tcBorders>
            <w:vAlign w:val="center"/>
          </w:tcPr>
          <w:p w14:paraId="179EA8D5" w14:textId="77777777" w:rsidR="00266261" w:rsidRPr="0057408C" w:rsidRDefault="00266261" w:rsidP="00266261">
            <w:pPr>
              <w:spacing w:after="0" w:line="240" w:lineRule="auto"/>
              <w:jc w:val="center"/>
              <w:rPr>
                <w:b/>
                <w:sz w:val="18"/>
                <w:szCs w:val="18"/>
              </w:rPr>
            </w:pPr>
            <w:r w:rsidRPr="0057408C">
              <w:rPr>
                <w:b/>
                <w:sz w:val="18"/>
                <w:szCs w:val="18"/>
              </w:rPr>
              <w:t>0 (2)</w:t>
            </w:r>
          </w:p>
        </w:tc>
      </w:tr>
      <w:tr w:rsidR="00266261" w:rsidRPr="00EB1427" w14:paraId="4A8F51E4" w14:textId="77777777" w:rsidTr="00734085">
        <w:tc>
          <w:tcPr>
            <w:tcW w:w="6237" w:type="dxa"/>
            <w:tcBorders>
              <w:top w:val="single" w:sz="2" w:space="0" w:color="F6BB00"/>
              <w:bottom w:val="single" w:sz="2" w:space="0" w:color="F6BB00"/>
            </w:tcBorders>
            <w:vAlign w:val="center"/>
          </w:tcPr>
          <w:p w14:paraId="23DD7E47" w14:textId="77777777" w:rsidR="00266261" w:rsidRPr="00AB5EAA" w:rsidRDefault="00266261" w:rsidP="00266261">
            <w:pPr>
              <w:spacing w:after="0" w:line="240" w:lineRule="auto"/>
              <w:jc w:val="left"/>
              <w:rPr>
                <w:sz w:val="18"/>
                <w:szCs w:val="18"/>
              </w:rPr>
            </w:pPr>
            <w:r w:rsidRPr="00E81E69">
              <w:rPr>
                <w:sz w:val="18"/>
                <w:szCs w:val="18"/>
              </w:rPr>
              <w:t>Zgony niemowląt na 10 tys. ludności</w:t>
            </w:r>
          </w:p>
        </w:tc>
        <w:tc>
          <w:tcPr>
            <w:tcW w:w="850" w:type="dxa"/>
            <w:tcBorders>
              <w:top w:val="single" w:sz="2" w:space="0" w:color="F6BB00"/>
              <w:bottom w:val="single" w:sz="2" w:space="0" w:color="F6BB00"/>
            </w:tcBorders>
            <w:vAlign w:val="center"/>
          </w:tcPr>
          <w:p w14:paraId="034236C0" w14:textId="77777777" w:rsidR="00266261" w:rsidRPr="00B452AE" w:rsidRDefault="00266261" w:rsidP="00734085">
            <w:pPr>
              <w:spacing w:after="0" w:line="240" w:lineRule="auto"/>
              <w:jc w:val="right"/>
              <w:rPr>
                <w:b/>
                <w:color w:val="00B050"/>
                <w:szCs w:val="22"/>
              </w:rPr>
            </w:pPr>
            <w:r w:rsidRPr="00B452AE">
              <w:rPr>
                <w:b/>
                <w:color w:val="00B050"/>
                <w:szCs w:val="22"/>
              </w:rPr>
              <w:t>↓</w:t>
            </w:r>
          </w:p>
        </w:tc>
        <w:tc>
          <w:tcPr>
            <w:tcW w:w="567" w:type="dxa"/>
            <w:tcBorders>
              <w:top w:val="single" w:sz="2" w:space="0" w:color="F6BB00"/>
              <w:bottom w:val="single" w:sz="2" w:space="0" w:color="F6BB00"/>
            </w:tcBorders>
            <w:vAlign w:val="center"/>
          </w:tcPr>
          <w:p w14:paraId="1E3B05C5" w14:textId="77777777" w:rsidR="00266261" w:rsidRPr="00B452AE" w:rsidRDefault="00266261" w:rsidP="00266261">
            <w:pPr>
              <w:spacing w:after="0" w:line="240" w:lineRule="auto"/>
              <w:jc w:val="center"/>
              <w:rPr>
                <w:b/>
                <w:color w:val="00B050"/>
                <w:sz w:val="18"/>
                <w:szCs w:val="18"/>
              </w:rPr>
            </w:pPr>
            <w:r w:rsidRPr="00B452AE">
              <w:rPr>
                <w:b/>
                <w:color w:val="00B050"/>
                <w:sz w:val="18"/>
                <w:szCs w:val="18"/>
              </w:rPr>
              <w:t>(8)</w:t>
            </w:r>
          </w:p>
        </w:tc>
        <w:tc>
          <w:tcPr>
            <w:tcW w:w="1278" w:type="dxa"/>
            <w:gridSpan w:val="2"/>
            <w:tcBorders>
              <w:top w:val="single" w:sz="2" w:space="0" w:color="F6BB00"/>
              <w:bottom w:val="single" w:sz="2" w:space="0" w:color="F6BB00"/>
            </w:tcBorders>
            <w:vAlign w:val="center"/>
          </w:tcPr>
          <w:p w14:paraId="59591BE0" w14:textId="77777777" w:rsidR="00266261" w:rsidRPr="0057408C" w:rsidRDefault="00266261" w:rsidP="00266261">
            <w:pPr>
              <w:spacing w:after="0" w:line="240" w:lineRule="auto"/>
              <w:jc w:val="center"/>
              <w:rPr>
                <w:b/>
                <w:color w:val="00B050"/>
                <w:sz w:val="18"/>
                <w:szCs w:val="18"/>
              </w:rPr>
            </w:pPr>
            <w:r w:rsidRPr="0057408C">
              <w:rPr>
                <w:b/>
                <w:color w:val="00B050"/>
                <w:sz w:val="18"/>
                <w:szCs w:val="18"/>
              </w:rPr>
              <w:t>-1 (6)</w:t>
            </w:r>
          </w:p>
        </w:tc>
      </w:tr>
      <w:tr w:rsidR="00266261" w:rsidRPr="00EB1427" w14:paraId="67983E3F" w14:textId="77777777" w:rsidTr="00734085">
        <w:tc>
          <w:tcPr>
            <w:tcW w:w="6237" w:type="dxa"/>
            <w:tcBorders>
              <w:top w:val="single" w:sz="2" w:space="0" w:color="F6BB00"/>
              <w:bottom w:val="single" w:sz="2" w:space="0" w:color="F6BB00"/>
            </w:tcBorders>
            <w:vAlign w:val="center"/>
          </w:tcPr>
          <w:p w14:paraId="774578C8" w14:textId="77777777" w:rsidR="00266261" w:rsidRPr="00AB5EAA" w:rsidRDefault="00266261" w:rsidP="00266261">
            <w:pPr>
              <w:spacing w:after="0" w:line="240" w:lineRule="auto"/>
              <w:jc w:val="left"/>
              <w:rPr>
                <w:sz w:val="18"/>
                <w:szCs w:val="18"/>
              </w:rPr>
            </w:pPr>
            <w:r w:rsidRPr="00E81E69">
              <w:rPr>
                <w:sz w:val="18"/>
                <w:szCs w:val="18"/>
              </w:rPr>
              <w:t>Zgony niemowląt na 1000 urodzeń żywych</w:t>
            </w:r>
          </w:p>
        </w:tc>
        <w:tc>
          <w:tcPr>
            <w:tcW w:w="850" w:type="dxa"/>
            <w:tcBorders>
              <w:top w:val="single" w:sz="2" w:space="0" w:color="F6BB00"/>
              <w:bottom w:val="single" w:sz="2" w:space="0" w:color="F6BB00"/>
            </w:tcBorders>
            <w:vAlign w:val="center"/>
          </w:tcPr>
          <w:p w14:paraId="3F379282" w14:textId="77777777" w:rsidR="00266261" w:rsidRPr="00B452AE" w:rsidRDefault="00266261" w:rsidP="00734085">
            <w:pPr>
              <w:spacing w:after="0" w:line="240" w:lineRule="auto"/>
              <w:jc w:val="right"/>
              <w:rPr>
                <w:b/>
                <w:color w:val="00B050"/>
                <w:szCs w:val="22"/>
              </w:rPr>
            </w:pPr>
            <w:r w:rsidRPr="00B452AE">
              <w:rPr>
                <w:b/>
                <w:color w:val="00B050"/>
                <w:szCs w:val="22"/>
              </w:rPr>
              <w:t>↓</w:t>
            </w:r>
          </w:p>
        </w:tc>
        <w:tc>
          <w:tcPr>
            <w:tcW w:w="567" w:type="dxa"/>
            <w:tcBorders>
              <w:top w:val="single" w:sz="2" w:space="0" w:color="F6BB00"/>
              <w:bottom w:val="single" w:sz="2" w:space="0" w:color="F6BB00"/>
            </w:tcBorders>
            <w:vAlign w:val="center"/>
          </w:tcPr>
          <w:p w14:paraId="51FC56D3" w14:textId="77777777" w:rsidR="00266261" w:rsidRPr="00B452AE" w:rsidRDefault="00266261" w:rsidP="00266261">
            <w:pPr>
              <w:spacing w:after="0" w:line="240" w:lineRule="auto"/>
              <w:jc w:val="center"/>
              <w:rPr>
                <w:b/>
                <w:color w:val="00B050"/>
                <w:sz w:val="18"/>
                <w:szCs w:val="18"/>
              </w:rPr>
            </w:pPr>
            <w:r w:rsidRPr="00B452AE">
              <w:rPr>
                <w:b/>
                <w:color w:val="00B050"/>
                <w:sz w:val="18"/>
                <w:szCs w:val="18"/>
              </w:rPr>
              <w:t>(9)</w:t>
            </w:r>
          </w:p>
        </w:tc>
        <w:tc>
          <w:tcPr>
            <w:tcW w:w="1278" w:type="dxa"/>
            <w:gridSpan w:val="2"/>
            <w:tcBorders>
              <w:top w:val="single" w:sz="2" w:space="0" w:color="F6BB00"/>
              <w:bottom w:val="single" w:sz="2" w:space="0" w:color="F6BB00"/>
            </w:tcBorders>
            <w:vAlign w:val="center"/>
          </w:tcPr>
          <w:p w14:paraId="589BAF13" w14:textId="77777777" w:rsidR="00266261" w:rsidRPr="0057408C" w:rsidRDefault="00266261" w:rsidP="00266261">
            <w:pPr>
              <w:spacing w:after="0" w:line="240" w:lineRule="auto"/>
              <w:jc w:val="center"/>
              <w:rPr>
                <w:b/>
                <w:color w:val="00B050"/>
                <w:sz w:val="18"/>
                <w:szCs w:val="18"/>
              </w:rPr>
            </w:pPr>
            <w:r w:rsidRPr="0057408C">
              <w:rPr>
                <w:b/>
                <w:color w:val="00B050"/>
                <w:sz w:val="18"/>
                <w:szCs w:val="18"/>
              </w:rPr>
              <w:t>-2 (10)</w:t>
            </w:r>
          </w:p>
        </w:tc>
      </w:tr>
      <w:tr w:rsidR="00266261" w:rsidRPr="00EB1427" w14:paraId="75BDEB55" w14:textId="77777777" w:rsidTr="00734085">
        <w:tc>
          <w:tcPr>
            <w:tcW w:w="6237" w:type="dxa"/>
            <w:tcBorders>
              <w:top w:val="single" w:sz="2" w:space="0" w:color="F6BB00"/>
              <w:bottom w:val="single" w:sz="2" w:space="0" w:color="F6BB00"/>
            </w:tcBorders>
            <w:vAlign w:val="center"/>
          </w:tcPr>
          <w:p w14:paraId="5698E8A0" w14:textId="77777777" w:rsidR="00266261" w:rsidRPr="00AB5EAA" w:rsidRDefault="00266261" w:rsidP="00266261">
            <w:pPr>
              <w:spacing w:after="0" w:line="240" w:lineRule="auto"/>
              <w:jc w:val="left"/>
              <w:rPr>
                <w:sz w:val="18"/>
                <w:szCs w:val="18"/>
              </w:rPr>
            </w:pPr>
            <w:r w:rsidRPr="00E81E69">
              <w:rPr>
                <w:sz w:val="18"/>
                <w:szCs w:val="18"/>
              </w:rPr>
              <w:t>Dzieci objęte opieką w żłobkach na 10 tys. Ludności</w:t>
            </w:r>
          </w:p>
        </w:tc>
        <w:tc>
          <w:tcPr>
            <w:tcW w:w="850" w:type="dxa"/>
            <w:tcBorders>
              <w:top w:val="single" w:sz="2" w:space="0" w:color="F6BB00"/>
              <w:bottom w:val="single" w:sz="2" w:space="0" w:color="F6BB00"/>
            </w:tcBorders>
            <w:vAlign w:val="center"/>
          </w:tcPr>
          <w:p w14:paraId="432137FD" w14:textId="77777777" w:rsidR="00266261" w:rsidRPr="00A907AF" w:rsidRDefault="00266261" w:rsidP="00734085">
            <w:pPr>
              <w:spacing w:after="0" w:line="240" w:lineRule="auto"/>
              <w:jc w:val="right"/>
              <w:rPr>
                <w:b/>
                <w:color w:val="00B050"/>
                <w:szCs w:val="22"/>
              </w:rPr>
            </w:pPr>
            <w:r w:rsidRPr="00A907AF">
              <w:rPr>
                <w:b/>
                <w:color w:val="00B050"/>
                <w:szCs w:val="22"/>
              </w:rPr>
              <w:t>↑</w:t>
            </w:r>
          </w:p>
        </w:tc>
        <w:tc>
          <w:tcPr>
            <w:tcW w:w="567" w:type="dxa"/>
            <w:tcBorders>
              <w:top w:val="single" w:sz="2" w:space="0" w:color="F6BB00"/>
              <w:bottom w:val="single" w:sz="2" w:space="0" w:color="F6BB00"/>
            </w:tcBorders>
            <w:vAlign w:val="center"/>
          </w:tcPr>
          <w:p w14:paraId="6C6DB408" w14:textId="77777777" w:rsidR="00266261" w:rsidRPr="00A907AF" w:rsidRDefault="00266261" w:rsidP="00266261">
            <w:pPr>
              <w:spacing w:after="0" w:line="240" w:lineRule="auto"/>
              <w:jc w:val="center"/>
              <w:rPr>
                <w:b/>
                <w:color w:val="00B050"/>
                <w:sz w:val="18"/>
                <w:szCs w:val="18"/>
              </w:rPr>
            </w:pPr>
            <w:r w:rsidRPr="00A907AF">
              <w:rPr>
                <w:b/>
                <w:color w:val="00B050"/>
                <w:sz w:val="18"/>
                <w:szCs w:val="18"/>
              </w:rPr>
              <w:t>(3)</w:t>
            </w:r>
          </w:p>
        </w:tc>
        <w:tc>
          <w:tcPr>
            <w:tcW w:w="1278" w:type="dxa"/>
            <w:gridSpan w:val="2"/>
            <w:tcBorders>
              <w:top w:val="single" w:sz="2" w:space="0" w:color="F6BB00"/>
              <w:bottom w:val="single" w:sz="2" w:space="0" w:color="F6BB00"/>
            </w:tcBorders>
            <w:vAlign w:val="center"/>
          </w:tcPr>
          <w:p w14:paraId="47A08FEA" w14:textId="77777777" w:rsidR="00266261" w:rsidRPr="0057408C" w:rsidRDefault="00266261" w:rsidP="00266261">
            <w:pPr>
              <w:spacing w:after="0" w:line="240" w:lineRule="auto"/>
              <w:jc w:val="center"/>
              <w:rPr>
                <w:b/>
                <w:color w:val="00B050"/>
                <w:sz w:val="18"/>
                <w:szCs w:val="18"/>
              </w:rPr>
            </w:pPr>
            <w:r w:rsidRPr="0057408C">
              <w:rPr>
                <w:b/>
                <w:color w:val="00B050"/>
                <w:sz w:val="18"/>
                <w:szCs w:val="18"/>
              </w:rPr>
              <w:t>+3 (6)</w:t>
            </w:r>
          </w:p>
        </w:tc>
      </w:tr>
      <w:tr w:rsidR="00266261" w:rsidRPr="00EB1427" w14:paraId="1E0B5E77" w14:textId="77777777" w:rsidTr="00734085">
        <w:tc>
          <w:tcPr>
            <w:tcW w:w="6237" w:type="dxa"/>
            <w:tcBorders>
              <w:top w:val="single" w:sz="2" w:space="0" w:color="F6BB00"/>
              <w:bottom w:val="single" w:sz="2" w:space="0" w:color="F6BB00"/>
            </w:tcBorders>
            <w:vAlign w:val="center"/>
          </w:tcPr>
          <w:p w14:paraId="11FA083A" w14:textId="77777777" w:rsidR="00266261" w:rsidRPr="00AB5EAA" w:rsidRDefault="00266261" w:rsidP="00266261">
            <w:pPr>
              <w:spacing w:after="0" w:line="240" w:lineRule="auto"/>
              <w:jc w:val="left"/>
              <w:rPr>
                <w:sz w:val="18"/>
                <w:szCs w:val="18"/>
              </w:rPr>
            </w:pPr>
            <w:r w:rsidRPr="00E81E69">
              <w:rPr>
                <w:sz w:val="18"/>
                <w:szCs w:val="18"/>
              </w:rPr>
              <w:t>Dzieci w żłobkach i klubach dziecięcych na 1 tys. dzieci w wieku do lat 3</w:t>
            </w:r>
          </w:p>
        </w:tc>
        <w:tc>
          <w:tcPr>
            <w:tcW w:w="850" w:type="dxa"/>
            <w:tcBorders>
              <w:top w:val="single" w:sz="2" w:space="0" w:color="F6BB00"/>
              <w:bottom w:val="single" w:sz="2" w:space="0" w:color="F6BB00"/>
            </w:tcBorders>
            <w:vAlign w:val="center"/>
          </w:tcPr>
          <w:p w14:paraId="401A65B9" w14:textId="77777777" w:rsidR="00266261" w:rsidRPr="00A907AF" w:rsidRDefault="00266261" w:rsidP="00734085">
            <w:pPr>
              <w:spacing w:after="0" w:line="240" w:lineRule="auto"/>
              <w:jc w:val="right"/>
              <w:rPr>
                <w:b/>
                <w:color w:val="00B050"/>
                <w:szCs w:val="22"/>
              </w:rPr>
            </w:pPr>
            <w:r w:rsidRPr="00A907AF">
              <w:rPr>
                <w:b/>
                <w:color w:val="00B050"/>
                <w:szCs w:val="22"/>
              </w:rPr>
              <w:t>↑</w:t>
            </w:r>
          </w:p>
        </w:tc>
        <w:tc>
          <w:tcPr>
            <w:tcW w:w="567" w:type="dxa"/>
            <w:tcBorders>
              <w:top w:val="single" w:sz="2" w:space="0" w:color="F6BB00"/>
              <w:bottom w:val="single" w:sz="2" w:space="0" w:color="F6BB00"/>
            </w:tcBorders>
            <w:vAlign w:val="center"/>
          </w:tcPr>
          <w:p w14:paraId="4FBD3D14" w14:textId="77777777" w:rsidR="00266261" w:rsidRPr="00A907AF" w:rsidRDefault="00266261" w:rsidP="00266261">
            <w:pPr>
              <w:spacing w:after="0" w:line="240" w:lineRule="auto"/>
              <w:jc w:val="center"/>
              <w:rPr>
                <w:b/>
                <w:color w:val="00B050"/>
                <w:sz w:val="18"/>
                <w:szCs w:val="18"/>
              </w:rPr>
            </w:pPr>
            <w:r w:rsidRPr="00A907AF">
              <w:rPr>
                <w:b/>
                <w:color w:val="00B050"/>
                <w:sz w:val="18"/>
                <w:szCs w:val="18"/>
              </w:rPr>
              <w:t>(3)</w:t>
            </w:r>
          </w:p>
        </w:tc>
        <w:tc>
          <w:tcPr>
            <w:tcW w:w="1278" w:type="dxa"/>
            <w:gridSpan w:val="2"/>
            <w:tcBorders>
              <w:top w:val="single" w:sz="2" w:space="0" w:color="F6BB00"/>
              <w:bottom w:val="single" w:sz="2" w:space="0" w:color="F6BB00"/>
            </w:tcBorders>
            <w:vAlign w:val="center"/>
          </w:tcPr>
          <w:p w14:paraId="29DCFE0F" w14:textId="77777777" w:rsidR="00266261" w:rsidRPr="0057408C" w:rsidRDefault="00266261" w:rsidP="00266261">
            <w:pPr>
              <w:spacing w:after="0" w:line="240" w:lineRule="auto"/>
              <w:jc w:val="center"/>
              <w:rPr>
                <w:b/>
                <w:color w:val="00B050"/>
                <w:sz w:val="18"/>
                <w:szCs w:val="18"/>
              </w:rPr>
            </w:pPr>
            <w:r w:rsidRPr="0057408C">
              <w:rPr>
                <w:b/>
                <w:color w:val="00B050"/>
                <w:sz w:val="18"/>
                <w:szCs w:val="18"/>
              </w:rPr>
              <w:t>+4 (7)</w:t>
            </w:r>
          </w:p>
        </w:tc>
      </w:tr>
      <w:tr w:rsidR="00266261" w:rsidRPr="00EB1427" w14:paraId="79C4A48A" w14:textId="77777777" w:rsidTr="00734085">
        <w:tc>
          <w:tcPr>
            <w:tcW w:w="6237" w:type="dxa"/>
            <w:tcBorders>
              <w:top w:val="single" w:sz="2" w:space="0" w:color="F6BB00"/>
              <w:bottom w:val="single" w:sz="2" w:space="0" w:color="F6BB00"/>
            </w:tcBorders>
            <w:vAlign w:val="center"/>
          </w:tcPr>
          <w:p w14:paraId="3533CCFA" w14:textId="77777777" w:rsidR="00266261" w:rsidRPr="00AB5EAA" w:rsidRDefault="00266261" w:rsidP="00266261">
            <w:pPr>
              <w:spacing w:after="0" w:line="240" w:lineRule="auto"/>
              <w:jc w:val="left"/>
              <w:rPr>
                <w:sz w:val="18"/>
                <w:szCs w:val="18"/>
              </w:rPr>
            </w:pPr>
            <w:r w:rsidRPr="00E81E69">
              <w:rPr>
                <w:sz w:val="18"/>
                <w:szCs w:val="18"/>
              </w:rPr>
              <w:t>Przeciętne dalsze trwanie życia (mężczyźni)</w:t>
            </w:r>
          </w:p>
        </w:tc>
        <w:tc>
          <w:tcPr>
            <w:tcW w:w="850" w:type="dxa"/>
            <w:tcBorders>
              <w:top w:val="single" w:sz="2" w:space="0" w:color="F6BB00"/>
              <w:bottom w:val="single" w:sz="2" w:space="0" w:color="F6BB00"/>
            </w:tcBorders>
            <w:vAlign w:val="center"/>
          </w:tcPr>
          <w:p w14:paraId="1F4B732E" w14:textId="77777777" w:rsidR="00266261" w:rsidRPr="004E02D5" w:rsidRDefault="00266261" w:rsidP="00734085">
            <w:pPr>
              <w:spacing w:after="0" w:line="240" w:lineRule="auto"/>
              <w:jc w:val="right"/>
              <w:rPr>
                <w:b/>
                <w:color w:val="00B050"/>
                <w:szCs w:val="22"/>
              </w:rPr>
            </w:pPr>
            <w:r w:rsidRPr="004E02D5">
              <w:rPr>
                <w:b/>
                <w:color w:val="00B050"/>
                <w:szCs w:val="22"/>
              </w:rPr>
              <w:t>↑</w:t>
            </w:r>
          </w:p>
        </w:tc>
        <w:tc>
          <w:tcPr>
            <w:tcW w:w="567" w:type="dxa"/>
            <w:tcBorders>
              <w:top w:val="single" w:sz="2" w:space="0" w:color="F6BB00"/>
              <w:bottom w:val="single" w:sz="2" w:space="0" w:color="F6BB00"/>
            </w:tcBorders>
            <w:vAlign w:val="center"/>
          </w:tcPr>
          <w:p w14:paraId="2C8E75D1" w14:textId="77777777" w:rsidR="00266261" w:rsidRPr="004E02D5" w:rsidRDefault="00266261" w:rsidP="00266261">
            <w:pPr>
              <w:spacing w:after="0" w:line="240" w:lineRule="auto"/>
              <w:jc w:val="center"/>
              <w:rPr>
                <w:b/>
                <w:color w:val="00B050"/>
                <w:sz w:val="18"/>
                <w:szCs w:val="18"/>
              </w:rPr>
            </w:pPr>
            <w:r w:rsidRPr="004E02D5">
              <w:rPr>
                <w:b/>
                <w:color w:val="00B050"/>
                <w:sz w:val="18"/>
                <w:szCs w:val="18"/>
              </w:rPr>
              <w:t>(16)</w:t>
            </w:r>
          </w:p>
        </w:tc>
        <w:tc>
          <w:tcPr>
            <w:tcW w:w="1278" w:type="dxa"/>
            <w:gridSpan w:val="2"/>
            <w:tcBorders>
              <w:top w:val="single" w:sz="2" w:space="0" w:color="F6BB00"/>
              <w:bottom w:val="single" w:sz="2" w:space="0" w:color="F6BB00"/>
            </w:tcBorders>
            <w:vAlign w:val="center"/>
          </w:tcPr>
          <w:p w14:paraId="704A9F0D" w14:textId="77777777" w:rsidR="00266261" w:rsidRPr="0057408C" w:rsidRDefault="00266261" w:rsidP="00266261">
            <w:pPr>
              <w:spacing w:after="0" w:line="240" w:lineRule="auto"/>
              <w:jc w:val="center"/>
              <w:rPr>
                <w:b/>
                <w:sz w:val="18"/>
                <w:szCs w:val="18"/>
              </w:rPr>
            </w:pPr>
            <w:r w:rsidRPr="0057408C">
              <w:rPr>
                <w:b/>
                <w:color w:val="FF0000"/>
                <w:sz w:val="18"/>
                <w:szCs w:val="18"/>
              </w:rPr>
              <w:t>-1 (5)</w:t>
            </w:r>
          </w:p>
        </w:tc>
      </w:tr>
      <w:tr w:rsidR="00266261" w:rsidRPr="00EB1427" w14:paraId="4F68F2B1" w14:textId="77777777" w:rsidTr="00734085">
        <w:tc>
          <w:tcPr>
            <w:tcW w:w="6237" w:type="dxa"/>
            <w:tcBorders>
              <w:top w:val="single" w:sz="2" w:space="0" w:color="F6BB00"/>
              <w:bottom w:val="single" w:sz="2" w:space="0" w:color="F6BB00"/>
            </w:tcBorders>
            <w:vAlign w:val="center"/>
          </w:tcPr>
          <w:p w14:paraId="07E934DA" w14:textId="77777777" w:rsidR="00266261" w:rsidRPr="00AB5EAA" w:rsidRDefault="00266261" w:rsidP="00266261">
            <w:pPr>
              <w:spacing w:after="0" w:line="240" w:lineRule="auto"/>
              <w:jc w:val="left"/>
              <w:rPr>
                <w:sz w:val="18"/>
                <w:szCs w:val="18"/>
              </w:rPr>
            </w:pPr>
            <w:r w:rsidRPr="00E81E69">
              <w:rPr>
                <w:sz w:val="18"/>
                <w:szCs w:val="18"/>
              </w:rPr>
              <w:t>Przeciętne dalsze trwanie życia (kobiety)</w:t>
            </w:r>
          </w:p>
        </w:tc>
        <w:tc>
          <w:tcPr>
            <w:tcW w:w="850" w:type="dxa"/>
            <w:tcBorders>
              <w:top w:val="single" w:sz="2" w:space="0" w:color="F6BB00"/>
              <w:bottom w:val="single" w:sz="2" w:space="0" w:color="F6BB00"/>
            </w:tcBorders>
            <w:vAlign w:val="center"/>
          </w:tcPr>
          <w:p w14:paraId="189D4645" w14:textId="77777777" w:rsidR="00266261" w:rsidRPr="004E02D5" w:rsidRDefault="00266261" w:rsidP="00734085">
            <w:pPr>
              <w:spacing w:after="0" w:line="240" w:lineRule="auto"/>
              <w:jc w:val="right"/>
              <w:rPr>
                <w:b/>
                <w:color w:val="00B050"/>
                <w:szCs w:val="22"/>
              </w:rPr>
            </w:pPr>
            <w:r w:rsidRPr="004E02D5">
              <w:rPr>
                <w:b/>
                <w:color w:val="00B050"/>
                <w:szCs w:val="22"/>
              </w:rPr>
              <w:t>↑</w:t>
            </w:r>
          </w:p>
        </w:tc>
        <w:tc>
          <w:tcPr>
            <w:tcW w:w="567" w:type="dxa"/>
            <w:tcBorders>
              <w:top w:val="single" w:sz="2" w:space="0" w:color="F6BB00"/>
              <w:bottom w:val="single" w:sz="2" w:space="0" w:color="F6BB00"/>
            </w:tcBorders>
            <w:vAlign w:val="center"/>
          </w:tcPr>
          <w:p w14:paraId="649D8BF2" w14:textId="77777777" w:rsidR="00266261" w:rsidRPr="004E02D5" w:rsidRDefault="00266261" w:rsidP="00266261">
            <w:pPr>
              <w:spacing w:after="0" w:line="240" w:lineRule="auto"/>
              <w:jc w:val="center"/>
              <w:rPr>
                <w:b/>
                <w:color w:val="00B050"/>
                <w:sz w:val="18"/>
                <w:szCs w:val="18"/>
              </w:rPr>
            </w:pPr>
            <w:r w:rsidRPr="004E02D5">
              <w:rPr>
                <w:b/>
                <w:color w:val="00B050"/>
                <w:sz w:val="18"/>
                <w:szCs w:val="18"/>
              </w:rPr>
              <w:t>(7)</w:t>
            </w:r>
          </w:p>
        </w:tc>
        <w:tc>
          <w:tcPr>
            <w:tcW w:w="1278" w:type="dxa"/>
            <w:gridSpan w:val="2"/>
            <w:tcBorders>
              <w:top w:val="single" w:sz="2" w:space="0" w:color="F6BB00"/>
              <w:bottom w:val="single" w:sz="2" w:space="0" w:color="F6BB00"/>
            </w:tcBorders>
            <w:vAlign w:val="center"/>
          </w:tcPr>
          <w:p w14:paraId="0B0EBCAD" w14:textId="77777777" w:rsidR="00266261" w:rsidRPr="0057408C" w:rsidRDefault="00266261" w:rsidP="00266261">
            <w:pPr>
              <w:spacing w:after="0" w:line="240" w:lineRule="auto"/>
              <w:jc w:val="center"/>
              <w:rPr>
                <w:b/>
                <w:sz w:val="18"/>
                <w:szCs w:val="18"/>
              </w:rPr>
            </w:pPr>
            <w:r w:rsidRPr="0057408C">
              <w:rPr>
                <w:b/>
                <w:color w:val="00B050"/>
                <w:sz w:val="18"/>
                <w:szCs w:val="18"/>
              </w:rPr>
              <w:t>+1 (8)</w:t>
            </w:r>
          </w:p>
        </w:tc>
      </w:tr>
      <w:tr w:rsidR="00266261" w:rsidRPr="00EB1427" w14:paraId="2C69E8E5" w14:textId="77777777" w:rsidTr="00734085">
        <w:tc>
          <w:tcPr>
            <w:tcW w:w="6237" w:type="dxa"/>
            <w:tcBorders>
              <w:top w:val="single" w:sz="2" w:space="0" w:color="F6BB00"/>
              <w:bottom w:val="single" w:sz="2" w:space="0" w:color="F6BB00"/>
            </w:tcBorders>
            <w:vAlign w:val="center"/>
          </w:tcPr>
          <w:p w14:paraId="083352D6" w14:textId="77777777" w:rsidR="00266261" w:rsidRPr="00AB5EAA" w:rsidRDefault="00266261" w:rsidP="00266261">
            <w:pPr>
              <w:spacing w:after="0" w:line="240" w:lineRule="auto"/>
              <w:jc w:val="left"/>
              <w:rPr>
                <w:sz w:val="18"/>
                <w:szCs w:val="18"/>
              </w:rPr>
            </w:pPr>
            <w:r w:rsidRPr="00E81E69">
              <w:rPr>
                <w:sz w:val="18"/>
                <w:szCs w:val="18"/>
              </w:rPr>
              <w:t>Saldo migracji zagranicznych (na pobyt stały)</w:t>
            </w:r>
          </w:p>
        </w:tc>
        <w:tc>
          <w:tcPr>
            <w:tcW w:w="850" w:type="dxa"/>
            <w:tcBorders>
              <w:top w:val="single" w:sz="2" w:space="0" w:color="F6BB00"/>
              <w:bottom w:val="single" w:sz="2" w:space="0" w:color="F6BB00"/>
            </w:tcBorders>
            <w:vAlign w:val="center"/>
          </w:tcPr>
          <w:p w14:paraId="33FD89C0" w14:textId="77777777" w:rsidR="00266261" w:rsidRPr="004E02D5" w:rsidRDefault="00266261" w:rsidP="00734085">
            <w:pPr>
              <w:spacing w:after="0" w:line="240" w:lineRule="auto"/>
              <w:jc w:val="right"/>
              <w:rPr>
                <w:b/>
                <w:color w:val="00B050"/>
                <w:szCs w:val="22"/>
              </w:rPr>
            </w:pPr>
            <w:r w:rsidRPr="004E02D5">
              <w:rPr>
                <w:b/>
                <w:color w:val="00B050"/>
                <w:szCs w:val="22"/>
              </w:rPr>
              <w:t>↑</w:t>
            </w:r>
          </w:p>
        </w:tc>
        <w:tc>
          <w:tcPr>
            <w:tcW w:w="567" w:type="dxa"/>
            <w:tcBorders>
              <w:top w:val="single" w:sz="2" w:space="0" w:color="F6BB00"/>
              <w:bottom w:val="single" w:sz="2" w:space="0" w:color="F6BB00"/>
            </w:tcBorders>
            <w:vAlign w:val="center"/>
          </w:tcPr>
          <w:p w14:paraId="209A5275" w14:textId="77777777" w:rsidR="00266261" w:rsidRPr="004E02D5" w:rsidRDefault="00266261" w:rsidP="00266261">
            <w:pPr>
              <w:spacing w:after="0" w:line="240" w:lineRule="auto"/>
              <w:jc w:val="center"/>
              <w:rPr>
                <w:b/>
                <w:color w:val="00B050"/>
                <w:sz w:val="18"/>
                <w:szCs w:val="18"/>
              </w:rPr>
            </w:pPr>
            <w:r w:rsidRPr="004E02D5">
              <w:rPr>
                <w:b/>
                <w:color w:val="00B050"/>
                <w:sz w:val="18"/>
                <w:szCs w:val="18"/>
              </w:rPr>
              <w:t>(10)</w:t>
            </w:r>
          </w:p>
        </w:tc>
        <w:tc>
          <w:tcPr>
            <w:tcW w:w="1278" w:type="dxa"/>
            <w:gridSpan w:val="2"/>
            <w:tcBorders>
              <w:top w:val="single" w:sz="2" w:space="0" w:color="F6BB00"/>
              <w:bottom w:val="single" w:sz="2" w:space="0" w:color="F6BB00"/>
            </w:tcBorders>
            <w:vAlign w:val="center"/>
          </w:tcPr>
          <w:p w14:paraId="5B5A25D3" w14:textId="77777777" w:rsidR="00266261" w:rsidRPr="0057408C" w:rsidRDefault="00266261" w:rsidP="00266261">
            <w:pPr>
              <w:spacing w:after="0" w:line="240" w:lineRule="auto"/>
              <w:jc w:val="center"/>
              <w:rPr>
                <w:b/>
                <w:color w:val="00B050"/>
                <w:sz w:val="18"/>
                <w:szCs w:val="18"/>
              </w:rPr>
            </w:pPr>
            <w:r w:rsidRPr="0057408C">
              <w:rPr>
                <w:b/>
                <w:color w:val="00B050"/>
                <w:sz w:val="18"/>
                <w:szCs w:val="18"/>
              </w:rPr>
              <w:t>+3 (10) (dane za 2016)</w:t>
            </w:r>
          </w:p>
        </w:tc>
      </w:tr>
      <w:tr w:rsidR="00266261" w:rsidRPr="00EB1427" w14:paraId="1F99F94B" w14:textId="77777777" w:rsidTr="00734085">
        <w:tc>
          <w:tcPr>
            <w:tcW w:w="6237" w:type="dxa"/>
            <w:tcBorders>
              <w:top w:val="single" w:sz="2" w:space="0" w:color="F6BB00"/>
              <w:bottom w:val="single" w:sz="2" w:space="0" w:color="F6BB00"/>
            </w:tcBorders>
            <w:vAlign w:val="center"/>
          </w:tcPr>
          <w:p w14:paraId="7618597A" w14:textId="77777777" w:rsidR="00266261" w:rsidRPr="00AB5EAA" w:rsidRDefault="00266261" w:rsidP="00266261">
            <w:pPr>
              <w:spacing w:after="0" w:line="240" w:lineRule="auto"/>
              <w:jc w:val="left"/>
              <w:rPr>
                <w:sz w:val="18"/>
                <w:szCs w:val="18"/>
              </w:rPr>
            </w:pPr>
            <w:r w:rsidRPr="00E81E69">
              <w:rPr>
                <w:sz w:val="18"/>
                <w:szCs w:val="18"/>
              </w:rPr>
              <w:t>Wskaźnik zatrudnienia osób niepełnosprawnych w wieku 16-64 lata (wg BAEL)</w:t>
            </w:r>
          </w:p>
        </w:tc>
        <w:tc>
          <w:tcPr>
            <w:tcW w:w="850" w:type="dxa"/>
            <w:tcBorders>
              <w:top w:val="single" w:sz="2" w:space="0" w:color="F6BB00"/>
              <w:bottom w:val="single" w:sz="2" w:space="0" w:color="F6BB00"/>
            </w:tcBorders>
            <w:vAlign w:val="center"/>
          </w:tcPr>
          <w:p w14:paraId="1F2D97AE" w14:textId="77777777" w:rsidR="00266261" w:rsidRPr="004E02D5" w:rsidRDefault="00266261" w:rsidP="00734085">
            <w:pPr>
              <w:spacing w:after="0" w:line="240" w:lineRule="auto"/>
              <w:jc w:val="right"/>
              <w:rPr>
                <w:b/>
                <w:color w:val="00B050"/>
                <w:szCs w:val="22"/>
              </w:rPr>
            </w:pPr>
            <w:r w:rsidRPr="004E02D5">
              <w:rPr>
                <w:b/>
                <w:color w:val="00B050"/>
                <w:szCs w:val="22"/>
              </w:rPr>
              <w:t>↑</w:t>
            </w:r>
          </w:p>
        </w:tc>
        <w:tc>
          <w:tcPr>
            <w:tcW w:w="567" w:type="dxa"/>
            <w:tcBorders>
              <w:top w:val="single" w:sz="2" w:space="0" w:color="F6BB00"/>
              <w:bottom w:val="single" w:sz="2" w:space="0" w:color="F6BB00"/>
            </w:tcBorders>
            <w:vAlign w:val="center"/>
          </w:tcPr>
          <w:p w14:paraId="3320B984" w14:textId="77777777" w:rsidR="00266261" w:rsidRPr="004E02D5" w:rsidRDefault="00266261" w:rsidP="00266261">
            <w:pPr>
              <w:spacing w:after="0" w:line="240" w:lineRule="auto"/>
              <w:jc w:val="center"/>
              <w:rPr>
                <w:b/>
                <w:color w:val="00B050"/>
                <w:sz w:val="18"/>
                <w:szCs w:val="18"/>
              </w:rPr>
            </w:pPr>
            <w:r w:rsidRPr="004E02D5">
              <w:rPr>
                <w:b/>
                <w:color w:val="00B050"/>
                <w:sz w:val="18"/>
                <w:szCs w:val="18"/>
              </w:rPr>
              <w:t>(5)</w:t>
            </w:r>
          </w:p>
        </w:tc>
        <w:tc>
          <w:tcPr>
            <w:tcW w:w="1278" w:type="dxa"/>
            <w:gridSpan w:val="2"/>
            <w:tcBorders>
              <w:top w:val="single" w:sz="2" w:space="0" w:color="F6BB00"/>
              <w:bottom w:val="single" w:sz="2" w:space="0" w:color="F6BB00"/>
            </w:tcBorders>
            <w:vAlign w:val="center"/>
          </w:tcPr>
          <w:p w14:paraId="0979C57D" w14:textId="77777777" w:rsidR="00266261" w:rsidRPr="0057408C" w:rsidRDefault="00266261" w:rsidP="00266261">
            <w:pPr>
              <w:spacing w:after="0" w:line="240" w:lineRule="auto"/>
              <w:jc w:val="center"/>
              <w:rPr>
                <w:b/>
                <w:color w:val="00B050"/>
                <w:sz w:val="18"/>
                <w:szCs w:val="18"/>
              </w:rPr>
            </w:pPr>
            <w:r w:rsidRPr="0057408C">
              <w:rPr>
                <w:b/>
                <w:color w:val="00B050"/>
                <w:sz w:val="18"/>
                <w:szCs w:val="18"/>
              </w:rPr>
              <w:t>+2 (10)</w:t>
            </w:r>
          </w:p>
        </w:tc>
      </w:tr>
      <w:tr w:rsidR="00266261" w:rsidRPr="00EB1427" w14:paraId="5141F848" w14:textId="77777777" w:rsidTr="00734085">
        <w:tc>
          <w:tcPr>
            <w:tcW w:w="6237" w:type="dxa"/>
            <w:tcBorders>
              <w:top w:val="single" w:sz="2" w:space="0" w:color="F6BB00"/>
              <w:bottom w:val="single" w:sz="2" w:space="0" w:color="F6BB00"/>
            </w:tcBorders>
            <w:vAlign w:val="center"/>
          </w:tcPr>
          <w:p w14:paraId="70FD8484" w14:textId="77777777" w:rsidR="00266261" w:rsidRPr="00AB5EAA" w:rsidRDefault="00266261" w:rsidP="00266261">
            <w:pPr>
              <w:spacing w:after="0" w:line="240" w:lineRule="auto"/>
              <w:jc w:val="left"/>
              <w:rPr>
                <w:sz w:val="18"/>
                <w:szCs w:val="18"/>
              </w:rPr>
            </w:pPr>
            <w:r w:rsidRPr="00E81E69">
              <w:rPr>
                <w:sz w:val="18"/>
                <w:szCs w:val="18"/>
              </w:rPr>
              <w:t>Przeciętny miesięczny dochód do dyspozycji na 1 osobę w gospodarstwach domowych</w:t>
            </w:r>
          </w:p>
        </w:tc>
        <w:tc>
          <w:tcPr>
            <w:tcW w:w="850" w:type="dxa"/>
            <w:tcBorders>
              <w:top w:val="single" w:sz="2" w:space="0" w:color="F6BB00"/>
              <w:bottom w:val="single" w:sz="2" w:space="0" w:color="F6BB00"/>
            </w:tcBorders>
            <w:vAlign w:val="center"/>
          </w:tcPr>
          <w:p w14:paraId="48D1A6BA" w14:textId="77777777" w:rsidR="00266261" w:rsidRPr="004E02D5" w:rsidRDefault="00266261" w:rsidP="00734085">
            <w:pPr>
              <w:spacing w:after="0" w:line="240" w:lineRule="auto"/>
              <w:jc w:val="right"/>
              <w:rPr>
                <w:b/>
                <w:color w:val="00B050"/>
                <w:szCs w:val="22"/>
              </w:rPr>
            </w:pPr>
            <w:r w:rsidRPr="004E02D5">
              <w:rPr>
                <w:b/>
                <w:color w:val="00B050"/>
                <w:szCs w:val="22"/>
              </w:rPr>
              <w:t>↑</w:t>
            </w:r>
          </w:p>
        </w:tc>
        <w:tc>
          <w:tcPr>
            <w:tcW w:w="567" w:type="dxa"/>
            <w:tcBorders>
              <w:top w:val="single" w:sz="2" w:space="0" w:color="F6BB00"/>
              <w:bottom w:val="single" w:sz="2" w:space="0" w:color="F6BB00"/>
            </w:tcBorders>
            <w:vAlign w:val="center"/>
          </w:tcPr>
          <w:p w14:paraId="2DF60144" w14:textId="77777777" w:rsidR="00266261" w:rsidRPr="004E02D5" w:rsidRDefault="00266261" w:rsidP="00266261">
            <w:pPr>
              <w:spacing w:after="0" w:line="240" w:lineRule="auto"/>
              <w:jc w:val="center"/>
              <w:rPr>
                <w:b/>
                <w:color w:val="00B050"/>
                <w:sz w:val="18"/>
                <w:szCs w:val="18"/>
              </w:rPr>
            </w:pPr>
            <w:r w:rsidRPr="004E02D5">
              <w:rPr>
                <w:b/>
                <w:color w:val="00B050"/>
                <w:sz w:val="18"/>
                <w:szCs w:val="18"/>
              </w:rPr>
              <w:t>(1)</w:t>
            </w:r>
          </w:p>
        </w:tc>
        <w:tc>
          <w:tcPr>
            <w:tcW w:w="1278" w:type="dxa"/>
            <w:gridSpan w:val="2"/>
            <w:tcBorders>
              <w:top w:val="single" w:sz="2" w:space="0" w:color="F6BB00"/>
              <w:bottom w:val="single" w:sz="2" w:space="0" w:color="F6BB00"/>
            </w:tcBorders>
            <w:vAlign w:val="center"/>
          </w:tcPr>
          <w:p w14:paraId="519B636C" w14:textId="77777777" w:rsidR="00266261" w:rsidRPr="0057408C" w:rsidRDefault="00266261" w:rsidP="00266261">
            <w:pPr>
              <w:spacing w:after="0" w:line="240" w:lineRule="auto"/>
              <w:jc w:val="center"/>
              <w:rPr>
                <w:b/>
                <w:color w:val="00B050"/>
                <w:sz w:val="18"/>
                <w:szCs w:val="18"/>
              </w:rPr>
            </w:pPr>
            <w:r w:rsidRPr="0057408C">
              <w:rPr>
                <w:b/>
                <w:color w:val="00B050"/>
                <w:sz w:val="18"/>
                <w:szCs w:val="18"/>
              </w:rPr>
              <w:t>+5 (6)</w:t>
            </w:r>
          </w:p>
        </w:tc>
      </w:tr>
      <w:tr w:rsidR="00266261" w:rsidRPr="00EB1427" w14:paraId="742C1615" w14:textId="77777777" w:rsidTr="00734085">
        <w:tc>
          <w:tcPr>
            <w:tcW w:w="6237" w:type="dxa"/>
            <w:tcBorders>
              <w:top w:val="single" w:sz="2" w:space="0" w:color="F6BB00"/>
              <w:bottom w:val="single" w:sz="2" w:space="0" w:color="F6BB00"/>
            </w:tcBorders>
            <w:vAlign w:val="center"/>
          </w:tcPr>
          <w:p w14:paraId="6ADEB806" w14:textId="77777777" w:rsidR="00266261" w:rsidRPr="00E81E69" w:rsidRDefault="00266261" w:rsidP="00266261">
            <w:pPr>
              <w:spacing w:after="0" w:line="240" w:lineRule="auto"/>
              <w:jc w:val="left"/>
              <w:rPr>
                <w:sz w:val="18"/>
                <w:szCs w:val="18"/>
              </w:rPr>
            </w:pPr>
            <w:r w:rsidRPr="00E81E69">
              <w:rPr>
                <w:sz w:val="18"/>
                <w:szCs w:val="18"/>
              </w:rPr>
              <w:t xml:space="preserve">Osoby, którym decyzją przyznano świadczenia pomocy społecznej na 10 tys. </w:t>
            </w:r>
            <w:r>
              <w:rPr>
                <w:sz w:val="18"/>
                <w:szCs w:val="18"/>
              </w:rPr>
              <w:t>l</w:t>
            </w:r>
            <w:r w:rsidRPr="00E81E69">
              <w:rPr>
                <w:sz w:val="18"/>
                <w:szCs w:val="18"/>
              </w:rPr>
              <w:t>udności</w:t>
            </w:r>
          </w:p>
        </w:tc>
        <w:tc>
          <w:tcPr>
            <w:tcW w:w="850" w:type="dxa"/>
            <w:tcBorders>
              <w:top w:val="single" w:sz="2" w:space="0" w:color="F6BB00"/>
              <w:bottom w:val="single" w:sz="2" w:space="0" w:color="F6BB00"/>
            </w:tcBorders>
            <w:vAlign w:val="center"/>
          </w:tcPr>
          <w:p w14:paraId="7D469E29" w14:textId="77777777" w:rsidR="00266261" w:rsidRPr="004E02D5" w:rsidRDefault="00266261" w:rsidP="00734085">
            <w:pPr>
              <w:spacing w:after="0" w:line="240" w:lineRule="auto"/>
              <w:jc w:val="right"/>
              <w:rPr>
                <w:b/>
                <w:color w:val="00B050"/>
                <w:szCs w:val="22"/>
              </w:rPr>
            </w:pPr>
            <w:r w:rsidRPr="004E02D5">
              <w:rPr>
                <w:b/>
                <w:color w:val="00B050"/>
                <w:szCs w:val="22"/>
              </w:rPr>
              <w:t>↓</w:t>
            </w:r>
          </w:p>
        </w:tc>
        <w:tc>
          <w:tcPr>
            <w:tcW w:w="567" w:type="dxa"/>
            <w:tcBorders>
              <w:top w:val="single" w:sz="2" w:space="0" w:color="F6BB00"/>
              <w:bottom w:val="single" w:sz="2" w:space="0" w:color="F6BB00"/>
            </w:tcBorders>
            <w:vAlign w:val="center"/>
          </w:tcPr>
          <w:p w14:paraId="192E7EF6" w14:textId="77777777" w:rsidR="00266261" w:rsidRPr="004E02D5" w:rsidRDefault="00266261" w:rsidP="00266261">
            <w:pPr>
              <w:spacing w:after="0" w:line="240" w:lineRule="auto"/>
              <w:jc w:val="center"/>
              <w:rPr>
                <w:b/>
                <w:color w:val="00B050"/>
                <w:sz w:val="18"/>
                <w:szCs w:val="18"/>
              </w:rPr>
            </w:pPr>
            <w:r w:rsidRPr="004E02D5">
              <w:rPr>
                <w:b/>
                <w:color w:val="00B050"/>
                <w:sz w:val="18"/>
                <w:szCs w:val="18"/>
              </w:rPr>
              <w:t>(8)</w:t>
            </w:r>
          </w:p>
        </w:tc>
        <w:tc>
          <w:tcPr>
            <w:tcW w:w="1278" w:type="dxa"/>
            <w:gridSpan w:val="2"/>
            <w:tcBorders>
              <w:top w:val="single" w:sz="2" w:space="0" w:color="F6BB00"/>
              <w:bottom w:val="single" w:sz="2" w:space="0" w:color="F6BB00"/>
            </w:tcBorders>
            <w:vAlign w:val="center"/>
          </w:tcPr>
          <w:p w14:paraId="27C964C8" w14:textId="77777777" w:rsidR="00266261" w:rsidRPr="0057408C" w:rsidRDefault="00266261" w:rsidP="00266261">
            <w:pPr>
              <w:spacing w:after="0" w:line="240" w:lineRule="auto"/>
              <w:jc w:val="center"/>
              <w:rPr>
                <w:b/>
                <w:sz w:val="18"/>
                <w:szCs w:val="18"/>
              </w:rPr>
            </w:pPr>
            <w:r w:rsidRPr="0057408C">
              <w:rPr>
                <w:b/>
                <w:sz w:val="18"/>
                <w:szCs w:val="18"/>
              </w:rPr>
              <w:t>0 (11)</w:t>
            </w:r>
          </w:p>
        </w:tc>
      </w:tr>
      <w:tr w:rsidR="00266261" w:rsidRPr="00EB1427" w14:paraId="53A40746" w14:textId="77777777" w:rsidTr="00734085">
        <w:tc>
          <w:tcPr>
            <w:tcW w:w="6237" w:type="dxa"/>
            <w:tcBorders>
              <w:top w:val="single" w:sz="2" w:space="0" w:color="F6BB00"/>
              <w:bottom w:val="single" w:sz="2" w:space="0" w:color="F6BB00"/>
            </w:tcBorders>
            <w:vAlign w:val="center"/>
          </w:tcPr>
          <w:p w14:paraId="5A582421" w14:textId="77777777" w:rsidR="00266261" w:rsidRPr="00E81E69" w:rsidRDefault="00266261" w:rsidP="00266261">
            <w:pPr>
              <w:spacing w:after="0" w:line="240" w:lineRule="auto"/>
              <w:jc w:val="left"/>
              <w:rPr>
                <w:sz w:val="18"/>
                <w:szCs w:val="18"/>
              </w:rPr>
            </w:pPr>
            <w:r w:rsidRPr="00E81E69">
              <w:rPr>
                <w:sz w:val="18"/>
                <w:szCs w:val="18"/>
              </w:rPr>
              <w:t>Korzystający z turystycznych obiektów noclegowych</w:t>
            </w:r>
          </w:p>
        </w:tc>
        <w:tc>
          <w:tcPr>
            <w:tcW w:w="850" w:type="dxa"/>
            <w:tcBorders>
              <w:top w:val="single" w:sz="2" w:space="0" w:color="F6BB00"/>
              <w:bottom w:val="single" w:sz="2" w:space="0" w:color="F6BB00"/>
            </w:tcBorders>
            <w:vAlign w:val="center"/>
          </w:tcPr>
          <w:p w14:paraId="026EF39D" w14:textId="77777777" w:rsidR="00266261" w:rsidRPr="004E02D5" w:rsidRDefault="00266261" w:rsidP="00734085">
            <w:pPr>
              <w:spacing w:after="0" w:line="240" w:lineRule="auto"/>
              <w:jc w:val="right"/>
              <w:rPr>
                <w:b/>
                <w:color w:val="FF0000"/>
                <w:szCs w:val="22"/>
              </w:rPr>
            </w:pPr>
            <w:r w:rsidRPr="004E02D5">
              <w:rPr>
                <w:b/>
                <w:color w:val="FF0000"/>
                <w:szCs w:val="22"/>
              </w:rPr>
              <w:t>↓</w:t>
            </w:r>
          </w:p>
        </w:tc>
        <w:tc>
          <w:tcPr>
            <w:tcW w:w="567" w:type="dxa"/>
            <w:tcBorders>
              <w:top w:val="single" w:sz="2" w:space="0" w:color="F6BB00"/>
              <w:bottom w:val="single" w:sz="2" w:space="0" w:color="F6BB00"/>
            </w:tcBorders>
            <w:vAlign w:val="center"/>
          </w:tcPr>
          <w:p w14:paraId="7584778B" w14:textId="77777777" w:rsidR="00266261" w:rsidRPr="004E02D5" w:rsidRDefault="00266261" w:rsidP="00266261">
            <w:pPr>
              <w:spacing w:after="0" w:line="240" w:lineRule="auto"/>
              <w:jc w:val="center"/>
              <w:rPr>
                <w:b/>
                <w:color w:val="FF0000"/>
                <w:sz w:val="18"/>
                <w:szCs w:val="18"/>
              </w:rPr>
            </w:pPr>
            <w:r w:rsidRPr="004E02D5">
              <w:rPr>
                <w:b/>
                <w:color w:val="FF0000"/>
                <w:sz w:val="18"/>
                <w:szCs w:val="18"/>
              </w:rPr>
              <w:t>(14)</w:t>
            </w:r>
          </w:p>
        </w:tc>
        <w:tc>
          <w:tcPr>
            <w:tcW w:w="1278" w:type="dxa"/>
            <w:gridSpan w:val="2"/>
            <w:tcBorders>
              <w:top w:val="single" w:sz="2" w:space="0" w:color="F6BB00"/>
              <w:bottom w:val="single" w:sz="2" w:space="0" w:color="F6BB00"/>
            </w:tcBorders>
            <w:vAlign w:val="center"/>
          </w:tcPr>
          <w:p w14:paraId="75EB0176" w14:textId="77777777" w:rsidR="00266261" w:rsidRPr="0057408C" w:rsidRDefault="00266261" w:rsidP="00266261">
            <w:pPr>
              <w:spacing w:after="0" w:line="240" w:lineRule="auto"/>
              <w:jc w:val="center"/>
              <w:rPr>
                <w:b/>
                <w:sz w:val="18"/>
                <w:szCs w:val="18"/>
              </w:rPr>
            </w:pPr>
            <w:r w:rsidRPr="0057408C">
              <w:rPr>
                <w:b/>
                <w:sz w:val="18"/>
                <w:szCs w:val="18"/>
              </w:rPr>
              <w:t>0 (5)</w:t>
            </w:r>
          </w:p>
        </w:tc>
      </w:tr>
      <w:tr w:rsidR="00266261" w:rsidRPr="00EB1427" w14:paraId="78647706" w14:textId="77777777" w:rsidTr="00734085">
        <w:tc>
          <w:tcPr>
            <w:tcW w:w="6237" w:type="dxa"/>
            <w:tcBorders>
              <w:top w:val="single" w:sz="2" w:space="0" w:color="F6BB00"/>
              <w:bottom w:val="single" w:sz="2" w:space="0" w:color="F6BB00"/>
            </w:tcBorders>
            <w:vAlign w:val="center"/>
          </w:tcPr>
          <w:p w14:paraId="56B7E890" w14:textId="77777777" w:rsidR="00266261" w:rsidRPr="00E81E69" w:rsidRDefault="00266261" w:rsidP="00266261">
            <w:pPr>
              <w:spacing w:after="0" w:line="240" w:lineRule="auto"/>
              <w:jc w:val="left"/>
              <w:rPr>
                <w:sz w:val="18"/>
                <w:szCs w:val="18"/>
              </w:rPr>
            </w:pPr>
            <w:r w:rsidRPr="00E81E69">
              <w:rPr>
                <w:sz w:val="18"/>
                <w:szCs w:val="18"/>
              </w:rPr>
              <w:t>Widzowie i słuchacze w teatrach i instytucjach muzycznych na przedstawieniach / koncertach wg</w:t>
            </w:r>
            <w:r>
              <w:rPr>
                <w:sz w:val="18"/>
                <w:szCs w:val="18"/>
              </w:rPr>
              <w:t xml:space="preserve"> </w:t>
            </w:r>
            <w:r w:rsidRPr="00E81E69">
              <w:rPr>
                <w:sz w:val="18"/>
                <w:szCs w:val="18"/>
              </w:rPr>
              <w:t>miejsca prezentacji</w:t>
            </w:r>
          </w:p>
        </w:tc>
        <w:tc>
          <w:tcPr>
            <w:tcW w:w="850" w:type="dxa"/>
            <w:tcBorders>
              <w:top w:val="single" w:sz="2" w:space="0" w:color="F6BB00"/>
              <w:bottom w:val="single" w:sz="2" w:space="0" w:color="F6BB00"/>
            </w:tcBorders>
            <w:vAlign w:val="center"/>
          </w:tcPr>
          <w:p w14:paraId="6861B7DF" w14:textId="77777777" w:rsidR="00266261" w:rsidRPr="004E02D5" w:rsidRDefault="00266261" w:rsidP="00734085">
            <w:pPr>
              <w:spacing w:after="0" w:line="240" w:lineRule="auto"/>
              <w:jc w:val="right"/>
              <w:rPr>
                <w:b/>
                <w:color w:val="00B050"/>
                <w:szCs w:val="22"/>
              </w:rPr>
            </w:pPr>
            <w:r w:rsidRPr="004E02D5">
              <w:rPr>
                <w:b/>
                <w:color w:val="00B050"/>
                <w:szCs w:val="22"/>
              </w:rPr>
              <w:t>↑</w:t>
            </w:r>
          </w:p>
        </w:tc>
        <w:tc>
          <w:tcPr>
            <w:tcW w:w="567" w:type="dxa"/>
            <w:tcBorders>
              <w:top w:val="single" w:sz="2" w:space="0" w:color="F6BB00"/>
              <w:bottom w:val="single" w:sz="2" w:space="0" w:color="F6BB00"/>
            </w:tcBorders>
            <w:vAlign w:val="center"/>
          </w:tcPr>
          <w:p w14:paraId="07D7E4DE" w14:textId="77777777" w:rsidR="00266261" w:rsidRPr="004E02D5" w:rsidRDefault="00266261" w:rsidP="00266261">
            <w:pPr>
              <w:spacing w:after="0" w:line="240" w:lineRule="auto"/>
              <w:jc w:val="center"/>
              <w:rPr>
                <w:b/>
                <w:color w:val="00B050"/>
                <w:sz w:val="18"/>
                <w:szCs w:val="18"/>
              </w:rPr>
            </w:pPr>
            <w:r w:rsidRPr="004E02D5">
              <w:rPr>
                <w:b/>
                <w:color w:val="00B050"/>
                <w:sz w:val="18"/>
                <w:szCs w:val="18"/>
              </w:rPr>
              <w:t>(4)</w:t>
            </w:r>
          </w:p>
        </w:tc>
        <w:tc>
          <w:tcPr>
            <w:tcW w:w="1278" w:type="dxa"/>
            <w:gridSpan w:val="2"/>
            <w:tcBorders>
              <w:top w:val="single" w:sz="2" w:space="0" w:color="F6BB00"/>
              <w:bottom w:val="single" w:sz="2" w:space="0" w:color="F6BB00"/>
            </w:tcBorders>
            <w:vAlign w:val="center"/>
          </w:tcPr>
          <w:p w14:paraId="0073DFFC" w14:textId="77777777" w:rsidR="00266261" w:rsidRPr="0057408C" w:rsidRDefault="00266261" w:rsidP="00266261">
            <w:pPr>
              <w:spacing w:after="0" w:line="240" w:lineRule="auto"/>
              <w:jc w:val="center"/>
              <w:rPr>
                <w:b/>
                <w:sz w:val="18"/>
                <w:szCs w:val="18"/>
              </w:rPr>
            </w:pPr>
            <w:r w:rsidRPr="0057408C">
              <w:rPr>
                <w:b/>
                <w:sz w:val="18"/>
                <w:szCs w:val="18"/>
              </w:rPr>
              <w:t>0 (6)</w:t>
            </w:r>
          </w:p>
        </w:tc>
      </w:tr>
      <w:tr w:rsidR="00266261" w:rsidRPr="00EB1427" w14:paraId="3E04DF45" w14:textId="77777777" w:rsidTr="00734085">
        <w:tc>
          <w:tcPr>
            <w:tcW w:w="6237" w:type="dxa"/>
            <w:tcBorders>
              <w:top w:val="single" w:sz="2" w:space="0" w:color="F6BB00"/>
              <w:bottom w:val="single" w:sz="2" w:space="0" w:color="F6BB00"/>
            </w:tcBorders>
            <w:vAlign w:val="center"/>
          </w:tcPr>
          <w:p w14:paraId="41370F07" w14:textId="77777777" w:rsidR="00266261" w:rsidRPr="00E81E69" w:rsidRDefault="00266261" w:rsidP="00266261">
            <w:pPr>
              <w:spacing w:after="0" w:line="240" w:lineRule="auto"/>
              <w:jc w:val="left"/>
              <w:rPr>
                <w:sz w:val="18"/>
                <w:szCs w:val="18"/>
              </w:rPr>
            </w:pPr>
            <w:r w:rsidRPr="00E81E69">
              <w:rPr>
                <w:sz w:val="18"/>
                <w:szCs w:val="18"/>
              </w:rPr>
              <w:t>Mieszkania oddane do użytkowania na 10 tys. ludności</w:t>
            </w:r>
          </w:p>
        </w:tc>
        <w:tc>
          <w:tcPr>
            <w:tcW w:w="850" w:type="dxa"/>
            <w:tcBorders>
              <w:top w:val="single" w:sz="2" w:space="0" w:color="F6BB00"/>
              <w:bottom w:val="single" w:sz="2" w:space="0" w:color="F6BB00"/>
            </w:tcBorders>
            <w:vAlign w:val="center"/>
          </w:tcPr>
          <w:p w14:paraId="7848497E" w14:textId="77777777" w:rsidR="00266261" w:rsidRPr="004E02D5" w:rsidRDefault="00266261" w:rsidP="00734085">
            <w:pPr>
              <w:spacing w:after="0" w:line="240" w:lineRule="auto"/>
              <w:jc w:val="right"/>
              <w:rPr>
                <w:b/>
                <w:color w:val="00B050"/>
                <w:szCs w:val="22"/>
              </w:rPr>
            </w:pPr>
            <w:r w:rsidRPr="004E02D5">
              <w:rPr>
                <w:b/>
                <w:color w:val="00B050"/>
                <w:szCs w:val="22"/>
              </w:rPr>
              <w:t>↑</w:t>
            </w:r>
          </w:p>
        </w:tc>
        <w:tc>
          <w:tcPr>
            <w:tcW w:w="567" w:type="dxa"/>
            <w:tcBorders>
              <w:top w:val="single" w:sz="2" w:space="0" w:color="F6BB00"/>
              <w:bottom w:val="single" w:sz="2" w:space="0" w:color="F6BB00"/>
            </w:tcBorders>
            <w:vAlign w:val="center"/>
          </w:tcPr>
          <w:p w14:paraId="083871B2" w14:textId="77777777" w:rsidR="00266261" w:rsidRPr="004E02D5" w:rsidRDefault="00266261" w:rsidP="00266261">
            <w:pPr>
              <w:spacing w:after="0" w:line="240" w:lineRule="auto"/>
              <w:jc w:val="center"/>
              <w:rPr>
                <w:b/>
                <w:color w:val="00B050"/>
                <w:sz w:val="18"/>
                <w:szCs w:val="18"/>
              </w:rPr>
            </w:pPr>
            <w:r w:rsidRPr="004E02D5">
              <w:rPr>
                <w:b/>
                <w:color w:val="00B050"/>
                <w:sz w:val="18"/>
                <w:szCs w:val="18"/>
              </w:rPr>
              <w:t>(4)</w:t>
            </w:r>
          </w:p>
        </w:tc>
        <w:tc>
          <w:tcPr>
            <w:tcW w:w="1278" w:type="dxa"/>
            <w:gridSpan w:val="2"/>
            <w:tcBorders>
              <w:top w:val="single" w:sz="2" w:space="0" w:color="F6BB00"/>
              <w:bottom w:val="single" w:sz="2" w:space="0" w:color="F6BB00"/>
            </w:tcBorders>
            <w:vAlign w:val="center"/>
          </w:tcPr>
          <w:p w14:paraId="786E6425" w14:textId="77777777" w:rsidR="00266261" w:rsidRPr="0057408C" w:rsidRDefault="00266261" w:rsidP="00266261">
            <w:pPr>
              <w:spacing w:after="0" w:line="240" w:lineRule="auto"/>
              <w:jc w:val="center"/>
              <w:rPr>
                <w:b/>
                <w:sz w:val="18"/>
                <w:szCs w:val="18"/>
              </w:rPr>
            </w:pPr>
            <w:r w:rsidRPr="0057408C">
              <w:rPr>
                <w:b/>
                <w:sz w:val="18"/>
                <w:szCs w:val="18"/>
              </w:rPr>
              <w:t>0 (5)</w:t>
            </w:r>
          </w:p>
        </w:tc>
      </w:tr>
      <w:tr w:rsidR="00266261" w:rsidRPr="00EB1427" w14:paraId="66848CF6" w14:textId="77777777" w:rsidTr="00734085">
        <w:tc>
          <w:tcPr>
            <w:tcW w:w="6237" w:type="dxa"/>
            <w:tcBorders>
              <w:top w:val="single" w:sz="2" w:space="0" w:color="F6BB00"/>
              <w:bottom w:val="single" w:sz="2" w:space="0" w:color="F6BB00"/>
            </w:tcBorders>
            <w:vAlign w:val="center"/>
          </w:tcPr>
          <w:p w14:paraId="5BF62F69" w14:textId="77777777" w:rsidR="00266261" w:rsidRPr="00E81E69" w:rsidRDefault="00266261" w:rsidP="00266261">
            <w:pPr>
              <w:spacing w:after="0" w:line="240" w:lineRule="auto"/>
              <w:jc w:val="left"/>
              <w:rPr>
                <w:sz w:val="18"/>
                <w:szCs w:val="18"/>
              </w:rPr>
            </w:pPr>
            <w:r w:rsidRPr="00E81E69">
              <w:rPr>
                <w:sz w:val="18"/>
                <w:szCs w:val="18"/>
              </w:rPr>
              <w:t>Łóżka na oddziałach specjalistycznych (kardiologicznym, kardiochirurgicznym, onkologicznym, psychiatrycznym, dla przewlekle chorych) na 10 tys. ludności</w:t>
            </w:r>
          </w:p>
        </w:tc>
        <w:tc>
          <w:tcPr>
            <w:tcW w:w="850" w:type="dxa"/>
            <w:tcBorders>
              <w:top w:val="single" w:sz="2" w:space="0" w:color="F6BB00"/>
              <w:bottom w:val="single" w:sz="2" w:space="0" w:color="F6BB00"/>
            </w:tcBorders>
            <w:vAlign w:val="center"/>
          </w:tcPr>
          <w:p w14:paraId="0E85A4B7" w14:textId="77777777" w:rsidR="00266261" w:rsidRPr="004E02D5" w:rsidRDefault="00266261" w:rsidP="00734085">
            <w:pPr>
              <w:spacing w:after="0" w:line="240" w:lineRule="auto"/>
              <w:jc w:val="right"/>
              <w:rPr>
                <w:b/>
                <w:color w:val="00B050"/>
                <w:szCs w:val="22"/>
              </w:rPr>
            </w:pPr>
            <w:r w:rsidRPr="00D01435">
              <w:rPr>
                <w:b/>
                <w:color w:val="FF0000"/>
                <w:szCs w:val="22"/>
              </w:rPr>
              <w:t>↓</w:t>
            </w:r>
          </w:p>
        </w:tc>
        <w:tc>
          <w:tcPr>
            <w:tcW w:w="567" w:type="dxa"/>
            <w:tcBorders>
              <w:top w:val="single" w:sz="2" w:space="0" w:color="F6BB00"/>
              <w:bottom w:val="single" w:sz="2" w:space="0" w:color="F6BB00"/>
            </w:tcBorders>
            <w:vAlign w:val="center"/>
          </w:tcPr>
          <w:p w14:paraId="380CC497" w14:textId="77777777" w:rsidR="00266261" w:rsidRPr="00D01435" w:rsidRDefault="00266261" w:rsidP="00266261">
            <w:pPr>
              <w:spacing w:after="0" w:line="240" w:lineRule="auto"/>
              <w:jc w:val="center"/>
              <w:rPr>
                <w:b/>
                <w:color w:val="FF0000"/>
                <w:sz w:val="18"/>
                <w:szCs w:val="18"/>
              </w:rPr>
            </w:pPr>
            <w:r w:rsidRPr="00D01435">
              <w:rPr>
                <w:b/>
                <w:color w:val="FF0000"/>
                <w:sz w:val="18"/>
                <w:szCs w:val="18"/>
              </w:rPr>
              <w:t>(16)</w:t>
            </w:r>
          </w:p>
        </w:tc>
        <w:tc>
          <w:tcPr>
            <w:tcW w:w="1278" w:type="dxa"/>
            <w:gridSpan w:val="2"/>
            <w:tcBorders>
              <w:top w:val="single" w:sz="2" w:space="0" w:color="F6BB00"/>
              <w:bottom w:val="single" w:sz="2" w:space="0" w:color="F6BB00"/>
            </w:tcBorders>
            <w:vAlign w:val="center"/>
          </w:tcPr>
          <w:p w14:paraId="5CDEB2F7" w14:textId="29F30979" w:rsidR="00266261" w:rsidRPr="00D01435" w:rsidRDefault="00266261" w:rsidP="00266261">
            <w:pPr>
              <w:spacing w:after="0" w:line="240" w:lineRule="auto"/>
              <w:jc w:val="center"/>
              <w:rPr>
                <w:b/>
                <w:color w:val="FF0000"/>
                <w:sz w:val="18"/>
                <w:szCs w:val="18"/>
              </w:rPr>
            </w:pPr>
            <w:r w:rsidRPr="00D01435">
              <w:rPr>
                <w:b/>
                <w:color w:val="FF0000"/>
                <w:sz w:val="18"/>
                <w:szCs w:val="18"/>
              </w:rPr>
              <w:t>-3</w:t>
            </w:r>
            <w:r w:rsidR="00D01435">
              <w:rPr>
                <w:b/>
                <w:color w:val="FF0000"/>
                <w:sz w:val="18"/>
                <w:szCs w:val="18"/>
              </w:rPr>
              <w:t xml:space="preserve"> (14) (dane za 2016</w:t>
            </w:r>
            <w:r w:rsidRPr="00D01435">
              <w:rPr>
                <w:b/>
                <w:color w:val="FF0000"/>
                <w:sz w:val="18"/>
                <w:szCs w:val="18"/>
              </w:rPr>
              <w:t>)</w:t>
            </w:r>
          </w:p>
        </w:tc>
      </w:tr>
      <w:tr w:rsidR="00266261" w:rsidRPr="00EB1427" w14:paraId="70A7C774" w14:textId="77777777" w:rsidTr="00734085">
        <w:tc>
          <w:tcPr>
            <w:tcW w:w="6237" w:type="dxa"/>
            <w:tcBorders>
              <w:top w:val="single" w:sz="2" w:space="0" w:color="F6BB00"/>
              <w:bottom w:val="single" w:sz="2" w:space="0" w:color="F6BB00"/>
            </w:tcBorders>
            <w:shd w:val="clear" w:color="auto" w:fill="F6BB00"/>
            <w:vAlign w:val="center"/>
          </w:tcPr>
          <w:p w14:paraId="64B01BE8" w14:textId="77777777" w:rsidR="00266261" w:rsidRPr="00EB1427" w:rsidRDefault="00266261" w:rsidP="00266261">
            <w:pPr>
              <w:spacing w:after="0" w:line="240" w:lineRule="auto"/>
              <w:jc w:val="left"/>
              <w:rPr>
                <w:sz w:val="18"/>
                <w:szCs w:val="18"/>
              </w:rPr>
            </w:pPr>
            <w:r w:rsidRPr="00AB5EAA">
              <w:rPr>
                <w:sz w:val="18"/>
                <w:szCs w:val="18"/>
              </w:rPr>
              <w:t>Cel strategiczny 9. Wzrost bezpieczeństwa i sprawności zarządzania regionem</w:t>
            </w:r>
          </w:p>
        </w:tc>
        <w:tc>
          <w:tcPr>
            <w:tcW w:w="850" w:type="dxa"/>
            <w:tcBorders>
              <w:top w:val="single" w:sz="2" w:space="0" w:color="F6BB00"/>
              <w:bottom w:val="single" w:sz="2" w:space="0" w:color="F6BB00"/>
            </w:tcBorders>
            <w:shd w:val="clear" w:color="auto" w:fill="F6BB00"/>
            <w:vAlign w:val="center"/>
          </w:tcPr>
          <w:p w14:paraId="532B73DD" w14:textId="77777777" w:rsidR="00266261" w:rsidRPr="00942877" w:rsidRDefault="00266261" w:rsidP="00266261">
            <w:pPr>
              <w:spacing w:after="0" w:line="240" w:lineRule="auto"/>
              <w:jc w:val="center"/>
              <w:rPr>
                <w:b/>
                <w:color w:val="FF0000"/>
                <w:szCs w:val="22"/>
              </w:rPr>
            </w:pPr>
          </w:p>
        </w:tc>
        <w:tc>
          <w:tcPr>
            <w:tcW w:w="567" w:type="dxa"/>
            <w:tcBorders>
              <w:top w:val="single" w:sz="2" w:space="0" w:color="F6BB00"/>
              <w:bottom w:val="single" w:sz="2" w:space="0" w:color="F6BB00"/>
            </w:tcBorders>
            <w:shd w:val="clear" w:color="auto" w:fill="F6BB00"/>
            <w:vAlign w:val="center"/>
          </w:tcPr>
          <w:p w14:paraId="4508C44B" w14:textId="77777777" w:rsidR="00266261" w:rsidRPr="008B2D2C" w:rsidRDefault="00266261" w:rsidP="00266261">
            <w:pPr>
              <w:spacing w:after="0" w:line="240" w:lineRule="auto"/>
              <w:jc w:val="center"/>
              <w:rPr>
                <w:b/>
                <w:color w:val="FF0000"/>
                <w:sz w:val="18"/>
                <w:szCs w:val="18"/>
              </w:rPr>
            </w:pPr>
          </w:p>
        </w:tc>
        <w:tc>
          <w:tcPr>
            <w:tcW w:w="1278" w:type="dxa"/>
            <w:gridSpan w:val="2"/>
            <w:tcBorders>
              <w:top w:val="single" w:sz="2" w:space="0" w:color="F6BB00"/>
              <w:bottom w:val="single" w:sz="2" w:space="0" w:color="F6BB00"/>
            </w:tcBorders>
            <w:shd w:val="clear" w:color="auto" w:fill="F6BB00"/>
            <w:vAlign w:val="center"/>
          </w:tcPr>
          <w:p w14:paraId="7C5F575F" w14:textId="77777777" w:rsidR="00266261" w:rsidRPr="0057408C" w:rsidRDefault="00266261" w:rsidP="00266261">
            <w:pPr>
              <w:spacing w:after="0" w:line="240" w:lineRule="auto"/>
              <w:jc w:val="center"/>
              <w:rPr>
                <w:b/>
                <w:sz w:val="18"/>
                <w:szCs w:val="18"/>
              </w:rPr>
            </w:pPr>
          </w:p>
        </w:tc>
      </w:tr>
      <w:tr w:rsidR="00266261" w:rsidRPr="00EB1427" w14:paraId="20B0BF8F" w14:textId="77777777" w:rsidTr="00734085">
        <w:tc>
          <w:tcPr>
            <w:tcW w:w="6237" w:type="dxa"/>
            <w:tcBorders>
              <w:top w:val="single" w:sz="2" w:space="0" w:color="F6BB00"/>
              <w:bottom w:val="single" w:sz="2" w:space="0" w:color="F6BB00"/>
            </w:tcBorders>
            <w:vAlign w:val="center"/>
          </w:tcPr>
          <w:p w14:paraId="6F9B955D" w14:textId="77777777" w:rsidR="00266261" w:rsidRPr="00942877" w:rsidRDefault="00266261" w:rsidP="00266261">
            <w:pPr>
              <w:spacing w:after="0" w:line="240" w:lineRule="auto"/>
              <w:jc w:val="left"/>
              <w:rPr>
                <w:sz w:val="18"/>
                <w:szCs w:val="18"/>
              </w:rPr>
            </w:pPr>
            <w:r w:rsidRPr="0080448F">
              <w:rPr>
                <w:sz w:val="18"/>
                <w:szCs w:val="18"/>
              </w:rPr>
              <w:t>Nowo zarejestrowane fundacje, stowarzyszenia, organizacje społeczne w rejestrze REGON na 10 tys.</w:t>
            </w:r>
            <w:r>
              <w:rPr>
                <w:sz w:val="18"/>
                <w:szCs w:val="18"/>
              </w:rPr>
              <w:t xml:space="preserve"> </w:t>
            </w:r>
            <w:r w:rsidRPr="0080448F">
              <w:rPr>
                <w:sz w:val="18"/>
                <w:szCs w:val="18"/>
              </w:rPr>
              <w:t>ludności</w:t>
            </w:r>
          </w:p>
        </w:tc>
        <w:tc>
          <w:tcPr>
            <w:tcW w:w="850" w:type="dxa"/>
            <w:tcBorders>
              <w:top w:val="single" w:sz="2" w:space="0" w:color="F6BB00"/>
              <w:bottom w:val="single" w:sz="2" w:space="0" w:color="F6BB00"/>
            </w:tcBorders>
            <w:vAlign w:val="center"/>
          </w:tcPr>
          <w:p w14:paraId="3EBE041A" w14:textId="77777777" w:rsidR="00266261" w:rsidRPr="004E02D5" w:rsidRDefault="00266261" w:rsidP="00734085">
            <w:pPr>
              <w:spacing w:after="0" w:line="240" w:lineRule="auto"/>
              <w:jc w:val="right"/>
              <w:rPr>
                <w:b/>
                <w:color w:val="00B050"/>
                <w:szCs w:val="22"/>
              </w:rPr>
            </w:pPr>
            <w:r w:rsidRPr="004E02D5">
              <w:rPr>
                <w:b/>
                <w:color w:val="00B050"/>
                <w:szCs w:val="22"/>
              </w:rPr>
              <w:t>↑</w:t>
            </w:r>
          </w:p>
        </w:tc>
        <w:tc>
          <w:tcPr>
            <w:tcW w:w="567" w:type="dxa"/>
            <w:tcBorders>
              <w:top w:val="single" w:sz="2" w:space="0" w:color="F6BB00"/>
              <w:bottom w:val="single" w:sz="2" w:space="0" w:color="F6BB00"/>
            </w:tcBorders>
            <w:vAlign w:val="center"/>
          </w:tcPr>
          <w:p w14:paraId="1AB021E7" w14:textId="77777777" w:rsidR="00266261" w:rsidRPr="004E02D5" w:rsidRDefault="00266261" w:rsidP="00266261">
            <w:pPr>
              <w:spacing w:after="0" w:line="240" w:lineRule="auto"/>
              <w:jc w:val="center"/>
              <w:rPr>
                <w:b/>
                <w:color w:val="00B050"/>
                <w:sz w:val="18"/>
                <w:szCs w:val="18"/>
              </w:rPr>
            </w:pPr>
            <w:r w:rsidRPr="004E02D5">
              <w:rPr>
                <w:b/>
                <w:color w:val="00B050"/>
                <w:sz w:val="18"/>
                <w:szCs w:val="18"/>
              </w:rPr>
              <w:t>(6)</w:t>
            </w:r>
          </w:p>
        </w:tc>
        <w:tc>
          <w:tcPr>
            <w:tcW w:w="1278" w:type="dxa"/>
            <w:gridSpan w:val="2"/>
            <w:tcBorders>
              <w:top w:val="single" w:sz="2" w:space="0" w:color="F6BB00"/>
              <w:bottom w:val="single" w:sz="2" w:space="0" w:color="F6BB00"/>
            </w:tcBorders>
            <w:vAlign w:val="center"/>
          </w:tcPr>
          <w:p w14:paraId="72116731" w14:textId="77777777" w:rsidR="00266261" w:rsidRPr="0057408C" w:rsidRDefault="00266261" w:rsidP="00266261">
            <w:pPr>
              <w:spacing w:after="0" w:line="240" w:lineRule="auto"/>
              <w:jc w:val="center"/>
              <w:rPr>
                <w:b/>
                <w:sz w:val="18"/>
                <w:szCs w:val="18"/>
              </w:rPr>
            </w:pPr>
            <w:r w:rsidRPr="0057408C">
              <w:rPr>
                <w:b/>
                <w:sz w:val="18"/>
                <w:szCs w:val="18"/>
              </w:rPr>
              <w:t>0 (6)</w:t>
            </w:r>
          </w:p>
        </w:tc>
      </w:tr>
      <w:tr w:rsidR="00266261" w:rsidRPr="00EB1427" w14:paraId="40240A9A" w14:textId="77777777" w:rsidTr="00734085">
        <w:tc>
          <w:tcPr>
            <w:tcW w:w="6237" w:type="dxa"/>
            <w:tcBorders>
              <w:top w:val="single" w:sz="2" w:space="0" w:color="F6BB00"/>
              <w:bottom w:val="single" w:sz="2" w:space="0" w:color="F6BB00"/>
            </w:tcBorders>
            <w:vAlign w:val="center"/>
          </w:tcPr>
          <w:p w14:paraId="37B1950F" w14:textId="77777777" w:rsidR="00266261" w:rsidRPr="00942877" w:rsidRDefault="00266261" w:rsidP="00266261">
            <w:pPr>
              <w:spacing w:after="0" w:line="240" w:lineRule="auto"/>
              <w:jc w:val="left"/>
              <w:rPr>
                <w:sz w:val="18"/>
                <w:szCs w:val="18"/>
              </w:rPr>
            </w:pPr>
            <w:r w:rsidRPr="0080448F">
              <w:rPr>
                <w:sz w:val="18"/>
                <w:szCs w:val="18"/>
              </w:rPr>
              <w:t>Udział dochodów JST na finansowanie i współfinansowanie programów i projektów unijnych w</w:t>
            </w:r>
            <w:r>
              <w:rPr>
                <w:sz w:val="18"/>
                <w:szCs w:val="18"/>
              </w:rPr>
              <w:t xml:space="preserve"> </w:t>
            </w:r>
            <w:r w:rsidRPr="0080448F">
              <w:rPr>
                <w:sz w:val="18"/>
                <w:szCs w:val="18"/>
              </w:rPr>
              <w:t>dochodach JST ogółem</w:t>
            </w:r>
          </w:p>
        </w:tc>
        <w:tc>
          <w:tcPr>
            <w:tcW w:w="850" w:type="dxa"/>
            <w:tcBorders>
              <w:top w:val="single" w:sz="2" w:space="0" w:color="F6BB00"/>
              <w:bottom w:val="single" w:sz="2" w:space="0" w:color="F6BB00"/>
            </w:tcBorders>
            <w:vAlign w:val="center"/>
          </w:tcPr>
          <w:p w14:paraId="32B03E8F" w14:textId="77777777" w:rsidR="00266261" w:rsidRPr="0096140A" w:rsidRDefault="00266261" w:rsidP="00734085">
            <w:pPr>
              <w:spacing w:after="0" w:line="240" w:lineRule="auto"/>
              <w:jc w:val="right"/>
              <w:rPr>
                <w:b/>
                <w:color w:val="FF0000"/>
                <w:szCs w:val="22"/>
              </w:rPr>
            </w:pPr>
            <w:r w:rsidRPr="0096140A">
              <w:rPr>
                <w:b/>
                <w:color w:val="FF0000"/>
                <w:szCs w:val="22"/>
              </w:rPr>
              <w:t>↓</w:t>
            </w:r>
          </w:p>
        </w:tc>
        <w:tc>
          <w:tcPr>
            <w:tcW w:w="567" w:type="dxa"/>
            <w:tcBorders>
              <w:top w:val="single" w:sz="2" w:space="0" w:color="F6BB00"/>
              <w:bottom w:val="single" w:sz="2" w:space="0" w:color="F6BB00"/>
            </w:tcBorders>
            <w:vAlign w:val="center"/>
          </w:tcPr>
          <w:p w14:paraId="2E5CD32F" w14:textId="77777777" w:rsidR="00266261" w:rsidRPr="0096140A" w:rsidRDefault="00266261" w:rsidP="00266261">
            <w:pPr>
              <w:spacing w:after="0" w:line="240" w:lineRule="auto"/>
              <w:jc w:val="center"/>
              <w:rPr>
                <w:b/>
                <w:color w:val="FF0000"/>
                <w:sz w:val="18"/>
                <w:szCs w:val="18"/>
              </w:rPr>
            </w:pPr>
            <w:r w:rsidRPr="0096140A">
              <w:rPr>
                <w:b/>
                <w:color w:val="FF0000"/>
                <w:sz w:val="18"/>
                <w:szCs w:val="18"/>
              </w:rPr>
              <w:t>(13)</w:t>
            </w:r>
          </w:p>
        </w:tc>
        <w:tc>
          <w:tcPr>
            <w:tcW w:w="1278" w:type="dxa"/>
            <w:gridSpan w:val="2"/>
            <w:tcBorders>
              <w:top w:val="single" w:sz="2" w:space="0" w:color="F6BB00"/>
              <w:bottom w:val="single" w:sz="2" w:space="0" w:color="F6BB00"/>
            </w:tcBorders>
            <w:vAlign w:val="center"/>
          </w:tcPr>
          <w:p w14:paraId="3A1E86BE" w14:textId="77777777" w:rsidR="00266261" w:rsidRPr="0057408C" w:rsidRDefault="00266261" w:rsidP="00266261">
            <w:pPr>
              <w:spacing w:after="0" w:line="240" w:lineRule="auto"/>
              <w:jc w:val="center"/>
              <w:rPr>
                <w:b/>
                <w:color w:val="FF0000"/>
                <w:sz w:val="18"/>
                <w:szCs w:val="18"/>
              </w:rPr>
            </w:pPr>
            <w:r w:rsidRPr="0057408C">
              <w:rPr>
                <w:b/>
                <w:color w:val="FF0000"/>
                <w:sz w:val="18"/>
                <w:szCs w:val="18"/>
              </w:rPr>
              <w:t>-1 (15)</w:t>
            </w:r>
          </w:p>
        </w:tc>
      </w:tr>
      <w:tr w:rsidR="00266261" w:rsidRPr="00EB1427" w14:paraId="26770784" w14:textId="77777777" w:rsidTr="00734085">
        <w:tc>
          <w:tcPr>
            <w:tcW w:w="6237" w:type="dxa"/>
            <w:tcBorders>
              <w:top w:val="single" w:sz="2" w:space="0" w:color="F6BB00"/>
              <w:bottom w:val="single" w:sz="2" w:space="0" w:color="F6BB00"/>
            </w:tcBorders>
            <w:vAlign w:val="center"/>
          </w:tcPr>
          <w:p w14:paraId="41B79F25" w14:textId="77777777" w:rsidR="00266261" w:rsidRPr="00942877" w:rsidRDefault="00266261" w:rsidP="00266261">
            <w:pPr>
              <w:spacing w:after="0" w:line="240" w:lineRule="auto"/>
              <w:jc w:val="left"/>
              <w:rPr>
                <w:sz w:val="18"/>
                <w:szCs w:val="18"/>
              </w:rPr>
            </w:pPr>
            <w:r w:rsidRPr="0080448F">
              <w:rPr>
                <w:sz w:val="18"/>
                <w:szCs w:val="18"/>
              </w:rPr>
              <w:t>Wskaźnik wykrywalności sprawców przestępstw stwierdzonych przez Policję</w:t>
            </w:r>
          </w:p>
        </w:tc>
        <w:tc>
          <w:tcPr>
            <w:tcW w:w="850" w:type="dxa"/>
            <w:tcBorders>
              <w:top w:val="single" w:sz="2" w:space="0" w:color="F6BB00"/>
              <w:bottom w:val="single" w:sz="2" w:space="0" w:color="F6BB00"/>
            </w:tcBorders>
            <w:vAlign w:val="center"/>
          </w:tcPr>
          <w:p w14:paraId="3C61292E" w14:textId="77777777" w:rsidR="00266261" w:rsidRPr="0096140A" w:rsidRDefault="00266261" w:rsidP="00734085">
            <w:pPr>
              <w:spacing w:after="0" w:line="240" w:lineRule="auto"/>
              <w:jc w:val="right"/>
              <w:rPr>
                <w:b/>
                <w:color w:val="FF0000"/>
                <w:szCs w:val="22"/>
              </w:rPr>
            </w:pPr>
            <w:r w:rsidRPr="0096140A">
              <w:rPr>
                <w:b/>
                <w:color w:val="FF0000"/>
                <w:szCs w:val="22"/>
              </w:rPr>
              <w:t>↓</w:t>
            </w:r>
          </w:p>
        </w:tc>
        <w:tc>
          <w:tcPr>
            <w:tcW w:w="567" w:type="dxa"/>
            <w:tcBorders>
              <w:top w:val="single" w:sz="2" w:space="0" w:color="F6BB00"/>
              <w:bottom w:val="single" w:sz="2" w:space="0" w:color="F6BB00"/>
            </w:tcBorders>
            <w:vAlign w:val="center"/>
          </w:tcPr>
          <w:p w14:paraId="7675A246" w14:textId="77777777" w:rsidR="00266261" w:rsidRPr="0096140A" w:rsidRDefault="00266261" w:rsidP="00266261">
            <w:pPr>
              <w:spacing w:after="0" w:line="240" w:lineRule="auto"/>
              <w:jc w:val="center"/>
              <w:rPr>
                <w:b/>
                <w:color w:val="FF0000"/>
                <w:sz w:val="18"/>
                <w:szCs w:val="18"/>
              </w:rPr>
            </w:pPr>
            <w:r w:rsidRPr="0096140A">
              <w:rPr>
                <w:b/>
                <w:color w:val="FF0000"/>
                <w:sz w:val="18"/>
                <w:szCs w:val="18"/>
              </w:rPr>
              <w:t>(12)</w:t>
            </w:r>
          </w:p>
        </w:tc>
        <w:tc>
          <w:tcPr>
            <w:tcW w:w="1278" w:type="dxa"/>
            <w:gridSpan w:val="2"/>
            <w:tcBorders>
              <w:top w:val="single" w:sz="2" w:space="0" w:color="F6BB00"/>
              <w:bottom w:val="single" w:sz="2" w:space="0" w:color="F6BB00"/>
            </w:tcBorders>
            <w:vAlign w:val="center"/>
          </w:tcPr>
          <w:p w14:paraId="19DF4C18" w14:textId="77777777" w:rsidR="00266261" w:rsidRPr="0057408C" w:rsidRDefault="00266261" w:rsidP="00266261">
            <w:pPr>
              <w:spacing w:after="0" w:line="240" w:lineRule="auto"/>
              <w:jc w:val="center"/>
              <w:rPr>
                <w:b/>
                <w:color w:val="FF0000"/>
                <w:sz w:val="18"/>
                <w:szCs w:val="18"/>
              </w:rPr>
            </w:pPr>
            <w:r w:rsidRPr="0057408C">
              <w:rPr>
                <w:b/>
                <w:color w:val="FF0000"/>
                <w:sz w:val="18"/>
                <w:szCs w:val="18"/>
              </w:rPr>
              <w:t>-3 (6)</w:t>
            </w:r>
          </w:p>
        </w:tc>
      </w:tr>
      <w:tr w:rsidR="00266261" w:rsidRPr="00EB1427" w14:paraId="06EAE231" w14:textId="77777777" w:rsidTr="00734085">
        <w:tc>
          <w:tcPr>
            <w:tcW w:w="6237" w:type="dxa"/>
            <w:tcBorders>
              <w:top w:val="single" w:sz="2" w:space="0" w:color="F6BB00"/>
              <w:bottom w:val="single" w:sz="2" w:space="0" w:color="F6BB00"/>
            </w:tcBorders>
            <w:vAlign w:val="center"/>
          </w:tcPr>
          <w:p w14:paraId="3F6821C7" w14:textId="77777777" w:rsidR="00266261" w:rsidRPr="00942877" w:rsidRDefault="00266261" w:rsidP="00266261">
            <w:pPr>
              <w:spacing w:after="0" w:line="240" w:lineRule="auto"/>
              <w:jc w:val="left"/>
              <w:rPr>
                <w:sz w:val="18"/>
                <w:szCs w:val="18"/>
              </w:rPr>
            </w:pPr>
            <w:r w:rsidRPr="0080448F">
              <w:rPr>
                <w:sz w:val="18"/>
                <w:szCs w:val="18"/>
              </w:rPr>
              <w:t>Ofiary śmiertelne wypadków drogowych na 100 tys. ludności</w:t>
            </w:r>
          </w:p>
        </w:tc>
        <w:tc>
          <w:tcPr>
            <w:tcW w:w="850" w:type="dxa"/>
            <w:tcBorders>
              <w:top w:val="single" w:sz="2" w:space="0" w:color="F6BB00"/>
              <w:bottom w:val="single" w:sz="2" w:space="0" w:color="F6BB00"/>
            </w:tcBorders>
            <w:vAlign w:val="center"/>
          </w:tcPr>
          <w:p w14:paraId="18E4AC6E" w14:textId="77777777" w:rsidR="00266261" w:rsidRPr="0096140A" w:rsidRDefault="00266261" w:rsidP="00734085">
            <w:pPr>
              <w:spacing w:after="0" w:line="240" w:lineRule="auto"/>
              <w:jc w:val="right"/>
              <w:rPr>
                <w:b/>
                <w:color w:val="00B050"/>
                <w:szCs w:val="22"/>
              </w:rPr>
            </w:pPr>
            <w:r w:rsidRPr="0096140A">
              <w:rPr>
                <w:b/>
                <w:color w:val="00B050"/>
                <w:szCs w:val="22"/>
              </w:rPr>
              <w:t>↓</w:t>
            </w:r>
          </w:p>
        </w:tc>
        <w:tc>
          <w:tcPr>
            <w:tcW w:w="567" w:type="dxa"/>
            <w:tcBorders>
              <w:top w:val="single" w:sz="2" w:space="0" w:color="F6BB00"/>
              <w:bottom w:val="single" w:sz="2" w:space="0" w:color="F6BB00"/>
            </w:tcBorders>
            <w:vAlign w:val="center"/>
          </w:tcPr>
          <w:p w14:paraId="17B7C956" w14:textId="77777777" w:rsidR="00266261" w:rsidRPr="0096140A" w:rsidRDefault="00266261" w:rsidP="00266261">
            <w:pPr>
              <w:spacing w:after="0" w:line="240" w:lineRule="auto"/>
              <w:jc w:val="center"/>
              <w:rPr>
                <w:b/>
                <w:color w:val="00B050"/>
                <w:sz w:val="18"/>
                <w:szCs w:val="18"/>
              </w:rPr>
            </w:pPr>
            <w:r w:rsidRPr="0096140A">
              <w:rPr>
                <w:b/>
                <w:color w:val="00B050"/>
                <w:sz w:val="18"/>
                <w:szCs w:val="18"/>
              </w:rPr>
              <w:t>(2)</w:t>
            </w:r>
          </w:p>
        </w:tc>
        <w:tc>
          <w:tcPr>
            <w:tcW w:w="1278" w:type="dxa"/>
            <w:gridSpan w:val="2"/>
            <w:tcBorders>
              <w:top w:val="single" w:sz="2" w:space="0" w:color="F6BB00"/>
              <w:bottom w:val="single" w:sz="2" w:space="0" w:color="F6BB00"/>
            </w:tcBorders>
            <w:vAlign w:val="center"/>
          </w:tcPr>
          <w:p w14:paraId="00B3A5C3" w14:textId="77777777" w:rsidR="00266261" w:rsidRPr="0057408C" w:rsidRDefault="00266261" w:rsidP="00266261">
            <w:pPr>
              <w:spacing w:after="0" w:line="240" w:lineRule="auto"/>
              <w:jc w:val="center"/>
              <w:rPr>
                <w:b/>
                <w:sz w:val="18"/>
                <w:szCs w:val="18"/>
              </w:rPr>
            </w:pPr>
            <w:r w:rsidRPr="0057408C">
              <w:rPr>
                <w:b/>
                <w:color w:val="FF0000"/>
                <w:sz w:val="18"/>
                <w:szCs w:val="18"/>
              </w:rPr>
              <w:t>+4 (5)</w:t>
            </w:r>
          </w:p>
        </w:tc>
      </w:tr>
    </w:tbl>
    <w:p w14:paraId="2E3A514A" w14:textId="4C4729D4" w:rsidR="00486861" w:rsidRPr="00E37F67" w:rsidRDefault="004040CE" w:rsidP="004E6832">
      <w:pPr>
        <w:pStyle w:val="rdo"/>
        <w:rPr>
          <w:sz w:val="16"/>
          <w:lang w:eastAsia="pl-PL"/>
        </w:rPr>
      </w:pPr>
      <w:r w:rsidRPr="00E37F67">
        <w:rPr>
          <w:sz w:val="16"/>
          <w:lang w:eastAsia="pl-PL"/>
        </w:rPr>
        <w:t>*Wskaźniki przedstawiane na poziomie niższym niż NUTS 2 nie uwzględniają rankingów.</w:t>
      </w:r>
      <w:r w:rsidR="00E37F67">
        <w:rPr>
          <w:sz w:val="16"/>
          <w:lang w:eastAsia="pl-PL"/>
        </w:rPr>
        <w:t xml:space="preserve"> Dla tych wskaźników przedstawiana jest % zmiana wartości wskaźnika względem roku bazowego 2012.</w:t>
      </w:r>
    </w:p>
    <w:p w14:paraId="7BF415B0" w14:textId="77777777" w:rsidR="004E6832" w:rsidRPr="00C104C5" w:rsidRDefault="004E6832" w:rsidP="004E6832">
      <w:pPr>
        <w:pStyle w:val="rdo"/>
        <w:rPr>
          <w:lang w:eastAsia="pl-PL"/>
        </w:rPr>
      </w:pPr>
      <w:r w:rsidRPr="001B1B93">
        <w:rPr>
          <w:lang w:eastAsia="pl-PL"/>
        </w:rPr>
        <w:t>Źródło: opracowanie własne na podstawie danych GUS.</w:t>
      </w:r>
    </w:p>
    <w:p w14:paraId="5DF10CDD" w14:textId="77777777" w:rsidR="00CD4FD1" w:rsidRDefault="00CD4FD1" w:rsidP="00CD4FD1">
      <w:pPr>
        <w:pStyle w:val="Nagwek3"/>
      </w:pPr>
      <w:bookmarkStart w:id="88" w:name="_Toc536653125"/>
      <w:bookmarkStart w:id="89" w:name="_Toc1904797"/>
      <w:bookmarkStart w:id="90" w:name="_Toc5699455"/>
      <w:r>
        <w:t>Zasady horyzontalne</w:t>
      </w:r>
      <w:bookmarkEnd w:id="88"/>
      <w:bookmarkEnd w:id="89"/>
      <w:r>
        <w:t xml:space="preserve"> realizacji celów</w:t>
      </w:r>
      <w:bookmarkEnd w:id="90"/>
    </w:p>
    <w:p w14:paraId="03876F8D" w14:textId="325C541A" w:rsidR="00CD4FD1" w:rsidRDefault="00CD4FD1" w:rsidP="00CD4FD1">
      <w:pPr>
        <w:rPr>
          <w:rFonts w:eastAsia="Calibri"/>
        </w:rPr>
      </w:pPr>
      <w:r w:rsidRPr="000A73AC">
        <w:rPr>
          <w:rFonts w:eastAsia="Calibri"/>
        </w:rPr>
        <w:t xml:space="preserve">Realizowane dotychczas przedsięwzięcia </w:t>
      </w:r>
      <w:r>
        <w:rPr>
          <w:rFonts w:eastAsia="Calibri"/>
        </w:rPr>
        <w:t xml:space="preserve">w ramach celów operacyjnych </w:t>
      </w:r>
      <w:r w:rsidRPr="000A73AC">
        <w:rPr>
          <w:rFonts w:eastAsia="Calibri"/>
        </w:rPr>
        <w:t xml:space="preserve">były zgodne z wyznaczonymi w </w:t>
      </w:r>
      <w:r>
        <w:rPr>
          <w:rFonts w:eastAsia="Calibri"/>
        </w:rPr>
        <w:t>SRWW 2020</w:t>
      </w:r>
      <w:r w:rsidRPr="000A73AC">
        <w:rPr>
          <w:rFonts w:eastAsia="Calibri"/>
        </w:rPr>
        <w:t xml:space="preserve"> </w:t>
      </w:r>
      <w:r>
        <w:rPr>
          <w:rFonts w:eastAsia="Calibri"/>
        </w:rPr>
        <w:t>ośmioma zasadami</w:t>
      </w:r>
      <w:r w:rsidRPr="000A73AC">
        <w:rPr>
          <w:rFonts w:eastAsia="Calibri"/>
        </w:rPr>
        <w:t xml:space="preserve"> horyzontalnymi, do których nale</w:t>
      </w:r>
      <w:r>
        <w:rPr>
          <w:rFonts w:eastAsia="Calibri"/>
        </w:rPr>
        <w:t>ż</w:t>
      </w:r>
      <w:r w:rsidRPr="000A73AC">
        <w:rPr>
          <w:rFonts w:eastAsia="Calibri"/>
        </w:rPr>
        <w:t>ą</w:t>
      </w:r>
      <w:r w:rsidR="00124395">
        <w:rPr>
          <w:rFonts w:eastAsia="Calibri"/>
        </w:rPr>
        <w:t xml:space="preserve"> (s. 154-157)</w:t>
      </w:r>
      <w:r w:rsidRPr="000A73AC">
        <w:rPr>
          <w:rFonts w:eastAsia="Calibri"/>
        </w:rPr>
        <w:t xml:space="preserve">: </w:t>
      </w:r>
    </w:p>
    <w:p w14:paraId="7DCF31F6" w14:textId="77777777" w:rsidR="00CD4FD1" w:rsidRPr="00D41C59" w:rsidRDefault="00CD4FD1" w:rsidP="00CD4FD1">
      <w:pPr>
        <w:shd w:val="clear" w:color="auto" w:fill="FFE599"/>
        <w:rPr>
          <w:i/>
          <w:iCs/>
        </w:rPr>
      </w:pPr>
      <w:r w:rsidRPr="00D41C59">
        <w:rPr>
          <w:i/>
          <w:iCs/>
        </w:rPr>
        <w:t xml:space="preserve">ład społeczny, zrównoważony rozwój, społeczeństwo informacyjne, innowacje, równe szanse i włączenie społeczne, współpraca i sieciowanie, edukacja, aktywność obywatelska i srebrny rozwój. </w:t>
      </w:r>
    </w:p>
    <w:p w14:paraId="10BC9DFC" w14:textId="77777777" w:rsidR="00CD4FD1" w:rsidRPr="0033400B" w:rsidRDefault="00CD4FD1" w:rsidP="00CD4FD1">
      <w:pPr>
        <w:rPr>
          <w:b/>
          <w:szCs w:val="22"/>
          <w:lang w:eastAsia="pl-PL"/>
        </w:rPr>
      </w:pPr>
      <w:r w:rsidRPr="000A73AC">
        <w:t>Projekty realizowane z dofinansowaniem UE muszą być monitorowane</w:t>
      </w:r>
      <w:r>
        <w:t>,</w:t>
      </w:r>
      <w:r w:rsidRPr="000A73AC">
        <w:t xml:space="preserve"> w kontekście zgodności z wyznaczonymi za</w:t>
      </w:r>
      <w:r>
        <w:t>sa</w:t>
      </w:r>
      <w:r w:rsidRPr="000A73AC">
        <w:t xml:space="preserve">dami horyzontalnymi. Część z wyznaczonych zasad ma również przełożenie w </w:t>
      </w:r>
      <w:r w:rsidRPr="000A73AC">
        <w:lastRenderedPageBreak/>
        <w:t xml:space="preserve">celach strategicznych i/lub operacyjnych </w:t>
      </w:r>
      <w:r>
        <w:t>SRWW 2020</w:t>
      </w:r>
      <w:r w:rsidRPr="000A73AC">
        <w:t xml:space="preserve"> np. społeczeństwo informacyjne, edukacja, a </w:t>
      </w:r>
      <w:r>
        <w:t>czę</w:t>
      </w:r>
      <w:r w:rsidRPr="000A73AC">
        <w:t>ść stanowi jedynie sposób ich realizacji</w:t>
      </w:r>
      <w:r>
        <w:t xml:space="preserve"> (ład przestrzenny, współpraca i sieciowanie)</w:t>
      </w:r>
      <w:r w:rsidRPr="000A73AC">
        <w:t>.</w:t>
      </w:r>
      <w:r>
        <w:t xml:space="preserve"> Wszystkie wyznaczone </w:t>
      </w:r>
      <w:r w:rsidRPr="018C161B">
        <w:rPr>
          <w:b/>
          <w:bCs/>
        </w:rPr>
        <w:t>c</w:t>
      </w:r>
      <w:r>
        <w:t>ele horyzontalne wpisują się do grupy zasad stosowanych w polityce rozwoju – zrównoważonego rozwoju, partnerstwa i równości szans (</w:t>
      </w:r>
      <w:r w:rsidRPr="00A929EF">
        <w:rPr>
          <w:i/>
        </w:rPr>
        <w:t>Sprawozdanie…,</w:t>
      </w:r>
      <w:r>
        <w:t xml:space="preserve"> 2017).</w:t>
      </w:r>
    </w:p>
    <w:p w14:paraId="2F058A84" w14:textId="77777777" w:rsidR="00CD4FD1" w:rsidRDefault="00CD4FD1" w:rsidP="00CD4FD1">
      <w:pPr>
        <w:rPr>
          <w:lang w:eastAsia="pl-PL"/>
        </w:rPr>
      </w:pPr>
      <w:r>
        <w:rPr>
          <w:lang w:eastAsia="pl-PL"/>
        </w:rPr>
        <w:t>W związku z powyższymi zapisami, należy wyraźniej zaznaczyć w Strategii podział na zasady, które odnoszą się jedynie do realizacji celów oraz te, które stanowią także cele w strukturze hierarchicznej. Warto także wyraźniej podkreślić różnicę między celami horyzontalnymi, a zasadami horyzontalnymi. W poprzedniej SRWW 2020 (z 2005 r.) cele horyzontalne stanowiły to, co w obecnej wskazujemy jako zasady, a cele horyzontalne w aktualnym dokumencie stanowią wszystkie cele operacyjne nie uwzględniające wymiaru terytorialnego. Jednocześnie wydaje się, że celami horyzontalnym są też te, które wskazane są zarówno jako zasady horyzontalne, jak i cele operacyjne.</w:t>
      </w:r>
    </w:p>
    <w:p w14:paraId="029FA5C0" w14:textId="77777777" w:rsidR="00CD4FD1" w:rsidRPr="00CD4FD1" w:rsidRDefault="00CD4FD1" w:rsidP="00BF08D5">
      <w:pPr>
        <w:ind w:left="4536"/>
        <w:jc w:val="left"/>
        <w:rPr>
          <w:b/>
          <w:i/>
          <w:color w:val="001E50"/>
        </w:rPr>
      </w:pPr>
      <w:bookmarkStart w:id="91" w:name="_Toc536653127"/>
      <w:bookmarkStart w:id="92" w:name="_Toc1904799"/>
      <w:r w:rsidRPr="00CD4FD1">
        <w:rPr>
          <w:b/>
          <w:i/>
          <w:color w:val="001E50"/>
        </w:rPr>
        <w:t>Co lepsze: podejście horyzontalne czy hierarchiczne?</w:t>
      </w:r>
      <w:bookmarkEnd w:id="91"/>
      <w:bookmarkEnd w:id="92"/>
    </w:p>
    <w:p w14:paraId="41A66847" w14:textId="2ABF48C4" w:rsidR="00CD4FD1" w:rsidRDefault="00CD4FD1" w:rsidP="000114F2">
      <w:pPr>
        <w:spacing w:after="160" w:line="259" w:lineRule="auto"/>
        <w:rPr>
          <w:szCs w:val="22"/>
        </w:rPr>
      </w:pPr>
      <w:r w:rsidRPr="00F73055">
        <w:rPr>
          <w:szCs w:val="22"/>
          <w:lang w:eastAsia="pl-PL"/>
        </w:rPr>
        <w:t xml:space="preserve">Wszystkie wskazane zasady mają charakter horyzontalny. </w:t>
      </w:r>
      <w:r>
        <w:rPr>
          <w:szCs w:val="22"/>
          <w:lang w:eastAsia="pl-PL"/>
        </w:rPr>
        <w:t xml:space="preserve">Trudno jest </w:t>
      </w:r>
      <w:r w:rsidRPr="00F73055">
        <w:rPr>
          <w:szCs w:val="22"/>
          <w:lang w:eastAsia="pl-PL"/>
        </w:rPr>
        <w:t>wykluczyć lub wskazać zagadnienia jako nieistotne</w:t>
      </w:r>
      <w:r>
        <w:rPr>
          <w:szCs w:val="22"/>
          <w:lang w:eastAsia="pl-PL"/>
        </w:rPr>
        <w:t xml:space="preserve">, czy </w:t>
      </w:r>
      <w:r w:rsidRPr="00F73055">
        <w:rPr>
          <w:szCs w:val="22"/>
          <w:lang w:eastAsia="pl-PL"/>
        </w:rPr>
        <w:t>do pominięcia. Można natomiast wyróżnić te</w:t>
      </w:r>
      <w:r>
        <w:rPr>
          <w:szCs w:val="22"/>
          <w:lang w:eastAsia="pl-PL"/>
        </w:rPr>
        <w:t>,</w:t>
      </w:r>
      <w:r w:rsidRPr="00F73055">
        <w:rPr>
          <w:szCs w:val="22"/>
          <w:lang w:eastAsia="pl-PL"/>
        </w:rPr>
        <w:t xml:space="preserve"> które są istotne, w kontekście obecnie zachodzących i prognozowanych trendów</w:t>
      </w:r>
      <w:r>
        <w:rPr>
          <w:szCs w:val="22"/>
          <w:lang w:eastAsia="pl-PL"/>
        </w:rPr>
        <w:t xml:space="preserve"> (wskazywane i podkreślane w departamentach merytorycznych UM</w:t>
      </w:r>
      <w:r w:rsidR="000B321A">
        <w:rPr>
          <w:szCs w:val="22"/>
          <w:lang w:eastAsia="pl-PL"/>
        </w:rPr>
        <w:t>WW</w:t>
      </w:r>
      <w:r>
        <w:rPr>
          <w:szCs w:val="22"/>
          <w:lang w:eastAsia="pl-PL"/>
        </w:rPr>
        <w:t>)</w:t>
      </w:r>
      <w:r w:rsidRPr="00F73055">
        <w:rPr>
          <w:szCs w:val="22"/>
          <w:lang w:eastAsia="pl-PL"/>
        </w:rPr>
        <w:t>. Należą do nich:</w:t>
      </w:r>
      <w:r w:rsidR="000114F2">
        <w:rPr>
          <w:szCs w:val="22"/>
          <w:lang w:eastAsia="pl-PL"/>
        </w:rPr>
        <w:t xml:space="preserve"> s</w:t>
      </w:r>
      <w:r w:rsidRPr="005536AB">
        <w:rPr>
          <w:szCs w:val="22"/>
        </w:rPr>
        <w:t>rebrny rozwój</w:t>
      </w:r>
      <w:r w:rsidR="000114F2">
        <w:rPr>
          <w:szCs w:val="22"/>
        </w:rPr>
        <w:t xml:space="preserve"> i s</w:t>
      </w:r>
      <w:r w:rsidRPr="005536AB">
        <w:rPr>
          <w:szCs w:val="22"/>
        </w:rPr>
        <w:t>połeczeństwo informacyjne</w:t>
      </w:r>
      <w:r>
        <w:rPr>
          <w:szCs w:val="22"/>
        </w:rPr>
        <w:t>.</w:t>
      </w:r>
    </w:p>
    <w:p w14:paraId="27FB481C" w14:textId="25577CD6" w:rsidR="00CD4FD1" w:rsidRDefault="00CD4FD1" w:rsidP="00CD4FD1">
      <w:pPr>
        <w:spacing w:after="160" w:line="259" w:lineRule="auto"/>
        <w:rPr>
          <w:szCs w:val="22"/>
        </w:rPr>
      </w:pPr>
      <w:r>
        <w:rPr>
          <w:szCs w:val="22"/>
        </w:rPr>
        <w:t>Dwa powyższe cele, choć wielokrotnie wskazywane jako niezwykle</w:t>
      </w:r>
      <w:r w:rsidR="000817E6">
        <w:rPr>
          <w:szCs w:val="22"/>
        </w:rPr>
        <w:t xml:space="preserve"> istotne zagadnienia, w ocenie E</w:t>
      </w:r>
      <w:r>
        <w:rPr>
          <w:szCs w:val="22"/>
        </w:rPr>
        <w:t>waluatorów są właściwie osadzone w części projekcyjnej. Być może w szerszym zakresie należałoby uwzględnić społeczeństwo informacyjne w zagadnieniach związanych z włączeniem społecznym, a także sprawnością administracji, ale takie zapisy mogą znaleźć się także na poziomie działań.</w:t>
      </w:r>
    </w:p>
    <w:p w14:paraId="6E0A1C42" w14:textId="77777777" w:rsidR="00CD4FD1" w:rsidRDefault="00CD4FD1" w:rsidP="00CD4FD1">
      <w:pPr>
        <w:spacing w:after="160" w:line="259" w:lineRule="auto"/>
        <w:rPr>
          <w:szCs w:val="22"/>
        </w:rPr>
      </w:pPr>
      <w:r>
        <w:rPr>
          <w:szCs w:val="22"/>
        </w:rPr>
        <w:t>Biorąc pod uwagę ciągle słabą pozycję Wielkopolski pod względem innowacyjności, wskazane byłoby mocniejsze zaakcentowanie działań w tym zakresie – tym bardziej, że rozważa się także potencjalnie szerszy zakres uwzględniania inteligentnych specjalizacji w Strategii, które są elementem polityki innowacyjnej.</w:t>
      </w:r>
    </w:p>
    <w:p w14:paraId="14EAF1C3" w14:textId="77777777" w:rsidR="00CD4FD1" w:rsidRPr="003D4409" w:rsidRDefault="00CD4FD1" w:rsidP="00CD4FD1">
      <w:pPr>
        <w:spacing w:after="160" w:line="259" w:lineRule="auto"/>
        <w:rPr>
          <w:szCs w:val="22"/>
        </w:rPr>
      </w:pPr>
      <w:r w:rsidRPr="416AC848">
        <w:t>Kwestia współpracy i sieciowania jest także problematycznym zagadnieniem, a jednocześnie niknie w zapisach poszczególnych celów. Jako sama zasada została opisana w dość ogólny sposób. Należy pamiętać, że szeroko rozumiane inicjowanie współpracy i sieci partnerstw to bardzo istotne narzędzie samorządów, sprzyjające osiąganiu celów, których realizacja wynika przede wszystkim z działań podejmowanych przez podmioty zewnętrzne (jest to tzw. sfera poza bezpośrednimi kompetencjami samorządu województwa).</w:t>
      </w:r>
      <w:r w:rsidRPr="416AC848">
        <w:rPr>
          <w:rStyle w:val="Odwoanieprzypisudolnego"/>
        </w:rPr>
        <w:footnoteReference w:id="14"/>
      </w:r>
    </w:p>
    <w:p w14:paraId="14497AF8" w14:textId="77777777" w:rsidR="00CD4FD1" w:rsidRPr="00CD4FD1" w:rsidRDefault="00CD4FD1" w:rsidP="00BF08D5">
      <w:pPr>
        <w:ind w:left="4536"/>
        <w:jc w:val="left"/>
        <w:rPr>
          <w:b/>
          <w:i/>
          <w:color w:val="001E50"/>
        </w:rPr>
      </w:pPr>
      <w:bookmarkStart w:id="93" w:name="_Toc536653128"/>
      <w:bookmarkStart w:id="94" w:name="_Toc1904800"/>
      <w:r w:rsidRPr="00CD4FD1">
        <w:rPr>
          <w:b/>
          <w:i/>
          <w:color w:val="001E50"/>
        </w:rPr>
        <w:t>Cele nie są odrębnymi bytami</w:t>
      </w:r>
      <w:bookmarkEnd w:id="93"/>
      <w:bookmarkEnd w:id="94"/>
    </w:p>
    <w:p w14:paraId="61FF2740" w14:textId="3FBB65B7" w:rsidR="00CD4FD1" w:rsidRDefault="00CD4FD1" w:rsidP="00CD4FD1">
      <w:pPr>
        <w:spacing w:after="160" w:line="259" w:lineRule="auto"/>
        <w:rPr>
          <w:szCs w:val="22"/>
          <w:lang w:eastAsia="pl-PL"/>
        </w:rPr>
      </w:pPr>
      <w:r w:rsidRPr="003F04BF">
        <w:rPr>
          <w:szCs w:val="22"/>
          <w:lang w:eastAsia="pl-PL"/>
        </w:rPr>
        <w:t>Cele wyznaczone w Strategii są</w:t>
      </w:r>
      <w:r>
        <w:rPr>
          <w:szCs w:val="22"/>
          <w:lang w:eastAsia="pl-PL"/>
        </w:rPr>
        <w:t xml:space="preserve"> ze sobą silnie skorelowane i „przenikają się” w różnych wymiarach. Jak zapisano w SRWW 2020 (s. 154):</w:t>
      </w:r>
    </w:p>
    <w:p w14:paraId="1491B412" w14:textId="77777777" w:rsidR="00CD4FD1" w:rsidRPr="003F04BF" w:rsidRDefault="00CD4FD1" w:rsidP="00CD4FD1">
      <w:pPr>
        <w:shd w:val="clear" w:color="auto" w:fill="FFE599"/>
        <w:spacing w:after="160" w:line="259" w:lineRule="auto"/>
        <w:rPr>
          <w:i/>
          <w:szCs w:val="22"/>
          <w:lang w:eastAsia="pl-PL"/>
        </w:rPr>
      </w:pPr>
      <w:r w:rsidRPr="003F04BF">
        <w:rPr>
          <w:i/>
          <w:szCs w:val="22"/>
          <w:lang w:eastAsia="pl-PL"/>
        </w:rPr>
        <w:t>Poszczególne cele tematyczne, strategiczne i operacyjne tworzą spójny i komplementarny system. Oznacza to, iż efekty w jednych dziedzinach generują, bądź wzmacniają efekty w innych. Część kwestii wyłamuje się jednak ze struktury hierarchicznej, bowiem ich osiąganie jest możliwe we wszystkich dziedzinach.</w:t>
      </w:r>
    </w:p>
    <w:p w14:paraId="34B5C6A5" w14:textId="61521D4A" w:rsidR="00CD4FD1" w:rsidRPr="003F04BF" w:rsidRDefault="00CD4FD1" w:rsidP="00CD4FD1">
      <w:pPr>
        <w:spacing w:after="160" w:line="259" w:lineRule="auto"/>
        <w:rPr>
          <w:lang w:eastAsia="pl-PL"/>
        </w:rPr>
      </w:pPr>
      <w:r w:rsidRPr="416AC848">
        <w:rPr>
          <w:lang w:eastAsia="pl-PL"/>
        </w:rPr>
        <w:t xml:space="preserve">Z tego też względu zostały wyznaczone zasady horyzontalne. Jednym z zagadnień, które pojawia się w ramach wielu wyznaczonych interwencji, i które cechuje horyzontalny charakter jest </w:t>
      </w:r>
      <w:r w:rsidRPr="416AC848">
        <w:rPr>
          <w:lang w:eastAsia="pl-PL"/>
        </w:rPr>
        <w:lastRenderedPageBreak/>
        <w:t>dziedzictwo/tożsamość kulturowa.</w:t>
      </w:r>
      <w:r w:rsidRPr="416AC848">
        <w:rPr>
          <w:b/>
          <w:lang w:eastAsia="pl-PL"/>
        </w:rPr>
        <w:t xml:space="preserve"> </w:t>
      </w:r>
      <w:r w:rsidRPr="416AC848">
        <w:rPr>
          <w:lang w:eastAsia="pl-PL"/>
        </w:rPr>
        <w:t xml:space="preserve">Jednocześnie należy zaznaczyć, że temat kultury nie jest wystarczająco uwzględniony w części projekcyjnej SRWW 2020. Odniesienia do dziedzictwa kulturowego i kultury zidentyfikowane zostały w celach 4, 5, 8 i 9. Pośrednio wpisuje się także w cel 1., bowiem ochrona środowiska tj. krajobrazów kulturowych i pomników przyrody również jest tego częścią. </w:t>
      </w:r>
    </w:p>
    <w:p w14:paraId="3C9272F2" w14:textId="20047755" w:rsidR="00BF08D5" w:rsidRDefault="00CD4FD1" w:rsidP="00CD4FD1">
      <w:pPr>
        <w:rPr>
          <w:rFonts w:cstheme="minorHAnsi"/>
        </w:rPr>
      </w:pPr>
      <w:r w:rsidRPr="00273659">
        <w:rPr>
          <w:szCs w:val="22"/>
          <w:lang w:eastAsia="pl-PL"/>
        </w:rPr>
        <w:t>Ponadto na podstawie wywiadów określono także silne powiązanie z celem 6.</w:t>
      </w:r>
      <w:r>
        <w:rPr>
          <w:szCs w:val="22"/>
          <w:lang w:eastAsia="pl-PL"/>
        </w:rPr>
        <w:t xml:space="preserve"> – działania kulturotwórcze wzmacniają potencjał</w:t>
      </w:r>
      <w:r w:rsidRPr="00273659">
        <w:rPr>
          <w:szCs w:val="22"/>
          <w:lang w:eastAsia="pl-PL"/>
        </w:rPr>
        <w:t xml:space="preserve"> gospodarki.</w:t>
      </w:r>
      <w:r>
        <w:rPr>
          <w:szCs w:val="22"/>
          <w:lang w:eastAsia="pl-PL"/>
        </w:rPr>
        <w:t xml:space="preserve"> </w:t>
      </w:r>
      <w:r w:rsidRPr="00273659">
        <w:rPr>
          <w:rFonts w:cstheme="minorHAnsi"/>
        </w:rPr>
        <w:t xml:space="preserve">Należy jednocześnie pamiętać, że kultura jest wyraźnie powiązana z sektorem kreatywnym </w:t>
      </w:r>
      <w:r>
        <w:rPr>
          <w:rFonts w:cstheme="minorHAnsi"/>
        </w:rPr>
        <w:t xml:space="preserve">także </w:t>
      </w:r>
      <w:r w:rsidRPr="00273659">
        <w:rPr>
          <w:rFonts w:cstheme="minorHAnsi"/>
        </w:rPr>
        <w:t>wspieranym w ramach celu 6. W związku z powyższym można rozważyć uwzględnienie zagadnienia tożsamości</w:t>
      </w:r>
      <w:r>
        <w:rPr>
          <w:rFonts w:cstheme="minorHAnsi"/>
        </w:rPr>
        <w:t>/</w:t>
      </w:r>
      <w:r w:rsidRPr="00273659">
        <w:rPr>
          <w:rFonts w:cstheme="minorHAnsi"/>
        </w:rPr>
        <w:t xml:space="preserve">dziedzictwa kulturowego, czy też kultury ogółem w ramach zasad horyzontalnych, ew. przy aktualizacji </w:t>
      </w:r>
      <w:r>
        <w:rPr>
          <w:rFonts w:cstheme="minorHAnsi"/>
        </w:rPr>
        <w:t>SRWW 2020</w:t>
      </w:r>
      <w:r w:rsidRPr="00273659">
        <w:rPr>
          <w:rFonts w:cstheme="minorHAnsi"/>
        </w:rPr>
        <w:t xml:space="preserve"> przywiązać większą wagę do teg</w:t>
      </w:r>
      <w:r w:rsidR="00A82A3B">
        <w:rPr>
          <w:rFonts w:cstheme="minorHAnsi"/>
        </w:rPr>
        <w:t>o obszaru w części projekcyjnej.</w:t>
      </w:r>
    </w:p>
    <w:p w14:paraId="595080EF" w14:textId="77777777" w:rsidR="00BF08D5" w:rsidRDefault="00BF08D5">
      <w:pPr>
        <w:spacing w:after="0" w:line="240" w:lineRule="auto"/>
        <w:jc w:val="left"/>
        <w:rPr>
          <w:rFonts w:cstheme="minorHAnsi"/>
        </w:rPr>
      </w:pPr>
      <w:r>
        <w:rPr>
          <w:rFonts w:cstheme="minorHAnsi"/>
        </w:rPr>
        <w:br w:type="page"/>
      </w:r>
    </w:p>
    <w:p w14:paraId="006F348F" w14:textId="77777777" w:rsidR="00421A25" w:rsidRDefault="00421A25" w:rsidP="00382166">
      <w:pPr>
        <w:pStyle w:val="Nagwek1"/>
      </w:pPr>
      <w:bookmarkStart w:id="95" w:name="_Toc5699456"/>
      <w:r>
        <w:lastRenderedPageBreak/>
        <w:t>Środki na rzecz realizacji Strategii</w:t>
      </w:r>
      <w:bookmarkEnd w:id="95"/>
    </w:p>
    <w:p w14:paraId="453FFC5C" w14:textId="77777777" w:rsidR="00421A25" w:rsidRDefault="001F37B3" w:rsidP="001F37B3">
      <w:pPr>
        <w:pStyle w:val="Nagwek2"/>
      </w:pPr>
      <w:bookmarkStart w:id="96" w:name="_Toc536653136"/>
      <w:bookmarkStart w:id="97" w:name="_Toc1904807"/>
      <w:bookmarkStart w:id="98" w:name="_Toc5699457"/>
      <w:r>
        <w:t>Środki f</w:t>
      </w:r>
      <w:r w:rsidR="00421A25">
        <w:t>inans</w:t>
      </w:r>
      <w:r>
        <w:t>owe</w:t>
      </w:r>
      <w:r w:rsidR="00421A25">
        <w:t xml:space="preserve"> prorozwojowe</w:t>
      </w:r>
      <w:bookmarkEnd w:id="96"/>
      <w:bookmarkEnd w:id="97"/>
      <w:bookmarkEnd w:id="98"/>
    </w:p>
    <w:p w14:paraId="42C127EB" w14:textId="77777777" w:rsidR="00421A25" w:rsidRPr="00CD4FD1" w:rsidRDefault="00421A25" w:rsidP="00BF08D5">
      <w:pPr>
        <w:ind w:left="4536"/>
        <w:jc w:val="left"/>
        <w:rPr>
          <w:b/>
          <w:i/>
          <w:color w:val="001E50"/>
        </w:rPr>
      </w:pPr>
      <w:r>
        <w:rPr>
          <w:b/>
          <w:i/>
          <w:color w:val="001E50"/>
        </w:rPr>
        <w:t>Nie wszystkie działania samorządu można zakwalifikować do prorozwojowych…</w:t>
      </w:r>
    </w:p>
    <w:p w14:paraId="07254727" w14:textId="37CED7E4" w:rsidR="00421A25" w:rsidRDefault="00421A25" w:rsidP="00421A25">
      <w:pPr>
        <w:rPr>
          <w:rFonts w:eastAsia="Calibri"/>
        </w:rPr>
      </w:pPr>
      <w:r w:rsidRPr="007A1E55">
        <w:rPr>
          <w:rFonts w:eastAsia="Calibri"/>
        </w:rPr>
        <w:t>Istnieje wiele propozycji klasyfikacji wydatków publicznych, które stanowią podstawę badań nad ich wpływem na rozwój gospodarczy. W Polsce „</w:t>
      </w:r>
      <w:r w:rsidRPr="001B2B15">
        <w:rPr>
          <w:rFonts w:eastAsia="Calibri"/>
        </w:rPr>
        <w:t>w sprawozdawczości budżetowej</w:t>
      </w:r>
      <w:r w:rsidRPr="007A1E55">
        <w:rPr>
          <w:rFonts w:eastAsia="Calibri"/>
        </w:rPr>
        <w:t xml:space="preserve"> w układzie zarówno tradycyjnym, jak też zadaniowym </w:t>
      </w:r>
      <w:r w:rsidRPr="001B2B15">
        <w:rPr>
          <w:rFonts w:eastAsia="Calibri"/>
        </w:rPr>
        <w:t>nie wyodrębniono kategorii wydatków rozwojowych</w:t>
      </w:r>
      <w:r w:rsidRPr="007A1E55">
        <w:rPr>
          <w:rFonts w:eastAsia="Calibri"/>
        </w:rPr>
        <w:t>” (Moździerz 2016, s. 36). Część środków finansowych wydawanych przez samorząd i ujmowanych w klasyfikacji budżetowej stanowi</w:t>
      </w:r>
      <w:r w:rsidR="009809B6">
        <w:rPr>
          <w:rFonts w:eastAsia="Calibri"/>
        </w:rPr>
        <w:t>ą</w:t>
      </w:r>
      <w:r w:rsidRPr="007A1E55">
        <w:rPr>
          <w:rFonts w:eastAsia="Calibri"/>
        </w:rPr>
        <w:t xml:space="preserve"> wydatki ponoszone na rzecz rozwoju</w:t>
      </w:r>
      <w:r>
        <w:rPr>
          <w:rFonts w:eastAsia="Calibri"/>
        </w:rPr>
        <w:t>. Z</w:t>
      </w:r>
      <w:r w:rsidRPr="007A1E55">
        <w:rPr>
          <w:rFonts w:eastAsia="Calibri"/>
        </w:rPr>
        <w:t>licz</w:t>
      </w:r>
      <w:r>
        <w:rPr>
          <w:rFonts w:eastAsia="Calibri"/>
        </w:rPr>
        <w:t xml:space="preserve">enie wartości </w:t>
      </w:r>
      <w:r w:rsidRPr="007A1E55">
        <w:rPr>
          <w:rFonts w:eastAsia="Calibri"/>
        </w:rPr>
        <w:t>środków przeznaczanych na ten cel</w:t>
      </w:r>
      <w:r>
        <w:rPr>
          <w:rFonts w:eastAsia="Calibri"/>
        </w:rPr>
        <w:t xml:space="preserve"> wymaga </w:t>
      </w:r>
      <w:r w:rsidRPr="007A1E55">
        <w:rPr>
          <w:rFonts w:eastAsia="Calibri"/>
        </w:rPr>
        <w:t>zaklasyfikowa</w:t>
      </w:r>
      <w:r>
        <w:rPr>
          <w:rFonts w:eastAsia="Calibri"/>
        </w:rPr>
        <w:t>nia</w:t>
      </w:r>
      <w:r w:rsidRPr="007A1E55">
        <w:rPr>
          <w:rFonts w:eastAsia="Calibri"/>
        </w:rPr>
        <w:t xml:space="preserve"> poszczególn</w:t>
      </w:r>
      <w:r>
        <w:rPr>
          <w:rFonts w:eastAsia="Calibri"/>
        </w:rPr>
        <w:t>ych</w:t>
      </w:r>
      <w:r w:rsidRPr="007A1E55">
        <w:rPr>
          <w:rFonts w:eastAsia="Calibri"/>
        </w:rPr>
        <w:t xml:space="preserve"> paragraf</w:t>
      </w:r>
      <w:r>
        <w:rPr>
          <w:rFonts w:eastAsia="Calibri"/>
        </w:rPr>
        <w:t>ów</w:t>
      </w:r>
      <w:r w:rsidRPr="007A1E55">
        <w:rPr>
          <w:rFonts w:eastAsia="Calibri"/>
        </w:rPr>
        <w:t xml:space="preserve"> klasyfikacji budżetowej do </w:t>
      </w:r>
      <w:r>
        <w:rPr>
          <w:rFonts w:eastAsia="Calibri"/>
        </w:rPr>
        <w:t xml:space="preserve">konkretnych </w:t>
      </w:r>
      <w:r w:rsidRPr="007A1E55">
        <w:rPr>
          <w:rFonts w:eastAsia="Calibri"/>
        </w:rPr>
        <w:t xml:space="preserve">grup czy kategorii ekonomicznych, na jakie dzielą się wydatki rozwojowe. Kwestią problemową przy sumowaniu wydatków rozwojowych oznaczanych poszczególnymi paragrafami jest niekiedy zbyt mała szczegółowość, np. nieuwzględnianie typu beneficjentów w klasyfikacji budżetowej. </w:t>
      </w:r>
      <w:r>
        <w:rPr>
          <w:rFonts w:eastAsia="Calibri"/>
        </w:rPr>
        <w:t>Problemem jest</w:t>
      </w:r>
      <w:r w:rsidRPr="007A1E55">
        <w:rPr>
          <w:rFonts w:eastAsia="Calibri"/>
        </w:rPr>
        <w:t xml:space="preserve"> także </w:t>
      </w:r>
      <w:r>
        <w:rPr>
          <w:rFonts w:eastAsia="Calibri"/>
        </w:rPr>
        <w:t>brak wyróżnienia rozdziałów służących</w:t>
      </w:r>
      <w:r w:rsidRPr="007A1E55">
        <w:rPr>
          <w:rFonts w:eastAsia="Calibri"/>
        </w:rPr>
        <w:t xml:space="preserve"> ewidencji środków finansowych wydanych na niektóre zadania, np. rozwój cyfryzacji oraz </w:t>
      </w:r>
      <w:r>
        <w:rPr>
          <w:rFonts w:eastAsia="Calibri"/>
        </w:rPr>
        <w:t>brak</w:t>
      </w:r>
      <w:r w:rsidRPr="007A1E55">
        <w:rPr>
          <w:rFonts w:eastAsia="Calibri"/>
        </w:rPr>
        <w:t xml:space="preserve"> zak</w:t>
      </w:r>
      <w:r>
        <w:rPr>
          <w:rFonts w:eastAsia="Calibri"/>
        </w:rPr>
        <w:t>resów przedmiotowych rozdziałów, który uniemożliwia ominięcie wydatków</w:t>
      </w:r>
      <w:r w:rsidRPr="007A1E55">
        <w:rPr>
          <w:rFonts w:eastAsia="Calibri"/>
        </w:rPr>
        <w:t xml:space="preserve"> na bieżące utrzymanie obiektów, np. w zakresie przewozów k</w:t>
      </w:r>
      <w:r>
        <w:rPr>
          <w:rFonts w:eastAsia="Calibri"/>
        </w:rPr>
        <w:t>olejowych (Bitner 2016</w:t>
      </w:r>
      <w:r w:rsidRPr="007A1E55">
        <w:rPr>
          <w:rFonts w:eastAsia="Calibri"/>
        </w:rPr>
        <w:t xml:space="preserve">). </w:t>
      </w:r>
      <w:r>
        <w:rPr>
          <w:rFonts w:eastAsia="Calibri"/>
        </w:rPr>
        <w:t>Wydatki prorozwojowe to</w:t>
      </w:r>
      <w:r w:rsidRPr="007A1E55">
        <w:rPr>
          <w:rFonts w:eastAsia="Calibri"/>
        </w:rPr>
        <w:t xml:space="preserve"> także </w:t>
      </w:r>
      <w:r>
        <w:rPr>
          <w:rFonts w:eastAsia="Calibri"/>
        </w:rPr>
        <w:t xml:space="preserve">wydatki ponoszone </w:t>
      </w:r>
      <w:r w:rsidRPr="007A1E55">
        <w:rPr>
          <w:rFonts w:eastAsia="Calibri"/>
        </w:rPr>
        <w:t xml:space="preserve">na otoczenie polityki rozwoju, czyli </w:t>
      </w:r>
      <w:r>
        <w:rPr>
          <w:rFonts w:eastAsia="Calibri"/>
        </w:rPr>
        <w:t>takie</w:t>
      </w:r>
      <w:r w:rsidRPr="007A1E55">
        <w:rPr>
          <w:rFonts w:eastAsia="Calibri"/>
        </w:rPr>
        <w:t>, które nie mają na celu wzmocnienia podstawowych czynników rozwoju, ale mogą być istotne w długim okresie, m.in. wydatki na oc</w:t>
      </w:r>
      <w:r>
        <w:rPr>
          <w:rFonts w:eastAsia="Calibri"/>
        </w:rPr>
        <w:t xml:space="preserve">hronę środowiska i wychowanie. </w:t>
      </w:r>
    </w:p>
    <w:p w14:paraId="3C276268" w14:textId="0A97BE0E" w:rsidR="00421A25" w:rsidRPr="007A1E55" w:rsidRDefault="00421A25" w:rsidP="00421A25">
      <w:pPr>
        <w:rPr>
          <w:rFonts w:eastAsia="Calibri"/>
        </w:rPr>
      </w:pPr>
      <w:r w:rsidRPr="007A1E55">
        <w:rPr>
          <w:rFonts w:eastAsia="Calibri"/>
        </w:rPr>
        <w:t xml:space="preserve">Za wydatek rozwojowy </w:t>
      </w:r>
      <w:r>
        <w:rPr>
          <w:rFonts w:eastAsia="Calibri"/>
        </w:rPr>
        <w:t>niektórzy uznają te środki, które</w:t>
      </w:r>
      <w:r w:rsidRPr="007A1E55">
        <w:rPr>
          <w:rFonts w:eastAsia="Calibri"/>
        </w:rPr>
        <w:t xml:space="preserve"> w najbardziej znaczący sposób </w:t>
      </w:r>
      <w:r>
        <w:rPr>
          <w:rFonts w:eastAsia="Calibri"/>
        </w:rPr>
        <w:t>katalizują</w:t>
      </w:r>
      <w:r w:rsidRPr="007A1E55">
        <w:rPr>
          <w:rFonts w:eastAsia="Calibri"/>
        </w:rPr>
        <w:t xml:space="preserve"> rozwój całej gospodarki, tj. </w:t>
      </w:r>
      <w:r>
        <w:rPr>
          <w:rFonts w:eastAsia="Calibri"/>
        </w:rPr>
        <w:t>służą</w:t>
      </w:r>
      <w:r w:rsidRPr="007A1E55">
        <w:rPr>
          <w:rFonts w:eastAsia="Calibri"/>
        </w:rPr>
        <w:t xml:space="preserve"> wzrostowi innowacyjności i efektywności systemu społeczno-gospodarczego oraz </w:t>
      </w:r>
      <w:r>
        <w:rPr>
          <w:rFonts w:eastAsia="Calibri"/>
        </w:rPr>
        <w:t>minimalizują</w:t>
      </w:r>
      <w:r w:rsidRPr="007A1E55">
        <w:rPr>
          <w:rFonts w:eastAsia="Calibri"/>
        </w:rPr>
        <w:t xml:space="preserve"> ryzyko wejścia w dryf </w:t>
      </w:r>
      <w:r>
        <w:rPr>
          <w:rFonts w:eastAsia="Calibri"/>
        </w:rPr>
        <w:t>rozwojowy (Moździerz 2016</w:t>
      </w:r>
      <w:r w:rsidRPr="007A1E55">
        <w:rPr>
          <w:rFonts w:eastAsia="Calibri"/>
        </w:rPr>
        <w:t xml:space="preserve">). Dzięki tak skonstruowanej definicji, możliwy </w:t>
      </w:r>
      <w:r>
        <w:rPr>
          <w:rFonts w:eastAsia="Calibri"/>
        </w:rPr>
        <w:t>jest</w:t>
      </w:r>
      <w:r w:rsidRPr="007A1E55">
        <w:rPr>
          <w:rFonts w:eastAsia="Calibri"/>
        </w:rPr>
        <w:t xml:space="preserve"> podział wydatków na rozwojowe i inne (wydatki bieżące, wydatki niepowodujące wzrostu potencjału w długim okresie). Należy tutaj podkreślić, że wydatki inne również obejmują niektóre wydatki inwestycyjne, więc nie można ich nazwać „nieroz</w:t>
      </w:r>
      <w:r w:rsidR="0047139C">
        <w:rPr>
          <w:rFonts w:eastAsia="Calibri"/>
        </w:rPr>
        <w:t xml:space="preserve">wojowymi” – jednak wg definicji </w:t>
      </w:r>
      <w:r w:rsidRPr="007A1E55">
        <w:rPr>
          <w:rFonts w:eastAsia="Calibri"/>
        </w:rPr>
        <w:t>nie powodują</w:t>
      </w:r>
      <w:r w:rsidR="0047139C">
        <w:rPr>
          <w:rFonts w:eastAsia="Calibri"/>
        </w:rPr>
        <w:t xml:space="preserve"> one</w:t>
      </w:r>
      <w:r w:rsidRPr="007A1E55">
        <w:rPr>
          <w:rFonts w:eastAsia="Calibri"/>
        </w:rPr>
        <w:t xml:space="preserve"> wzrostu potencjału długookresowego (np. budownictwo mieszkaniowe). Z kolei projekt nowej klasyfikacji wydatków rozwojowych (KWR), za</w:t>
      </w:r>
      <w:r w:rsidR="008B6F1B">
        <w:rPr>
          <w:rFonts w:eastAsia="Calibri"/>
        </w:rPr>
        <w:t>proponowany w ramach SOR</w:t>
      </w:r>
      <w:r w:rsidRPr="007A1E55">
        <w:rPr>
          <w:rFonts w:eastAsia="Calibri"/>
        </w:rPr>
        <w:t xml:space="preserve">, analogicznie jak u Bitnera, oparty jest o klasyfikację budżetową. Szczególnie istotnymi </w:t>
      </w:r>
      <w:r w:rsidR="008B6F1B">
        <w:rPr>
          <w:rFonts w:eastAsia="Calibri"/>
        </w:rPr>
        <w:t>dla rozwoju są nakłady</w:t>
      </w:r>
      <w:r w:rsidR="00A27240">
        <w:rPr>
          <w:rFonts w:eastAsia="Calibri"/>
        </w:rPr>
        <w:t xml:space="preserve"> jednostek</w:t>
      </w:r>
      <w:r w:rsidRPr="007A1E55">
        <w:rPr>
          <w:rFonts w:eastAsia="Calibri"/>
        </w:rPr>
        <w:t xml:space="preserve"> samorządu terytorialnego</w:t>
      </w:r>
      <w:r w:rsidR="00A27240">
        <w:rPr>
          <w:rFonts w:eastAsia="Calibri"/>
        </w:rPr>
        <w:t xml:space="preserve"> ukierunkowane prorozwojowo</w:t>
      </w:r>
      <w:r w:rsidRPr="007A1E55">
        <w:rPr>
          <w:rFonts w:eastAsia="Calibri"/>
        </w:rPr>
        <w:t>, postuluje się ponadto zmianę wielkości i struktury wydatków ro</w:t>
      </w:r>
      <w:r>
        <w:rPr>
          <w:rFonts w:eastAsia="Calibri"/>
        </w:rPr>
        <w:t>zwojowych (Moździerz 2016</w:t>
      </w:r>
      <w:r w:rsidRPr="007A1E55">
        <w:rPr>
          <w:rFonts w:eastAsia="Calibri"/>
        </w:rPr>
        <w:t>).</w:t>
      </w:r>
      <w:r>
        <w:rPr>
          <w:rFonts w:eastAsia="Calibri"/>
        </w:rPr>
        <w:t xml:space="preserve"> </w:t>
      </w:r>
      <w:r w:rsidRPr="007A1E55">
        <w:rPr>
          <w:rFonts w:eastAsia="Calibri"/>
        </w:rPr>
        <w:t>Wyniki badań OECD wskazują, że na długookresowy wzrost PKB wpływa w największym zakresie zwiększenie ilości środków przeznaczanych na edukację, ochronę zdrowia i infras</w:t>
      </w:r>
      <w:r w:rsidR="00A97FB7">
        <w:rPr>
          <w:rFonts w:eastAsia="Calibri"/>
        </w:rPr>
        <w:t>trukturę transportową. J</w:t>
      </w:r>
      <w:r w:rsidRPr="007A1E55">
        <w:rPr>
          <w:rFonts w:eastAsia="Calibri"/>
        </w:rPr>
        <w:t xml:space="preserve">ednak w Polsce wydatki na edukację zmniejszyły się, na ochronę zdrowia nie zmieniły znacząco, jedyny impuls prorozwojowy stanowiły inwestycje w infrastrukturę transportową, możliwe dzięki środkom </w:t>
      </w:r>
      <w:r>
        <w:rPr>
          <w:rFonts w:eastAsia="Calibri"/>
        </w:rPr>
        <w:t>unijnym (Moździerz 2016</w:t>
      </w:r>
      <w:r w:rsidRPr="007A1E55">
        <w:rPr>
          <w:rFonts w:eastAsia="Calibri"/>
        </w:rPr>
        <w:t xml:space="preserve">). Kluczowe jest także podniesienie utrzymujących się w Polsce na niskim poziomie nakładów na badania podstawowe i </w:t>
      </w:r>
      <w:r w:rsidR="000B3274">
        <w:rPr>
          <w:rFonts w:eastAsia="Calibri"/>
        </w:rPr>
        <w:t xml:space="preserve">prace </w:t>
      </w:r>
      <w:r w:rsidRPr="007A1E55">
        <w:rPr>
          <w:rFonts w:eastAsia="Calibri"/>
        </w:rPr>
        <w:t xml:space="preserve">B+R. </w:t>
      </w:r>
    </w:p>
    <w:p w14:paraId="4DF7154F" w14:textId="084D5F88" w:rsidR="00421A25" w:rsidRDefault="00421A25" w:rsidP="00421A25">
      <w:pPr>
        <w:rPr>
          <w:rFonts w:eastAsia="Calibri"/>
        </w:rPr>
      </w:pPr>
      <w:r>
        <w:rPr>
          <w:rFonts w:eastAsia="Calibri"/>
        </w:rPr>
        <w:t>W Raporcie</w:t>
      </w:r>
      <w:r w:rsidRPr="007A1E55">
        <w:rPr>
          <w:rFonts w:eastAsia="Calibri"/>
        </w:rPr>
        <w:t xml:space="preserve"> końcowy</w:t>
      </w:r>
      <w:r>
        <w:rPr>
          <w:rFonts w:eastAsia="Calibri"/>
        </w:rPr>
        <w:t>m</w:t>
      </w:r>
      <w:r w:rsidRPr="007A1E55">
        <w:rPr>
          <w:rFonts w:eastAsia="Calibri"/>
        </w:rPr>
        <w:t xml:space="preserve"> z </w:t>
      </w:r>
      <w:r w:rsidR="00F14A2D">
        <w:rPr>
          <w:rFonts w:eastAsia="Calibri"/>
        </w:rPr>
        <w:t>Ewaluacji</w:t>
      </w:r>
      <w:r w:rsidR="00F14A2D" w:rsidRPr="00F14A2D">
        <w:rPr>
          <w:rFonts w:eastAsia="Calibri"/>
        </w:rPr>
        <w:t xml:space="preserve"> </w:t>
      </w:r>
      <w:r w:rsidR="00F14A2D" w:rsidRPr="001B2B15">
        <w:rPr>
          <w:rFonts w:eastAsia="Calibri"/>
          <w:i/>
        </w:rPr>
        <w:t>ex post</w:t>
      </w:r>
      <w:r w:rsidR="00F14A2D" w:rsidRPr="00F14A2D">
        <w:rPr>
          <w:rFonts w:eastAsia="Calibri"/>
        </w:rPr>
        <w:t xml:space="preserve"> realizacji Wielkopolskiego Regionalnego Programu</w:t>
      </w:r>
      <w:r w:rsidR="00F14A2D">
        <w:rPr>
          <w:rFonts w:eastAsia="Calibri"/>
        </w:rPr>
        <w:t xml:space="preserve"> Operacyjnego na lata 2007-2013</w:t>
      </w:r>
      <w:r>
        <w:rPr>
          <w:rFonts w:eastAsia="Calibri"/>
        </w:rPr>
        <w:t xml:space="preserve"> opisane są</w:t>
      </w:r>
      <w:r w:rsidRPr="007A1E55">
        <w:rPr>
          <w:rFonts w:eastAsia="Calibri"/>
        </w:rPr>
        <w:t xml:space="preserve"> powiązania między interwencjami w ramach grup</w:t>
      </w:r>
      <w:r w:rsidR="00A97FB7">
        <w:rPr>
          <w:rFonts w:eastAsia="Calibri"/>
        </w:rPr>
        <w:t xml:space="preserve"> tematycznych a celami SRWW 2020</w:t>
      </w:r>
      <w:r w:rsidRPr="007A1E55">
        <w:rPr>
          <w:rFonts w:eastAsia="Calibri"/>
        </w:rPr>
        <w:t>.</w:t>
      </w:r>
      <w:r>
        <w:rPr>
          <w:rFonts w:eastAsia="Calibri"/>
        </w:rPr>
        <w:t xml:space="preserve"> </w:t>
      </w:r>
      <w:r w:rsidRPr="007A1E55">
        <w:rPr>
          <w:rFonts w:eastAsia="Calibri"/>
        </w:rPr>
        <w:t>Zależności pomiędzy WRPO</w:t>
      </w:r>
      <w:r w:rsidR="004F63F4">
        <w:rPr>
          <w:rFonts w:eastAsia="Calibri"/>
        </w:rPr>
        <w:t xml:space="preserve"> 2</w:t>
      </w:r>
      <w:r w:rsidR="009F16B4">
        <w:rPr>
          <w:rFonts w:eastAsia="Calibri"/>
        </w:rPr>
        <w:t>007-2013</w:t>
      </w:r>
      <w:r w:rsidR="004F63F4">
        <w:rPr>
          <w:rFonts w:eastAsia="Calibri"/>
        </w:rPr>
        <w:t xml:space="preserve"> </w:t>
      </w:r>
      <w:r w:rsidR="00B94593">
        <w:rPr>
          <w:rFonts w:eastAsia="Calibri"/>
        </w:rPr>
        <w:t>a SRWW 2020</w:t>
      </w:r>
      <w:r w:rsidRPr="007A1E55">
        <w:rPr>
          <w:rFonts w:eastAsia="Calibri"/>
        </w:rPr>
        <w:t xml:space="preserve"> są bardzo silne i wielokierunkowe, wiele z nich </w:t>
      </w:r>
      <w:r w:rsidR="00B94593">
        <w:rPr>
          <w:rFonts w:eastAsia="Calibri"/>
        </w:rPr>
        <w:t>wykorzystano przy aktualizacji S</w:t>
      </w:r>
      <w:r w:rsidRPr="007A1E55">
        <w:rPr>
          <w:rFonts w:eastAsia="Calibri"/>
        </w:rPr>
        <w:t>trategii w 2</w:t>
      </w:r>
      <w:r>
        <w:rPr>
          <w:rFonts w:eastAsia="Calibri"/>
        </w:rPr>
        <w:t>012 roku (</w:t>
      </w:r>
      <w:r w:rsidRPr="000B3274">
        <w:rPr>
          <w:rFonts w:eastAsia="Calibri"/>
          <w:i/>
        </w:rPr>
        <w:t>Ewaluacja</w:t>
      </w:r>
      <w:r w:rsidR="006343D4" w:rsidRPr="006343D4">
        <w:t xml:space="preserve"> </w:t>
      </w:r>
      <w:r w:rsidR="006343D4" w:rsidRPr="006343D4">
        <w:rPr>
          <w:rFonts w:eastAsia="Calibri"/>
          <w:i/>
        </w:rPr>
        <w:t xml:space="preserve">ex-post </w:t>
      </w:r>
      <w:r w:rsidRPr="000B3274">
        <w:rPr>
          <w:rFonts w:eastAsia="Calibri"/>
          <w:i/>
        </w:rPr>
        <w:t>…</w:t>
      </w:r>
      <w:r>
        <w:rPr>
          <w:rFonts w:eastAsia="Calibri"/>
        </w:rPr>
        <w:t xml:space="preserve"> 2017</w:t>
      </w:r>
      <w:r w:rsidRPr="007A1E55">
        <w:rPr>
          <w:rFonts w:eastAsia="Calibri"/>
        </w:rPr>
        <w:t>).</w:t>
      </w:r>
      <w:r>
        <w:rPr>
          <w:rFonts w:eastAsia="Calibri"/>
        </w:rPr>
        <w:t xml:space="preserve"> </w:t>
      </w:r>
      <w:r w:rsidRPr="007A1E55">
        <w:rPr>
          <w:rFonts w:eastAsia="Calibri"/>
        </w:rPr>
        <w:t>Interwencje w ramach WRPO</w:t>
      </w:r>
      <w:r w:rsidR="00B94593">
        <w:rPr>
          <w:rFonts w:eastAsia="Calibri"/>
        </w:rPr>
        <w:t xml:space="preserve"> 2007-2013</w:t>
      </w:r>
      <w:r w:rsidRPr="007A1E55">
        <w:rPr>
          <w:rFonts w:eastAsia="Calibri"/>
        </w:rPr>
        <w:t xml:space="preserve"> skupiały się w następujących obszarach: konkurencyjność gospodarki, warunk</w:t>
      </w:r>
      <w:r w:rsidR="00B94593">
        <w:rPr>
          <w:rFonts w:eastAsia="Calibri"/>
        </w:rPr>
        <w:t>i życia mieszkańców województwa i</w:t>
      </w:r>
      <w:r w:rsidRPr="007A1E55">
        <w:rPr>
          <w:rFonts w:eastAsia="Calibri"/>
        </w:rPr>
        <w:t xml:space="preserve"> dostępność transportowa. </w:t>
      </w:r>
      <w:r w:rsidRPr="007A1E55">
        <w:rPr>
          <w:rFonts w:eastAsia="Calibri"/>
        </w:rPr>
        <w:lastRenderedPageBreak/>
        <w:t>Działania w ramach WRPO 2007-</w:t>
      </w:r>
      <w:r w:rsidR="000B3274">
        <w:rPr>
          <w:rFonts w:eastAsia="Calibri"/>
        </w:rPr>
        <w:t>20</w:t>
      </w:r>
      <w:r w:rsidRPr="007A1E55">
        <w:rPr>
          <w:rFonts w:eastAsia="Calibri"/>
        </w:rPr>
        <w:t xml:space="preserve">13 odpowiadały na konkretne problemy zdiagnozowane w </w:t>
      </w:r>
      <w:r>
        <w:rPr>
          <w:rFonts w:eastAsia="Calibri"/>
        </w:rPr>
        <w:t>SRWW 2020</w:t>
      </w:r>
      <w:r w:rsidRPr="007A1E55">
        <w:rPr>
          <w:rFonts w:eastAsia="Calibri"/>
        </w:rPr>
        <w:t xml:space="preserve">, np. w ramach grupy tematycznej Infrastruktura i usługi społeczeństwa informacyjnego podjęto próbę rozwiązania problemu niskiego wykorzystania technologii komunikacyjnych i innowacyjnych przez przedsiębiorstwa w </w:t>
      </w:r>
      <w:r>
        <w:rPr>
          <w:rFonts w:eastAsia="Calibri"/>
        </w:rPr>
        <w:t xml:space="preserve">województwie </w:t>
      </w:r>
      <w:r w:rsidRPr="007A1E55">
        <w:rPr>
          <w:rFonts w:eastAsia="Calibri"/>
        </w:rPr>
        <w:t>wielko</w:t>
      </w:r>
      <w:r>
        <w:rPr>
          <w:rFonts w:eastAsia="Calibri"/>
        </w:rPr>
        <w:t>polskim (</w:t>
      </w:r>
      <w:r w:rsidRPr="006835C4">
        <w:rPr>
          <w:rFonts w:eastAsia="Calibri"/>
          <w:i/>
        </w:rPr>
        <w:t>Ewaluacja</w:t>
      </w:r>
      <w:r w:rsidR="006343D4">
        <w:rPr>
          <w:rFonts w:eastAsia="Calibri"/>
          <w:i/>
        </w:rPr>
        <w:t xml:space="preserve"> </w:t>
      </w:r>
      <w:r w:rsidR="006343D4" w:rsidRPr="006343D4">
        <w:rPr>
          <w:rFonts w:eastAsia="Calibri"/>
          <w:i/>
        </w:rPr>
        <w:t xml:space="preserve">ex-post </w:t>
      </w:r>
      <w:r>
        <w:rPr>
          <w:rFonts w:eastAsia="Calibri"/>
        </w:rPr>
        <w:t>… 2017</w:t>
      </w:r>
      <w:r w:rsidRPr="007A1E55">
        <w:rPr>
          <w:rFonts w:eastAsia="Calibri"/>
        </w:rPr>
        <w:t xml:space="preserve">). Raport końcowy ocenia, że „interwencje w poszczególnych grupach tematycznych WRPO 2007-2013 skutecznie odpowiadały na zdiagnozowane w </w:t>
      </w:r>
      <w:r>
        <w:rPr>
          <w:rFonts w:eastAsia="Calibri"/>
        </w:rPr>
        <w:t>SRWW 2020</w:t>
      </w:r>
      <w:r w:rsidRPr="007A1E55">
        <w:rPr>
          <w:rFonts w:eastAsia="Calibri"/>
        </w:rPr>
        <w:t xml:space="preserve"> potrzeby i problemy, i przyczyniały się do realizacji celów Strategii” (</w:t>
      </w:r>
      <w:r w:rsidRPr="000B3274">
        <w:rPr>
          <w:rFonts w:eastAsia="Calibri"/>
          <w:i/>
        </w:rPr>
        <w:t>Ewaluacja</w:t>
      </w:r>
      <w:r w:rsidR="006343D4">
        <w:rPr>
          <w:rFonts w:eastAsia="Calibri"/>
          <w:i/>
        </w:rPr>
        <w:t xml:space="preserve"> </w:t>
      </w:r>
      <w:r w:rsidR="006343D4" w:rsidRPr="006343D4">
        <w:rPr>
          <w:rFonts w:eastAsia="Calibri"/>
          <w:i/>
        </w:rPr>
        <w:t xml:space="preserve">ex-post </w:t>
      </w:r>
      <w:r w:rsidRPr="000B3274">
        <w:rPr>
          <w:rFonts w:eastAsia="Calibri"/>
          <w:i/>
        </w:rPr>
        <w:t>…</w:t>
      </w:r>
      <w:r w:rsidRPr="007A1E55">
        <w:rPr>
          <w:rFonts w:eastAsia="Calibri"/>
        </w:rPr>
        <w:t xml:space="preserve"> 20</w:t>
      </w:r>
      <w:r w:rsidR="000B3274">
        <w:rPr>
          <w:rFonts w:eastAsia="Calibri"/>
        </w:rPr>
        <w:t>1</w:t>
      </w:r>
      <w:r w:rsidRPr="007A1E55">
        <w:rPr>
          <w:rFonts w:eastAsia="Calibri"/>
        </w:rPr>
        <w:t>7, s. 181).</w:t>
      </w:r>
    </w:p>
    <w:p w14:paraId="1AF95643" w14:textId="77777777" w:rsidR="00421A25" w:rsidRPr="00010F12" w:rsidRDefault="00421A25" w:rsidP="00BF08D5">
      <w:pPr>
        <w:ind w:left="4536"/>
        <w:jc w:val="left"/>
        <w:rPr>
          <w:b/>
          <w:i/>
          <w:color w:val="001E50"/>
        </w:rPr>
      </w:pPr>
      <w:r w:rsidRPr="00010F12">
        <w:rPr>
          <w:b/>
          <w:i/>
          <w:color w:val="001E50"/>
        </w:rPr>
        <w:t>Finanse na rozwój to przede wszystkim wydatki inwestycyjne. Coraz ważniejsze stają się też niektóre wydatki bieżące…</w:t>
      </w:r>
    </w:p>
    <w:p w14:paraId="6A6F04A8" w14:textId="5CD953DF" w:rsidR="00421A25" w:rsidRPr="000B3274" w:rsidRDefault="00421A25" w:rsidP="00421A25">
      <w:pPr>
        <w:rPr>
          <w:rFonts w:eastAsia="Calibri"/>
          <w:lang w:eastAsia="pl-PL"/>
        </w:rPr>
      </w:pPr>
      <w:r w:rsidRPr="000B3274">
        <w:rPr>
          <w:rFonts w:eastAsia="Calibri"/>
        </w:rPr>
        <w:t xml:space="preserve">Analizy sprawozdań z wykonania budżetów województwa wielkopolskiego w latach 2013-2017 wskazują, że średnio około 34% wszystkich wydatków budżetu województwa stanowiły wydatki na inwestycje. </w:t>
      </w:r>
      <w:r w:rsidR="005513D1" w:rsidRPr="00631BD4">
        <w:rPr>
          <w:rFonts w:eastAsia="Calibri"/>
          <w:color w:val="auto"/>
        </w:rPr>
        <w:t xml:space="preserve">Wynik ten plasuje Wielkopolskę na 11 miejscu pośród polskich województw. </w:t>
      </w:r>
      <w:r w:rsidR="00631BD4" w:rsidRPr="00631BD4">
        <w:rPr>
          <w:rFonts w:eastAsia="Calibri"/>
          <w:color w:val="auto"/>
        </w:rPr>
        <w:t xml:space="preserve">Uzyskany wynik </w:t>
      </w:r>
      <w:r w:rsidR="005513D1" w:rsidRPr="00631BD4">
        <w:rPr>
          <w:rFonts w:eastAsia="Calibri"/>
          <w:color w:val="auto"/>
        </w:rPr>
        <w:t>j</w:t>
      </w:r>
      <w:r w:rsidR="00631BD4" w:rsidRPr="00631BD4">
        <w:rPr>
          <w:rFonts w:eastAsia="Calibri"/>
          <w:color w:val="auto"/>
        </w:rPr>
        <w:t>est powiązany</w:t>
      </w:r>
      <w:r w:rsidR="005513D1" w:rsidRPr="00631BD4">
        <w:rPr>
          <w:rFonts w:eastAsia="Calibri"/>
          <w:color w:val="auto"/>
        </w:rPr>
        <w:t xml:space="preserve"> m.in. z dostępnością środków na inwestycje w ramach RPO oraz programów operacyjnych szczebla krajowego. Przy relatywnie dużym budżecie </w:t>
      </w:r>
      <w:r w:rsidR="0068734A" w:rsidRPr="00631BD4">
        <w:rPr>
          <w:rFonts w:eastAsia="Calibri"/>
          <w:color w:val="auto"/>
        </w:rPr>
        <w:t>S</w:t>
      </w:r>
      <w:r w:rsidR="005513D1" w:rsidRPr="00631BD4">
        <w:rPr>
          <w:rFonts w:eastAsia="Calibri"/>
          <w:color w:val="auto"/>
        </w:rPr>
        <w:t xml:space="preserve">WW zwiększenie udziału środków inwestycyjnych wymagałoby pozyskania odpowiednio większej ilości środków zewnętrznych. Zmiana tej struktury wydatków budżetowych jest dla </w:t>
      </w:r>
      <w:r w:rsidR="0068734A" w:rsidRPr="00631BD4">
        <w:rPr>
          <w:rFonts w:eastAsia="Calibri"/>
          <w:color w:val="auto"/>
        </w:rPr>
        <w:t>S</w:t>
      </w:r>
      <w:r w:rsidR="005513D1" w:rsidRPr="00631BD4">
        <w:rPr>
          <w:rFonts w:eastAsia="Calibri"/>
          <w:color w:val="auto"/>
        </w:rPr>
        <w:t>WW utrudniona m.in. ze względu na: wykluczenie z niektórych źródeł finansowania np. PO PW, uzależnienie wykorzystania części środków przekazywanych w ramach PO IiŚ od „sztywnych” decyzji podejmowanych na szczeblu centralnym (np. dotyczących finansowania budowy konkretnych elementów infrastruktury technicznej), „odgórną” alokację środków w ramach RPO uzależnioną od poziomu rozwoju regionu.</w:t>
      </w:r>
      <w:r w:rsidR="005513D1" w:rsidRPr="005513D1">
        <w:rPr>
          <w:rFonts w:eastAsia="Calibri"/>
          <w:color w:val="auto"/>
        </w:rPr>
        <w:t xml:space="preserve"> </w:t>
      </w:r>
      <w:r w:rsidR="0031605E">
        <w:rPr>
          <w:rFonts w:eastAsia="Calibri"/>
          <w:color w:val="auto"/>
        </w:rPr>
        <w:t>Okres w którym obowiązuje  SRWW 2020 to czas specyficzny, nie pokrywający się z p</w:t>
      </w:r>
      <w:r w:rsidR="00620C72">
        <w:rPr>
          <w:rFonts w:eastAsia="Calibri"/>
          <w:color w:val="auto"/>
        </w:rPr>
        <w:t>erspektywami finansowymi</w:t>
      </w:r>
      <w:r w:rsidR="008B60BF">
        <w:rPr>
          <w:rFonts w:eastAsia="Calibri"/>
          <w:color w:val="auto"/>
        </w:rPr>
        <w:t xml:space="preserve"> środków UE. Początek analizowanego okresu to</w:t>
      </w:r>
      <w:r w:rsidR="0031605E">
        <w:rPr>
          <w:rFonts w:eastAsia="Calibri"/>
          <w:color w:val="auto"/>
        </w:rPr>
        <w:t xml:space="preserve"> </w:t>
      </w:r>
      <w:r w:rsidR="008B60BF">
        <w:rPr>
          <w:rFonts w:eastAsia="Calibri"/>
          <w:color w:val="auto"/>
        </w:rPr>
        <w:t>czas wygasania perspektywy 2007-2013, w którym Wielkopolska zrealizowała już znaczną część swoich wydatków</w:t>
      </w:r>
      <w:r w:rsidR="00620C72">
        <w:rPr>
          <w:rFonts w:eastAsia="Calibri"/>
          <w:color w:val="auto"/>
        </w:rPr>
        <w:t xml:space="preserve"> współfinansowanych środkami UE</w:t>
      </w:r>
      <w:r w:rsidR="008B60BF">
        <w:rPr>
          <w:rFonts w:eastAsia="Calibri"/>
          <w:color w:val="auto"/>
        </w:rPr>
        <w:t xml:space="preserve"> (województwo wielkopolskie należało to tych najszybciej wydatkujących</w:t>
      </w:r>
      <w:r w:rsidR="00620C72">
        <w:rPr>
          <w:rFonts w:eastAsia="Calibri"/>
          <w:color w:val="auto"/>
        </w:rPr>
        <w:t xml:space="preserve"> środki w ramach RPO</w:t>
      </w:r>
      <w:r w:rsidR="008B60BF">
        <w:rPr>
          <w:rFonts w:eastAsia="Calibri"/>
          <w:color w:val="auto"/>
        </w:rPr>
        <w:t xml:space="preserve">). </w:t>
      </w:r>
      <w:r w:rsidR="005513D1" w:rsidRPr="005513D1">
        <w:rPr>
          <w:rFonts w:eastAsia="Calibri"/>
          <w:color w:val="auto"/>
        </w:rPr>
        <w:t>Ponad połowa środków inwestycyjnych</w:t>
      </w:r>
      <w:r w:rsidR="0068734A">
        <w:rPr>
          <w:rFonts w:eastAsia="Calibri"/>
          <w:color w:val="auto"/>
        </w:rPr>
        <w:t xml:space="preserve"> budżetu</w:t>
      </w:r>
      <w:r w:rsidR="005513D1" w:rsidRPr="005513D1">
        <w:rPr>
          <w:rFonts w:eastAsia="Calibri"/>
          <w:color w:val="auto"/>
        </w:rPr>
        <w:t xml:space="preserve"> </w:t>
      </w:r>
      <w:r w:rsidR="0068734A">
        <w:rPr>
          <w:rFonts w:eastAsia="Calibri"/>
          <w:color w:val="auto"/>
        </w:rPr>
        <w:t>S</w:t>
      </w:r>
      <w:r w:rsidR="005513D1" w:rsidRPr="005513D1">
        <w:rPr>
          <w:rFonts w:eastAsia="Calibri"/>
          <w:color w:val="auto"/>
        </w:rPr>
        <w:t>WW</w:t>
      </w:r>
      <w:r w:rsidR="00620C72">
        <w:rPr>
          <w:rFonts w:eastAsia="Calibri"/>
          <w:color w:val="auto"/>
        </w:rPr>
        <w:t xml:space="preserve"> w latach 2013-2017</w:t>
      </w:r>
      <w:r w:rsidR="005513D1" w:rsidRPr="005513D1">
        <w:rPr>
          <w:rFonts w:eastAsia="Calibri"/>
          <w:color w:val="auto"/>
        </w:rPr>
        <w:t xml:space="preserve"> została przeznaczona</w:t>
      </w:r>
      <w:r w:rsidRPr="000B3274">
        <w:rPr>
          <w:rFonts w:eastAsia="Calibri"/>
        </w:rPr>
        <w:t xml:space="preserve"> na transport (prawie 30% to inwestycje w budowę dróg wojewódzkich, pozostałe ponad 20% to rozbudowa majątku związanego z przewozami kolejowymi). Kolejnymi priorytetami</w:t>
      </w:r>
      <w:r w:rsidR="00B94593">
        <w:rPr>
          <w:rFonts w:eastAsia="Calibri"/>
        </w:rPr>
        <w:t xml:space="preserve"> inwestycyjnymi województwa były:</w:t>
      </w:r>
      <w:r w:rsidRPr="000B3274">
        <w:rPr>
          <w:rFonts w:eastAsia="Calibri"/>
        </w:rPr>
        <w:t xml:space="preserve"> ochrona zdrowia (w tym rozpoczęcie budowy szpitala) oraz rolnictwo (obydwa sektory pochłonęły po około 17% wydatków inwestycyjnych).</w:t>
      </w:r>
    </w:p>
    <w:p w14:paraId="40128356" w14:textId="65511A1A" w:rsidR="00421A25" w:rsidRPr="000B3274" w:rsidRDefault="000B3274" w:rsidP="000B3274">
      <w:pPr>
        <w:rPr>
          <w:rFonts w:eastAsia="Calibri"/>
        </w:rPr>
      </w:pPr>
      <w:r>
        <w:rPr>
          <w:rFonts w:eastAsia="Calibri"/>
        </w:rPr>
        <w:t>Jak zauważyli przedstawiciele departamentów</w:t>
      </w:r>
      <w:r w:rsidR="00B94593">
        <w:rPr>
          <w:rFonts w:eastAsia="Calibri"/>
        </w:rPr>
        <w:t xml:space="preserve"> UMWW</w:t>
      </w:r>
      <w:r>
        <w:rPr>
          <w:rFonts w:eastAsia="Calibri"/>
        </w:rPr>
        <w:t xml:space="preserve"> w trakcie wywiadów, p</w:t>
      </w:r>
      <w:r w:rsidR="00421A25">
        <w:rPr>
          <w:rFonts w:eastAsia="Calibri"/>
        </w:rPr>
        <w:t>ostrzeganie wydatków prorozwojowych ewoluuje podążając za tym jak definiowany jest rozwój</w:t>
      </w:r>
      <w:r>
        <w:rPr>
          <w:rFonts w:eastAsia="Calibri"/>
        </w:rPr>
        <w:t xml:space="preserve"> (</w:t>
      </w:r>
      <w:r w:rsidR="00421A25">
        <w:rPr>
          <w:rFonts w:eastAsia="Calibri"/>
          <w:i/>
          <w:sz w:val="20"/>
        </w:rPr>
        <w:t>W</w:t>
      </w:r>
      <w:r w:rsidR="00421A25" w:rsidRPr="00800267">
        <w:rPr>
          <w:rFonts w:eastAsia="Calibri"/>
          <w:i/>
          <w:sz w:val="20"/>
        </w:rPr>
        <w:t xml:space="preserve"> pierwszej strategii rozwoju województwa, kwestie społeczne i kapitału ludzkiego były marginalizowane. Liczyły się drogi, mosty, koleje – to był rozwój.</w:t>
      </w:r>
      <w:r>
        <w:rPr>
          <w:rFonts w:eastAsia="Calibri"/>
          <w:i/>
          <w:sz w:val="20"/>
        </w:rPr>
        <w:t xml:space="preserve"> (…) </w:t>
      </w:r>
      <w:r w:rsidR="00421A25" w:rsidRPr="00800267">
        <w:rPr>
          <w:rFonts w:eastAsia="Calibri"/>
          <w:i/>
          <w:sz w:val="20"/>
        </w:rPr>
        <w:t>Dzisiejsza strategia rozwoju województwa jest zupełnie inną strategią. Ona mówi o rozwoju w kontekście przeciwdziałania wykluczeniu społecznemu, mówi</w:t>
      </w:r>
      <w:r>
        <w:rPr>
          <w:rFonts w:eastAsia="Calibri"/>
          <w:i/>
          <w:sz w:val="20"/>
        </w:rPr>
        <w:t xml:space="preserve"> o kapitale ludzkim, o edukacji</w:t>
      </w:r>
      <w:r>
        <w:rPr>
          <w:rFonts w:eastAsia="Calibri"/>
          <w:sz w:val="20"/>
        </w:rPr>
        <w:t>).</w:t>
      </w:r>
    </w:p>
    <w:p w14:paraId="21456012" w14:textId="77777777" w:rsidR="00421A25" w:rsidRPr="000B3274" w:rsidRDefault="00421A25" w:rsidP="00421A25">
      <w:pPr>
        <w:rPr>
          <w:rFonts w:eastAsia="Calibri"/>
        </w:rPr>
      </w:pPr>
      <w:r w:rsidRPr="000B3274">
        <w:rPr>
          <w:rFonts w:eastAsia="Calibri"/>
        </w:rPr>
        <w:t>Coraz częściej wskazywane są przykłady wydatków bieżących mających ogromne znaczenie dla procesów rozwojowych</w:t>
      </w:r>
      <w:r w:rsidR="000B3274">
        <w:rPr>
          <w:rFonts w:eastAsia="Calibri"/>
        </w:rPr>
        <w:t>, co potwierdzają rozmowy z przedstawicielami departamentów UMWW</w:t>
      </w:r>
      <w:r w:rsidRPr="000B3274">
        <w:rPr>
          <w:rFonts w:eastAsia="Calibri"/>
        </w:rPr>
        <w:t xml:space="preserve">. W tym kontekście najczęściej wymienia się wydatki związane z nawiązywaniem współpracy, wymianą informacji, prowadzeniem badań i stwarzaniem warunków dla rozwoju innowacji, oświatą, wychowaniem i edukacją, rozwojem przedsiębiorczości i kadr nowoczesnej gospodarki. Wydatki z budżetu województwa przeznaczone na wspomniane 2 ostatnie elementy stanowiły w latach 2013-2017 </w:t>
      </w:r>
      <w:r w:rsidR="000B3274" w:rsidRPr="000B3274">
        <w:rPr>
          <w:rFonts w:eastAsia="Calibri"/>
        </w:rPr>
        <w:t xml:space="preserve">łącznie </w:t>
      </w:r>
      <w:r w:rsidRPr="000B3274">
        <w:rPr>
          <w:rFonts w:eastAsia="Calibri"/>
        </w:rPr>
        <w:t xml:space="preserve">1,45% wydatków budżetowych na realizację SRWW 2020. </w:t>
      </w:r>
    </w:p>
    <w:p w14:paraId="7D83669B" w14:textId="6246BC7F" w:rsidR="000B3274" w:rsidRDefault="00421A25" w:rsidP="00421A25">
      <w:pPr>
        <w:rPr>
          <w:rFonts w:eastAsia="Calibri"/>
        </w:rPr>
      </w:pPr>
      <w:r>
        <w:rPr>
          <w:rFonts w:eastAsia="Calibri"/>
        </w:rPr>
        <w:t>Analiza WRPO</w:t>
      </w:r>
      <w:r w:rsidR="002B1B21">
        <w:rPr>
          <w:rFonts w:eastAsia="Calibri"/>
        </w:rPr>
        <w:t xml:space="preserve"> 2007-2013</w:t>
      </w:r>
      <w:r>
        <w:rPr>
          <w:rFonts w:eastAsia="Calibri"/>
        </w:rPr>
        <w:t xml:space="preserve"> pokazuje, że </w:t>
      </w:r>
      <w:r w:rsidRPr="001B2D24">
        <w:rPr>
          <w:rFonts w:eastAsia="Calibri"/>
        </w:rPr>
        <w:t>interwencje skupiały się w następujących obszarach:</w:t>
      </w:r>
    </w:p>
    <w:p w14:paraId="350440DF" w14:textId="717B85B2" w:rsidR="000B3274" w:rsidRDefault="00421A25" w:rsidP="00631BD4">
      <w:pPr>
        <w:pStyle w:val="Akapitzlist"/>
        <w:numPr>
          <w:ilvl w:val="0"/>
          <w:numId w:val="40"/>
        </w:numPr>
        <w:ind w:left="426"/>
        <w:rPr>
          <w:rFonts w:eastAsia="Calibri"/>
        </w:rPr>
      </w:pPr>
      <w:r w:rsidRPr="000B3274">
        <w:rPr>
          <w:rFonts w:eastAsia="Calibri"/>
          <w:b/>
        </w:rPr>
        <w:lastRenderedPageBreak/>
        <w:t>konkurencyjność gospodarki</w:t>
      </w:r>
      <w:r w:rsidR="000B3274">
        <w:rPr>
          <w:rFonts w:eastAsia="Calibri"/>
        </w:rPr>
        <w:t xml:space="preserve"> – </w:t>
      </w:r>
      <w:r w:rsidRPr="000B3274">
        <w:rPr>
          <w:rFonts w:eastAsia="Calibri"/>
        </w:rPr>
        <w:t>wsparcie w zakresie</w:t>
      </w:r>
      <w:r w:rsidR="00CA3E60">
        <w:rPr>
          <w:rFonts w:eastAsia="Calibri"/>
        </w:rPr>
        <w:t>:</w:t>
      </w:r>
      <w:r w:rsidRPr="000B3274">
        <w:rPr>
          <w:rFonts w:eastAsia="Calibri"/>
        </w:rPr>
        <w:t xml:space="preserve"> infrastr</w:t>
      </w:r>
      <w:r w:rsidR="00CA3E60">
        <w:rPr>
          <w:rFonts w:eastAsia="Calibri"/>
        </w:rPr>
        <w:t xml:space="preserve">uktury B+R, </w:t>
      </w:r>
      <w:r w:rsidRPr="000B3274">
        <w:rPr>
          <w:rFonts w:eastAsia="Calibri"/>
        </w:rPr>
        <w:t>tworzenia i rozwoju instytucji otoczenia biznesu i sieci</w:t>
      </w:r>
      <w:r w:rsidR="00CA3E60">
        <w:rPr>
          <w:rFonts w:eastAsia="Calibri"/>
        </w:rPr>
        <w:t xml:space="preserve"> współpracy,</w:t>
      </w:r>
      <w:r w:rsidRPr="000B3274">
        <w:rPr>
          <w:rFonts w:eastAsia="Calibri"/>
        </w:rPr>
        <w:t xml:space="preserve"> zwiększania atrakcyjności inwestycyjnej regionu, wsparcie bezpośrednie skierowane do mikro, małych i średnich przedsiębiorstw z regionu</w:t>
      </w:r>
      <w:r w:rsidR="000B3274">
        <w:rPr>
          <w:rFonts w:eastAsia="Calibri"/>
        </w:rPr>
        <w:t>,</w:t>
      </w:r>
    </w:p>
    <w:p w14:paraId="7F396886" w14:textId="37B56907" w:rsidR="000B3274" w:rsidRDefault="00421A25" w:rsidP="00631BD4">
      <w:pPr>
        <w:pStyle w:val="Akapitzlist"/>
        <w:numPr>
          <w:ilvl w:val="0"/>
          <w:numId w:val="40"/>
        </w:numPr>
        <w:ind w:left="426"/>
        <w:rPr>
          <w:rFonts w:eastAsia="Calibri"/>
        </w:rPr>
      </w:pPr>
      <w:r w:rsidRPr="000B3274">
        <w:rPr>
          <w:rFonts w:eastAsia="Calibri"/>
          <w:b/>
        </w:rPr>
        <w:t>warunki życia mieszkańców województwa</w:t>
      </w:r>
      <w:r w:rsidRPr="000B3274">
        <w:rPr>
          <w:rFonts w:eastAsia="Calibri"/>
        </w:rPr>
        <w:t xml:space="preserve"> </w:t>
      </w:r>
      <w:r w:rsidR="000B3274">
        <w:rPr>
          <w:rFonts w:eastAsia="Calibri"/>
        </w:rPr>
        <w:t xml:space="preserve">– </w:t>
      </w:r>
      <w:r w:rsidRPr="000B3274">
        <w:rPr>
          <w:rFonts w:eastAsia="Calibri"/>
        </w:rPr>
        <w:t>infrastruktura kulturalna i promocja kultury, infrastru</w:t>
      </w:r>
      <w:r w:rsidR="00CA3E60">
        <w:rPr>
          <w:rFonts w:eastAsia="Calibri"/>
        </w:rPr>
        <w:t>ktura zdrowotna, edukacyjna,</w:t>
      </w:r>
      <w:r w:rsidRPr="000B3274">
        <w:rPr>
          <w:rFonts w:eastAsia="Calibri"/>
        </w:rPr>
        <w:t xml:space="preserve"> turystyczna, sportowo-rekreacyjna i promocja, infrastruktura i usługi społeczeństwa informacyjnego, infrastruktura pomocy społecznej i podmiotów ekonomii społecznej</w:t>
      </w:r>
      <w:r w:rsidR="000B3274">
        <w:rPr>
          <w:rFonts w:eastAsia="Calibri"/>
        </w:rPr>
        <w:t>,</w:t>
      </w:r>
    </w:p>
    <w:p w14:paraId="586BE1C0" w14:textId="77777777" w:rsidR="000B3274" w:rsidRDefault="00421A25" w:rsidP="00631BD4">
      <w:pPr>
        <w:pStyle w:val="Akapitzlist"/>
        <w:numPr>
          <w:ilvl w:val="0"/>
          <w:numId w:val="40"/>
        </w:numPr>
        <w:ind w:left="426"/>
        <w:rPr>
          <w:rFonts w:eastAsia="Calibri"/>
        </w:rPr>
      </w:pPr>
      <w:r w:rsidRPr="000B3274">
        <w:rPr>
          <w:rFonts w:eastAsia="Calibri"/>
          <w:b/>
        </w:rPr>
        <w:t>dostępność transportowa</w:t>
      </w:r>
      <w:r w:rsidRPr="000B3274">
        <w:rPr>
          <w:rFonts w:eastAsia="Calibri"/>
        </w:rPr>
        <w:t xml:space="preserve"> w zakresie transportu drogowego, kolejowego i lotniczego (</w:t>
      </w:r>
      <w:r w:rsidRPr="000B3274">
        <w:rPr>
          <w:rFonts w:eastAsia="Calibri"/>
          <w:i/>
        </w:rPr>
        <w:t>Ewaluacja ex-post…</w:t>
      </w:r>
      <w:r w:rsidRPr="000B3274">
        <w:rPr>
          <w:rFonts w:eastAsia="Calibri"/>
        </w:rPr>
        <w:t xml:space="preserve"> 2017). </w:t>
      </w:r>
    </w:p>
    <w:p w14:paraId="3DC0735E" w14:textId="77777777" w:rsidR="00421A25" w:rsidRPr="000B3274" w:rsidRDefault="00421A25" w:rsidP="000B3274">
      <w:pPr>
        <w:rPr>
          <w:rFonts w:eastAsia="Calibri"/>
        </w:rPr>
      </w:pPr>
      <w:r w:rsidRPr="000B3274">
        <w:rPr>
          <w:rFonts w:eastAsia="Calibri"/>
        </w:rPr>
        <w:t>Powyższe działania w ramach WRPO należy uznać za wydatki prorozwojowe.</w:t>
      </w:r>
    </w:p>
    <w:p w14:paraId="1B16B737" w14:textId="5E3C9ECD" w:rsidR="00421A25" w:rsidRPr="000B3274" w:rsidRDefault="00421A25" w:rsidP="000B3274">
      <w:pPr>
        <w:rPr>
          <w:rFonts w:eastAsia="Calibri"/>
          <w:lang w:eastAsia="pl-PL"/>
        </w:rPr>
      </w:pPr>
      <w:r w:rsidRPr="000B3274">
        <w:rPr>
          <w:rFonts w:eastAsia="Calibri"/>
          <w:lang w:eastAsia="pl-PL"/>
        </w:rPr>
        <w:t xml:space="preserve">Analiza wydatków rozwojowych z budżetu województwa wielkopolskiego w latach 2013-2017 wskazuje, że stanowiły one około 65% wydatków ogółem. Metoda klasyfikacji wydatków rozwojowych została zaczerpnięta z publikacji Bitnera, jednak uwzględnia pewne modyfikacje wprowadzone w wyniku analizy </w:t>
      </w:r>
      <w:r w:rsidR="000B3274">
        <w:rPr>
          <w:rFonts w:eastAsia="Calibri"/>
          <w:lang w:eastAsia="pl-PL"/>
        </w:rPr>
        <w:t xml:space="preserve">zawartej w </w:t>
      </w:r>
      <w:r w:rsidRPr="000B3274">
        <w:rPr>
          <w:rFonts w:eastAsia="Calibri"/>
          <w:lang w:eastAsia="pl-PL"/>
        </w:rPr>
        <w:t>Sprawozdani</w:t>
      </w:r>
      <w:r w:rsidR="000B3274">
        <w:rPr>
          <w:rFonts w:eastAsia="Calibri"/>
          <w:lang w:eastAsia="pl-PL"/>
        </w:rPr>
        <w:t>u</w:t>
      </w:r>
      <w:r w:rsidRPr="000B3274">
        <w:rPr>
          <w:rFonts w:eastAsia="Calibri"/>
          <w:lang w:eastAsia="pl-PL"/>
        </w:rPr>
        <w:t xml:space="preserve"> z realizacji SRWW 2020 w latach 2015-</w:t>
      </w:r>
      <w:r w:rsidR="000B3274">
        <w:rPr>
          <w:rFonts w:eastAsia="Calibri"/>
          <w:lang w:eastAsia="pl-PL"/>
        </w:rPr>
        <w:t>20</w:t>
      </w:r>
      <w:r w:rsidRPr="000B3274">
        <w:rPr>
          <w:rFonts w:eastAsia="Calibri"/>
          <w:lang w:eastAsia="pl-PL"/>
        </w:rPr>
        <w:t xml:space="preserve">16 </w:t>
      </w:r>
      <w:r w:rsidR="000B3274">
        <w:rPr>
          <w:rFonts w:eastAsia="Calibri"/>
          <w:lang w:eastAsia="pl-PL"/>
        </w:rPr>
        <w:t>(</w:t>
      </w:r>
      <w:r w:rsidRPr="000B3274">
        <w:rPr>
          <w:rFonts w:eastAsia="Calibri"/>
          <w:lang w:eastAsia="pl-PL"/>
        </w:rPr>
        <w:t>do wydatków rozwojowych włączone zostały wydatki z rozdziału klasyfikacji budżetowej 01042</w:t>
      </w:r>
      <w:r w:rsidR="00507A14">
        <w:rPr>
          <w:rFonts w:eastAsia="Calibri"/>
          <w:lang w:eastAsia="pl-PL"/>
        </w:rPr>
        <w:t xml:space="preserve"> „Wyłączenie z produkcji gruntów rolnych”</w:t>
      </w:r>
      <w:r w:rsidRPr="000B3274">
        <w:rPr>
          <w:rFonts w:eastAsia="Calibri"/>
          <w:lang w:eastAsia="pl-PL"/>
        </w:rPr>
        <w:t xml:space="preserve"> oraz wydatki ujmowane w rozdziałach ***95 klasyfikacji budżetowej „Pozostała działalność”, a także wydatki w ramach rozdziałów 60001 „Krajowe pasażerskie przewozy kolejowe” oraz 60003 „Krajowe pasażerskie przewozy autobusowe”</w:t>
      </w:r>
      <w:r w:rsidR="000B3274">
        <w:rPr>
          <w:rFonts w:eastAsia="Calibri"/>
          <w:lang w:eastAsia="pl-PL"/>
        </w:rPr>
        <w:t xml:space="preserve">, a także </w:t>
      </w:r>
      <w:r w:rsidRPr="000B3274">
        <w:rPr>
          <w:rFonts w:eastAsia="Calibri"/>
          <w:lang w:eastAsia="pl-PL"/>
        </w:rPr>
        <w:t>wydatki transferowane do innych jednostek samorządu terytorialnego w ramach dotacji inwestycyjnych</w:t>
      </w:r>
      <w:r w:rsidR="000B3274">
        <w:rPr>
          <w:rStyle w:val="Odwoanieprzypisudolnego"/>
          <w:rFonts w:eastAsia="Calibri"/>
          <w:lang w:eastAsia="pl-PL"/>
        </w:rPr>
        <w:footnoteReference w:id="15"/>
      </w:r>
      <w:r w:rsidRPr="000B3274">
        <w:rPr>
          <w:rFonts w:eastAsia="Calibri"/>
          <w:lang w:eastAsia="pl-PL"/>
        </w:rPr>
        <w:t xml:space="preserve">). </w:t>
      </w:r>
    </w:p>
    <w:p w14:paraId="517F7931" w14:textId="50A78C9F" w:rsidR="00421A25" w:rsidRDefault="00421A25" w:rsidP="00421A25">
      <w:pPr>
        <w:rPr>
          <w:rFonts w:eastAsia="Calibri"/>
          <w:lang w:eastAsia="pl-PL"/>
        </w:rPr>
      </w:pPr>
      <w:r>
        <w:rPr>
          <w:rFonts w:eastAsia="Calibri"/>
          <w:lang w:eastAsia="pl-PL"/>
        </w:rPr>
        <w:t>Wśród</w:t>
      </w:r>
      <w:r w:rsidRPr="00853121">
        <w:rPr>
          <w:rFonts w:eastAsia="Calibri"/>
          <w:lang w:eastAsia="pl-PL"/>
        </w:rPr>
        <w:t xml:space="preserve"> wydatków rozwojowych</w:t>
      </w:r>
      <w:r>
        <w:rPr>
          <w:rFonts w:eastAsia="Calibri"/>
          <w:lang w:eastAsia="pl-PL"/>
        </w:rPr>
        <w:t xml:space="preserve"> </w:t>
      </w:r>
      <w:r w:rsidR="00CB37DC">
        <w:rPr>
          <w:rFonts w:eastAsia="Calibri"/>
          <w:lang w:eastAsia="pl-PL"/>
        </w:rPr>
        <w:t xml:space="preserve">z budżetu </w:t>
      </w:r>
      <w:r w:rsidR="003B68D9">
        <w:rPr>
          <w:rFonts w:eastAsia="Calibri"/>
          <w:lang w:eastAsia="pl-PL"/>
        </w:rPr>
        <w:t>S</w:t>
      </w:r>
      <w:r w:rsidR="00CB37DC">
        <w:rPr>
          <w:rFonts w:eastAsia="Calibri"/>
          <w:lang w:eastAsia="pl-PL"/>
        </w:rPr>
        <w:t xml:space="preserve">WW </w:t>
      </w:r>
      <w:r>
        <w:rPr>
          <w:rFonts w:eastAsia="Calibri"/>
          <w:lang w:eastAsia="pl-PL"/>
        </w:rPr>
        <w:t xml:space="preserve">dominują te </w:t>
      </w:r>
      <w:r w:rsidRPr="000B3274">
        <w:rPr>
          <w:rFonts w:eastAsia="Calibri"/>
          <w:lang w:eastAsia="pl-PL"/>
        </w:rPr>
        <w:t>z grupy II i III</w:t>
      </w:r>
      <w:r>
        <w:rPr>
          <w:rFonts w:eastAsia="Calibri"/>
          <w:lang w:eastAsia="pl-PL"/>
        </w:rPr>
        <w:t xml:space="preserve"> (</w:t>
      </w:r>
      <w:r>
        <w:rPr>
          <w:rFonts w:eastAsia="Calibri"/>
          <w:lang w:eastAsia="pl-PL"/>
        </w:rPr>
        <w:fldChar w:fldCharType="begin"/>
      </w:r>
      <w:r>
        <w:rPr>
          <w:rFonts w:eastAsia="Calibri"/>
          <w:lang w:eastAsia="pl-PL"/>
        </w:rPr>
        <w:instrText xml:space="preserve"> REF _Ref536729407 \h </w:instrText>
      </w:r>
      <w:r>
        <w:rPr>
          <w:rFonts w:eastAsia="Calibri"/>
          <w:lang w:eastAsia="pl-PL"/>
        </w:rPr>
      </w:r>
      <w:r>
        <w:rPr>
          <w:rFonts w:eastAsia="Calibri"/>
          <w:lang w:eastAsia="pl-PL"/>
        </w:rPr>
        <w:fldChar w:fldCharType="separate"/>
      </w:r>
      <w:r w:rsidR="007F4FA2">
        <w:t xml:space="preserve">Wykres </w:t>
      </w:r>
      <w:r w:rsidR="007F4FA2">
        <w:rPr>
          <w:noProof/>
        </w:rPr>
        <w:t>5</w:t>
      </w:r>
      <w:r>
        <w:rPr>
          <w:rFonts w:eastAsia="Calibri"/>
          <w:lang w:eastAsia="pl-PL"/>
        </w:rPr>
        <w:fldChar w:fldCharType="end"/>
      </w:r>
      <w:r w:rsidR="002A2F13">
        <w:rPr>
          <w:rFonts w:eastAsia="Calibri"/>
          <w:lang w:eastAsia="pl-PL"/>
        </w:rPr>
        <w:t xml:space="preserve">, </w:t>
      </w:r>
      <w:r w:rsidR="00CB37DC">
        <w:rPr>
          <w:rFonts w:eastAsia="Calibri"/>
          <w:lang w:eastAsia="pl-PL"/>
        </w:rPr>
        <w:t>szczegółowe definicje grup wydatków rozwojowych zaprezentowane zostały w opracowaniu</w:t>
      </w:r>
      <w:r w:rsidR="002A2F13">
        <w:rPr>
          <w:rFonts w:eastAsia="Calibri"/>
          <w:lang w:eastAsia="pl-PL"/>
        </w:rPr>
        <w:t xml:space="preserve"> Bitner</w:t>
      </w:r>
      <w:r w:rsidR="00CB37DC">
        <w:rPr>
          <w:rFonts w:eastAsia="Calibri"/>
          <w:lang w:eastAsia="pl-PL"/>
        </w:rPr>
        <w:t>a</w:t>
      </w:r>
      <w:r w:rsidR="002A2F13">
        <w:rPr>
          <w:rFonts w:eastAsia="Calibri"/>
          <w:lang w:eastAsia="pl-PL"/>
        </w:rPr>
        <w:t xml:space="preserve"> 2016</w:t>
      </w:r>
      <w:r>
        <w:rPr>
          <w:rFonts w:eastAsia="Calibri"/>
          <w:lang w:eastAsia="pl-PL"/>
        </w:rPr>
        <w:t>). N</w:t>
      </w:r>
      <w:r w:rsidRPr="00853121">
        <w:rPr>
          <w:rFonts w:eastAsia="Calibri"/>
          <w:lang w:eastAsia="pl-PL"/>
        </w:rPr>
        <w:t xml:space="preserve">a wydatki grupy II, związane z kapitałem rzeczowym, ludzkim i społecznym przeznaczono </w:t>
      </w:r>
      <w:r>
        <w:rPr>
          <w:rFonts w:eastAsia="Calibri"/>
          <w:lang w:eastAsia="pl-PL"/>
        </w:rPr>
        <w:t xml:space="preserve">2 431 </w:t>
      </w:r>
      <w:r w:rsidRPr="00853121">
        <w:rPr>
          <w:rFonts w:eastAsia="Calibri"/>
          <w:lang w:eastAsia="pl-PL"/>
        </w:rPr>
        <w:t>mln zł. Wydatki rozwojowe w grupie III związane z bazą gospodarczo-społeczną wynio</w:t>
      </w:r>
      <w:r>
        <w:rPr>
          <w:rFonts w:eastAsia="Calibri"/>
          <w:lang w:eastAsia="pl-PL"/>
        </w:rPr>
        <w:t>sły w analizowanym okresie 1 351 mln zł</w:t>
      </w:r>
      <w:r w:rsidRPr="00853121">
        <w:rPr>
          <w:rFonts w:eastAsia="Calibri"/>
          <w:lang w:eastAsia="pl-PL"/>
        </w:rPr>
        <w:t xml:space="preserve">. Poniesione </w:t>
      </w:r>
      <w:r>
        <w:rPr>
          <w:rFonts w:eastAsia="Calibri"/>
          <w:lang w:eastAsia="pl-PL"/>
        </w:rPr>
        <w:t>przez Wielkopolskę w latach 2013-2017</w:t>
      </w:r>
      <w:r w:rsidRPr="00853121">
        <w:rPr>
          <w:rFonts w:eastAsia="Calibri"/>
          <w:lang w:eastAsia="pl-PL"/>
        </w:rPr>
        <w:t xml:space="preserve"> wydatki powiązane </w:t>
      </w:r>
      <w:r w:rsidR="00D5571C">
        <w:rPr>
          <w:rFonts w:eastAsia="Calibri"/>
          <w:lang w:eastAsia="pl-PL"/>
        </w:rPr>
        <w:t xml:space="preserve">z </w:t>
      </w:r>
      <w:r w:rsidRPr="00853121">
        <w:rPr>
          <w:rFonts w:eastAsia="Calibri"/>
          <w:lang w:eastAsia="pl-PL"/>
        </w:rPr>
        <w:t>otoczeniem polityki rozwoju</w:t>
      </w:r>
      <w:r>
        <w:rPr>
          <w:rFonts w:eastAsia="Calibri"/>
          <w:lang w:eastAsia="pl-PL"/>
        </w:rPr>
        <w:t xml:space="preserve"> (grupa IV)</w:t>
      </w:r>
      <w:r w:rsidRPr="00853121">
        <w:rPr>
          <w:rFonts w:eastAsia="Calibri"/>
          <w:lang w:eastAsia="pl-PL"/>
        </w:rPr>
        <w:t xml:space="preserve"> wyniosły </w:t>
      </w:r>
      <w:r>
        <w:rPr>
          <w:rFonts w:eastAsia="Calibri"/>
          <w:lang w:eastAsia="pl-PL"/>
        </w:rPr>
        <w:t>18 mln</w:t>
      </w:r>
      <w:r w:rsidRPr="00853121">
        <w:rPr>
          <w:rFonts w:eastAsia="Calibri"/>
          <w:lang w:eastAsia="pl-PL"/>
        </w:rPr>
        <w:t xml:space="preserve"> zł. Dotyczyły one przedsięwzięć związanych z ochroną środowiska, w tym z działalnością parków krajobrazowych.</w:t>
      </w:r>
      <w:r w:rsidR="002A2F13">
        <w:rPr>
          <w:rFonts w:eastAsia="Calibri"/>
          <w:lang w:eastAsia="pl-PL"/>
        </w:rPr>
        <w:t xml:space="preserve"> Struktura wydatków rozwojowych ponoszonych z budżetu </w:t>
      </w:r>
      <w:r w:rsidR="00B45178">
        <w:rPr>
          <w:rFonts w:eastAsia="Calibri"/>
          <w:lang w:eastAsia="pl-PL"/>
        </w:rPr>
        <w:t>SWW</w:t>
      </w:r>
      <w:r w:rsidR="002A2F13">
        <w:rPr>
          <w:rFonts w:eastAsia="Calibri"/>
          <w:lang w:eastAsia="pl-PL"/>
        </w:rPr>
        <w:t xml:space="preserve"> w latach 2013-2017 różni się od „piramidy” tego typu wydatków prezentowanej przez Bitnera. Zakłada on, że wydatki rozwojowe bazują przede wszystkim na tych</w:t>
      </w:r>
      <w:r w:rsidR="00F16996">
        <w:rPr>
          <w:rFonts w:eastAsia="Calibri"/>
          <w:lang w:eastAsia="pl-PL"/>
        </w:rPr>
        <w:t>,</w:t>
      </w:r>
      <w:r w:rsidR="002A2F13">
        <w:rPr>
          <w:rFonts w:eastAsia="Calibri"/>
          <w:lang w:eastAsia="pl-PL"/>
        </w:rPr>
        <w:t xml:space="preserve"> związanych z bazą gospodarczo-społeczną (grupa III</w:t>
      </w:r>
      <w:r w:rsidR="00F16996">
        <w:rPr>
          <w:rFonts w:eastAsia="Calibri"/>
          <w:lang w:eastAsia="pl-PL"/>
        </w:rPr>
        <w:t>), w nieco mniejszym stopniu na</w:t>
      </w:r>
      <w:r w:rsidR="00EA0DB6">
        <w:rPr>
          <w:rFonts w:eastAsia="Calibri"/>
          <w:lang w:eastAsia="pl-PL"/>
        </w:rPr>
        <w:t xml:space="preserve"> dotyczących kapitału rzeczowego, ludzkiego i społecznego (grupa II) i w najmniejszym zakresie tworzone są poprzez wydatki generujące wysoką wartość dodaną gospodarki opartej na wiedzy (grupa I)(Bitner 2016).</w:t>
      </w:r>
    </w:p>
    <w:tbl>
      <w:tblPr>
        <w:tblStyle w:val="Tabela-Siatk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ykres 5. Struktura wydatków rozwojowych z budżetu Województwa Wielkopolskiego (suma z lat 2013-2017) "/>
        <w:tblDescription w:val="Na wykresie zaprezentowana jest struktura wydatków rozwojowych z budżetu województwa wielkopolskiego ponoszonych w latach 2013-2017. 64% tych wydatków stanowią wydatki z grupy II, 35,5% to wydatki z grupy III, 0,5% to wydatki grupy IV czyli związane z otoczeniem rozwoju."/>
      </w:tblPr>
      <w:tblGrid>
        <w:gridCol w:w="9356"/>
      </w:tblGrid>
      <w:tr w:rsidR="00421A25" w:rsidRPr="00DC19E5" w14:paraId="55006726" w14:textId="77777777" w:rsidTr="69901DB0">
        <w:tc>
          <w:tcPr>
            <w:tcW w:w="9356" w:type="dxa"/>
          </w:tcPr>
          <w:p w14:paraId="22594031" w14:textId="24FF932C" w:rsidR="00421A25" w:rsidRPr="00DC19E5" w:rsidRDefault="00421A25" w:rsidP="000B3274">
            <w:pPr>
              <w:pStyle w:val="Legenda"/>
              <w:keepNext/>
            </w:pPr>
            <w:bookmarkStart w:id="99" w:name="_Ref536729407"/>
            <w:bookmarkStart w:id="100" w:name="_Toc5699516"/>
            <w:r>
              <w:t xml:space="preserve">Wykres </w:t>
            </w:r>
            <w:r w:rsidRPr="69901DB0">
              <w:fldChar w:fldCharType="begin"/>
            </w:r>
            <w:r>
              <w:rPr>
                <w:noProof/>
              </w:rPr>
              <w:instrText xml:space="preserve"> SEQ Wykres \* ARABIC </w:instrText>
            </w:r>
            <w:r w:rsidRPr="69901DB0">
              <w:rPr>
                <w:noProof/>
              </w:rPr>
              <w:fldChar w:fldCharType="separate"/>
            </w:r>
            <w:r w:rsidR="007F4FA2">
              <w:rPr>
                <w:noProof/>
              </w:rPr>
              <w:t>5</w:t>
            </w:r>
            <w:r w:rsidRPr="69901DB0">
              <w:fldChar w:fldCharType="end"/>
            </w:r>
            <w:bookmarkEnd w:id="99"/>
            <w:r>
              <w:t xml:space="preserve">. </w:t>
            </w:r>
            <w:r w:rsidRPr="00ED0E73">
              <w:t>Struk</w:t>
            </w:r>
            <w:r>
              <w:t>tura wydatków rozwojowych z budżetu Województwa Wielkopolskiego (suma z lat 2013-2017</w:t>
            </w:r>
            <w:r w:rsidRPr="00ED0E73">
              <w:t>)</w:t>
            </w:r>
            <w:bookmarkEnd w:id="100"/>
          </w:p>
        </w:tc>
      </w:tr>
      <w:tr w:rsidR="00421A25" w:rsidRPr="00DC19E5" w14:paraId="15EDF1F3" w14:textId="77777777" w:rsidTr="69901DB0">
        <w:tblPrEx>
          <w:tblCellMar>
            <w:left w:w="70" w:type="dxa"/>
            <w:right w:w="70" w:type="dxa"/>
          </w:tblCellMar>
        </w:tblPrEx>
        <w:tc>
          <w:tcPr>
            <w:tcW w:w="9356" w:type="dxa"/>
          </w:tcPr>
          <w:p w14:paraId="0B82045C" w14:textId="77777777" w:rsidR="00421A25" w:rsidRPr="00DC19E5" w:rsidRDefault="00421A25" w:rsidP="000B3274">
            <w:pPr>
              <w:spacing w:after="0" w:line="240" w:lineRule="auto"/>
              <w:jc w:val="center"/>
              <w:rPr>
                <w:sz w:val="14"/>
                <w:szCs w:val="14"/>
                <w:lang w:eastAsia="pl-PL"/>
              </w:rPr>
            </w:pPr>
            <w:r>
              <w:rPr>
                <w:noProof/>
                <w:lang w:eastAsia="pl-PL"/>
              </w:rPr>
              <w:drawing>
                <wp:inline distT="0" distB="0" distL="0" distR="0" wp14:anchorId="29ECB759" wp14:editId="57978417">
                  <wp:extent cx="4143375" cy="1790700"/>
                  <wp:effectExtent l="0" t="0" r="0" b="0"/>
                  <wp:docPr id="1410683467" name="Wykres 1410683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421A25" w:rsidRPr="00DC19E5" w14:paraId="79F449ED" w14:textId="77777777" w:rsidTr="69901DB0">
        <w:tc>
          <w:tcPr>
            <w:tcW w:w="9356" w:type="dxa"/>
            <w:vAlign w:val="center"/>
          </w:tcPr>
          <w:p w14:paraId="6467B76A" w14:textId="0B89844E" w:rsidR="00421A25" w:rsidRPr="00DC19E5" w:rsidRDefault="00421A25" w:rsidP="000B3274">
            <w:pPr>
              <w:spacing w:after="0" w:line="240" w:lineRule="auto"/>
              <w:jc w:val="left"/>
              <w:rPr>
                <w:sz w:val="14"/>
                <w:szCs w:val="14"/>
                <w:lang w:eastAsia="pl-PL"/>
              </w:rPr>
            </w:pPr>
            <w:r>
              <w:rPr>
                <w:sz w:val="14"/>
                <w:szCs w:val="14"/>
                <w:lang w:eastAsia="pl-PL"/>
              </w:rPr>
              <w:lastRenderedPageBreak/>
              <w:t>Źródło: opracowanie własne na podstawie danych ze sprawozdań z wykonania budżetu województwa oraz klasyfikacji wydatków rozwojowych opracowanej przez M.Bitnera (2016)</w:t>
            </w:r>
            <w:r w:rsidR="000B3274">
              <w:rPr>
                <w:sz w:val="14"/>
                <w:szCs w:val="14"/>
                <w:lang w:eastAsia="pl-PL"/>
              </w:rPr>
              <w:t>.</w:t>
            </w:r>
          </w:p>
        </w:tc>
      </w:tr>
    </w:tbl>
    <w:p w14:paraId="400E4BCA" w14:textId="17AA2D75" w:rsidR="00421A25" w:rsidRDefault="00421A25" w:rsidP="001F37B3">
      <w:pPr>
        <w:pStyle w:val="Nagwek3"/>
      </w:pPr>
      <w:bookmarkStart w:id="101" w:name="_Toc536653137"/>
      <w:bookmarkStart w:id="102" w:name="_Toc1904808"/>
      <w:bookmarkStart w:id="103" w:name="_Toc5699458"/>
      <w:r>
        <w:t>W poszukiwaniu nowych źródeł finansowania</w:t>
      </w:r>
      <w:bookmarkEnd w:id="101"/>
      <w:bookmarkEnd w:id="102"/>
      <w:bookmarkEnd w:id="103"/>
    </w:p>
    <w:p w14:paraId="7F7E4A5D" w14:textId="77777777" w:rsidR="00421A25" w:rsidRPr="00010F12" w:rsidRDefault="00010F12" w:rsidP="00BF08D5">
      <w:pPr>
        <w:ind w:left="4536"/>
        <w:jc w:val="left"/>
        <w:rPr>
          <w:b/>
          <w:i/>
          <w:color w:val="001E50"/>
        </w:rPr>
      </w:pPr>
      <w:r w:rsidRPr="00010F12">
        <w:rPr>
          <w:b/>
          <w:i/>
          <w:color w:val="001E50"/>
        </w:rPr>
        <w:t>Województwo d</w:t>
      </w:r>
      <w:r w:rsidR="00421A25" w:rsidRPr="00010F12">
        <w:rPr>
          <w:b/>
          <w:i/>
          <w:color w:val="001E50"/>
        </w:rPr>
        <w:t>obrze radzi sobie z sięganiem po środki z programów krajowych oraz po środki na badania</w:t>
      </w:r>
      <w:r w:rsidRPr="00010F12">
        <w:rPr>
          <w:b/>
          <w:i/>
          <w:color w:val="001E50"/>
        </w:rPr>
        <w:t>...</w:t>
      </w:r>
    </w:p>
    <w:p w14:paraId="2AF7C4A7" w14:textId="2EB8A5CC" w:rsidR="00421A25" w:rsidRDefault="00687F2C" w:rsidP="00421A25">
      <w:pPr>
        <w:rPr>
          <w:lang w:eastAsia="pl-PL"/>
        </w:rPr>
      </w:pPr>
      <w:r w:rsidRPr="00631BD4">
        <w:rPr>
          <w:lang w:eastAsia="pl-PL"/>
        </w:rPr>
        <w:t>Dochody budżetu województwa to głównie</w:t>
      </w:r>
      <w:r w:rsidR="009D5288" w:rsidRPr="00631BD4">
        <w:rPr>
          <w:lang w:eastAsia="pl-PL"/>
        </w:rPr>
        <w:t>,</w:t>
      </w:r>
      <w:r w:rsidRPr="00631BD4">
        <w:rPr>
          <w:lang w:eastAsia="pl-PL"/>
        </w:rPr>
        <w:t xml:space="preserve"> uzależnione od koniunktury</w:t>
      </w:r>
      <w:r w:rsidR="009D5288" w:rsidRPr="00631BD4">
        <w:rPr>
          <w:lang w:eastAsia="pl-PL"/>
        </w:rPr>
        <w:t>,</w:t>
      </w:r>
      <w:r w:rsidRPr="00631BD4">
        <w:rPr>
          <w:lang w:eastAsia="pl-PL"/>
        </w:rPr>
        <w:t xml:space="preserve"> udziały w podatkach centralnych CIT i PIT oraz transfery z zewnątrz (subwencje i dotacje).</w:t>
      </w:r>
      <w:r w:rsidR="00421A25" w:rsidRPr="00631BD4">
        <w:rPr>
          <w:lang w:eastAsia="pl-PL"/>
        </w:rPr>
        <w:t xml:space="preserve"> Przy poszukiwaniu nowych źródeł finansowania celów rozwojowych szczególne znaczenie mają dotacje, w</w:t>
      </w:r>
      <w:r w:rsidR="00421A25">
        <w:rPr>
          <w:lang w:eastAsia="pl-PL"/>
        </w:rPr>
        <w:t xml:space="preserve"> tym dotacje inwestycyjne. Mogą być one pozyskiwane z budżetu państwa lub budżetów innych jednostek samorządu terytorialnego oraz innych jednostek sektora finansów publicznych. Mogą pochodzić też z budżetu Unii Europejskiej lub ze środków państw członkowskich EFTA.</w:t>
      </w:r>
    </w:p>
    <w:p w14:paraId="7E3FFFAC" w14:textId="58D19A16" w:rsidR="00421A25" w:rsidRDefault="00421A25" w:rsidP="00421A25">
      <w:pPr>
        <w:rPr>
          <w:lang w:eastAsia="pl-PL"/>
        </w:rPr>
      </w:pPr>
      <w:r>
        <w:rPr>
          <w:lang w:eastAsia="pl-PL"/>
        </w:rPr>
        <w:t xml:space="preserve">Łączne dochody budżetu województwa wielkopolskiego w latach 2013-2017 wyniosły 5 655 mln zł. Nieco ponad połowę tych </w:t>
      </w:r>
      <w:r w:rsidR="00B342D2">
        <w:rPr>
          <w:lang w:eastAsia="pl-PL"/>
        </w:rPr>
        <w:t>środków</w:t>
      </w:r>
      <w:r>
        <w:rPr>
          <w:lang w:eastAsia="pl-PL"/>
        </w:rPr>
        <w:t xml:space="preserve"> stanowiły udziały we wpływach</w:t>
      </w:r>
      <w:r w:rsidR="00BD694B">
        <w:rPr>
          <w:lang w:eastAsia="pl-PL"/>
        </w:rPr>
        <w:t xml:space="preserve"> z CIT i PIT</w:t>
      </w:r>
      <w:r>
        <w:rPr>
          <w:lang w:eastAsia="pl-PL"/>
        </w:rPr>
        <w:t>. 1 889 mln zł to kwota dotacji celowych pozyskanych przez województwo w latach 2013-2017 (co stanowi 33,4% dochodów ogółem</w:t>
      </w:r>
      <w:r w:rsidR="00B342D2">
        <w:rPr>
          <w:lang w:eastAsia="pl-PL"/>
        </w:rPr>
        <w:t>;</w:t>
      </w:r>
      <w:r>
        <w:rPr>
          <w:lang w:eastAsia="pl-PL"/>
        </w:rPr>
        <w:t xml:space="preserve"> z czego prawie połowa to dotacje inwestycyjne) (</w:t>
      </w:r>
      <w:r w:rsidRPr="416AC848">
        <w:fldChar w:fldCharType="begin"/>
      </w:r>
      <w:r>
        <w:rPr>
          <w:lang w:eastAsia="pl-PL"/>
        </w:rPr>
        <w:instrText xml:space="preserve"> REF _Ref536708737 \h </w:instrText>
      </w:r>
      <w:r w:rsidRPr="416AC848">
        <w:rPr>
          <w:lang w:eastAsia="pl-PL"/>
        </w:rPr>
        <w:fldChar w:fldCharType="separate"/>
      </w:r>
      <w:r w:rsidR="007F4FA2">
        <w:t xml:space="preserve">Wykres </w:t>
      </w:r>
      <w:r w:rsidR="007F4FA2">
        <w:rPr>
          <w:noProof/>
        </w:rPr>
        <w:t>6</w:t>
      </w:r>
      <w:r w:rsidRPr="416AC848">
        <w:fldChar w:fldCharType="end"/>
      </w:r>
      <w:r>
        <w:rPr>
          <w:lang w:eastAsia="pl-PL"/>
        </w:rPr>
        <w:t xml:space="preserve">). Ponad 95% dotacji celowych to środki otrzymane z budżetu państwa (w tym ponad połowa dotycząca </w:t>
      </w:r>
      <w:r w:rsidRPr="00F31060">
        <w:rPr>
          <w:lang w:eastAsia="pl-PL"/>
        </w:rPr>
        <w:t>dotacji na realizację różnych projektów i programów współfinansowanych środkami unijnymi</w:t>
      </w:r>
      <w:r w:rsidR="00010F12">
        <w:rPr>
          <w:lang w:eastAsia="pl-PL"/>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ykres 6. Struktura dochodów budżetu Województwa Wielkopolskiego (suma z lat 2013-2017) "/>
        <w:tblDescription w:val="Wykres prezentuje strukturę dochodów budżetowych województwa wielkopolskiego. Zostały tu zsumowane dochody z lat 2013-2017. 42% stanowią udziały w CIT, 10% to udziały w PIT, 16% to dotacje na inwestycje, a 18% to dotacje celowe na zadanie bieżące. Dochody z subwencji ogólnej stanowią 6%, a pozostałe dochody to 8%."/>
      </w:tblPr>
      <w:tblGrid>
        <w:gridCol w:w="9072"/>
      </w:tblGrid>
      <w:tr w:rsidR="00421A25" w:rsidRPr="00DC19E5" w14:paraId="5BCFA357" w14:textId="77777777" w:rsidTr="69901DB0">
        <w:tc>
          <w:tcPr>
            <w:tcW w:w="9072" w:type="dxa"/>
          </w:tcPr>
          <w:p w14:paraId="784074D9" w14:textId="2814A17C" w:rsidR="00421A25" w:rsidRPr="00DC19E5" w:rsidRDefault="00421A25" w:rsidP="000B3274">
            <w:pPr>
              <w:pStyle w:val="Legenda"/>
              <w:keepNext/>
            </w:pPr>
            <w:bookmarkStart w:id="104" w:name="_Ref536708737"/>
            <w:bookmarkStart w:id="105" w:name="_Toc5699517"/>
            <w:r>
              <w:t xml:space="preserve">Wykres </w:t>
            </w:r>
            <w:r w:rsidRPr="69901DB0">
              <w:fldChar w:fldCharType="begin"/>
            </w:r>
            <w:r>
              <w:rPr>
                <w:noProof/>
              </w:rPr>
              <w:instrText xml:space="preserve"> SEQ Wykres \* ARABIC </w:instrText>
            </w:r>
            <w:r w:rsidRPr="69901DB0">
              <w:rPr>
                <w:noProof/>
              </w:rPr>
              <w:fldChar w:fldCharType="separate"/>
            </w:r>
            <w:r w:rsidR="007F4FA2">
              <w:rPr>
                <w:noProof/>
              </w:rPr>
              <w:t>6</w:t>
            </w:r>
            <w:r w:rsidRPr="69901DB0">
              <w:fldChar w:fldCharType="end"/>
            </w:r>
            <w:bookmarkEnd w:id="104"/>
            <w:r>
              <w:t xml:space="preserve">. </w:t>
            </w:r>
            <w:r w:rsidRPr="00ED0E73">
              <w:t>Struk</w:t>
            </w:r>
            <w:r>
              <w:t>tura dochodów budżetu Województwa Wielkopolskiego (suma z lat 2013-2017</w:t>
            </w:r>
            <w:r w:rsidRPr="00ED0E73">
              <w:t>)</w:t>
            </w:r>
            <w:bookmarkEnd w:id="105"/>
          </w:p>
        </w:tc>
      </w:tr>
      <w:tr w:rsidR="00421A25" w:rsidRPr="00DC19E5" w14:paraId="497E5A1F" w14:textId="77777777" w:rsidTr="69901DB0">
        <w:tblPrEx>
          <w:tblCellMar>
            <w:left w:w="70" w:type="dxa"/>
            <w:right w:w="70" w:type="dxa"/>
          </w:tblCellMar>
        </w:tblPrEx>
        <w:tc>
          <w:tcPr>
            <w:tcW w:w="9072" w:type="dxa"/>
          </w:tcPr>
          <w:p w14:paraId="47BA19D8" w14:textId="77777777" w:rsidR="00421A25" w:rsidRPr="00DC19E5" w:rsidRDefault="00421A25" w:rsidP="00010F12">
            <w:pPr>
              <w:spacing w:after="0" w:line="240" w:lineRule="auto"/>
              <w:rPr>
                <w:sz w:val="14"/>
                <w:szCs w:val="14"/>
                <w:lang w:eastAsia="pl-PL"/>
              </w:rPr>
            </w:pPr>
            <w:r>
              <w:rPr>
                <w:noProof/>
                <w:lang w:eastAsia="pl-PL"/>
              </w:rPr>
              <w:drawing>
                <wp:inline distT="0" distB="0" distL="0" distR="0" wp14:anchorId="0B158689" wp14:editId="6AB34177">
                  <wp:extent cx="5600700" cy="2080260"/>
                  <wp:effectExtent l="0" t="0" r="0" b="0"/>
                  <wp:docPr id="1410683472" name="Wykres 1410683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421A25" w:rsidRPr="00DC19E5" w14:paraId="2B0C4E35" w14:textId="77777777" w:rsidTr="69901DB0">
        <w:tc>
          <w:tcPr>
            <w:tcW w:w="9072" w:type="dxa"/>
            <w:vAlign w:val="center"/>
          </w:tcPr>
          <w:p w14:paraId="0F542B42" w14:textId="77777777" w:rsidR="00421A25" w:rsidRPr="00DC19E5" w:rsidRDefault="00421A25" w:rsidP="00010F12">
            <w:pPr>
              <w:spacing w:line="240" w:lineRule="auto"/>
              <w:jc w:val="left"/>
              <w:rPr>
                <w:sz w:val="14"/>
                <w:szCs w:val="14"/>
                <w:lang w:eastAsia="pl-PL"/>
              </w:rPr>
            </w:pPr>
            <w:r>
              <w:rPr>
                <w:sz w:val="14"/>
                <w:szCs w:val="14"/>
                <w:lang w:eastAsia="pl-PL"/>
              </w:rPr>
              <w:t>Źródło: opracowanie własne na podstawie danych ze sprawozdań z wykonania budżetu województwa</w:t>
            </w:r>
          </w:p>
        </w:tc>
      </w:tr>
    </w:tbl>
    <w:p w14:paraId="122108D2" w14:textId="77777777" w:rsidR="00010F12" w:rsidRPr="00010F12" w:rsidRDefault="00010F12" w:rsidP="00356C68">
      <w:pPr>
        <w:spacing w:before="240"/>
        <w:ind w:left="5529"/>
        <w:jc w:val="left"/>
        <w:rPr>
          <w:b/>
          <w:i/>
          <w:color w:val="001E50"/>
          <w:lang w:eastAsia="pl-PL"/>
        </w:rPr>
      </w:pPr>
      <w:r>
        <w:rPr>
          <w:b/>
          <w:i/>
          <w:color w:val="001E50"/>
          <w:lang w:eastAsia="pl-PL"/>
        </w:rPr>
        <w:t>Wielkopolska skutecznie konkuruje o środki ze</w:t>
      </w:r>
      <w:r w:rsidRPr="00010F12">
        <w:rPr>
          <w:b/>
          <w:i/>
          <w:color w:val="001E50"/>
          <w:lang w:eastAsia="pl-PL"/>
        </w:rPr>
        <w:t>w</w:t>
      </w:r>
      <w:r>
        <w:rPr>
          <w:b/>
          <w:i/>
          <w:color w:val="001E50"/>
          <w:lang w:eastAsia="pl-PL"/>
        </w:rPr>
        <w:t>nętrzne z krajowych programów operacyjnych</w:t>
      </w:r>
    </w:p>
    <w:p w14:paraId="185C114B" w14:textId="7EFF0271" w:rsidR="00421A25" w:rsidRPr="00BD75B3" w:rsidRDefault="00010F12" w:rsidP="00421A25">
      <w:pPr>
        <w:rPr>
          <w:lang w:eastAsia="pl-PL"/>
        </w:rPr>
      </w:pPr>
      <w:r>
        <w:rPr>
          <w:lang w:eastAsia="pl-PL"/>
        </w:rPr>
        <w:t>W</w:t>
      </w:r>
      <w:r w:rsidR="00421A25">
        <w:rPr>
          <w:lang w:eastAsia="pl-PL"/>
        </w:rPr>
        <w:t>ojewództwo wielkopolskie aktywnie korzysta z krajowych programów operacyjnych. Analizując strukturę łącznej wartości podpisanych umów Wielkopolska ma największy udział w Programie Operacyjnym Polska Cyfrowa (10,</w:t>
      </w:r>
      <w:r w:rsidR="002E062E">
        <w:rPr>
          <w:lang w:eastAsia="pl-PL"/>
        </w:rPr>
        <w:t>2%, wyprzedza</w:t>
      </w:r>
      <w:r w:rsidR="00421A25">
        <w:rPr>
          <w:lang w:eastAsia="pl-PL"/>
        </w:rPr>
        <w:t xml:space="preserve"> ją tylko Lubelskie). W przypadku pozostałych programów krajowych udział umów podpisanych przez </w:t>
      </w:r>
      <w:r w:rsidR="00CD7038">
        <w:rPr>
          <w:lang w:eastAsia="pl-PL"/>
        </w:rPr>
        <w:t>w</w:t>
      </w:r>
      <w:r w:rsidR="00421A25">
        <w:rPr>
          <w:lang w:eastAsia="pl-PL"/>
        </w:rPr>
        <w:t>ielkopolskich beneficjentów waha się pomiędzy 6,</w:t>
      </w:r>
      <w:r w:rsidR="002E062E">
        <w:rPr>
          <w:lang w:eastAsia="pl-PL"/>
        </w:rPr>
        <w:t>4% (PO IiŚ), a 8,1% (PO WER</w:t>
      </w:r>
      <w:r w:rsidR="00421A25">
        <w:rPr>
          <w:lang w:eastAsia="pl-PL"/>
        </w:rPr>
        <w:t>)</w:t>
      </w:r>
      <w:r w:rsidR="002E062E">
        <w:rPr>
          <w:lang w:eastAsia="pl-PL"/>
        </w:rPr>
        <w:t xml:space="preserve"> co daje Wielkopolsce miejsca pomiędzy</w:t>
      </w:r>
      <w:r w:rsidR="00F145F6">
        <w:rPr>
          <w:lang w:eastAsia="pl-PL"/>
        </w:rPr>
        <w:t xml:space="preserve"> 4 i 6 pośród pozostałych</w:t>
      </w:r>
      <w:r w:rsidR="002E062E">
        <w:rPr>
          <w:lang w:eastAsia="pl-PL"/>
        </w:rPr>
        <w:t xml:space="preserve"> województw</w:t>
      </w:r>
      <w:r w:rsidR="00421A25">
        <w:rPr>
          <w:lang w:eastAsia="pl-PL"/>
        </w:rPr>
        <w:t xml:space="preserve"> (</w:t>
      </w:r>
      <w:r w:rsidR="00421A25">
        <w:rPr>
          <w:highlight w:val="yellow"/>
          <w:lang w:eastAsia="pl-PL"/>
        </w:rPr>
        <w:fldChar w:fldCharType="begin"/>
      </w:r>
      <w:r w:rsidR="00421A25">
        <w:rPr>
          <w:lang w:eastAsia="pl-PL"/>
        </w:rPr>
        <w:instrText xml:space="preserve"> REF _Ref536708813 \h </w:instrText>
      </w:r>
      <w:r w:rsidR="00421A25">
        <w:rPr>
          <w:highlight w:val="yellow"/>
          <w:lang w:eastAsia="pl-PL"/>
        </w:rPr>
      </w:r>
      <w:r w:rsidR="00421A25">
        <w:rPr>
          <w:highlight w:val="yellow"/>
          <w:lang w:eastAsia="pl-PL"/>
        </w:rPr>
        <w:fldChar w:fldCharType="separate"/>
      </w:r>
      <w:r w:rsidR="007F4FA2">
        <w:t xml:space="preserve">Wykres </w:t>
      </w:r>
      <w:r w:rsidR="007F4FA2">
        <w:rPr>
          <w:noProof/>
        </w:rPr>
        <w:t>7</w:t>
      </w:r>
      <w:r w:rsidR="00421A25">
        <w:rPr>
          <w:highlight w:val="yellow"/>
          <w:lang w:eastAsia="pl-PL"/>
        </w:rPr>
        <w:fldChar w:fldCharType="end"/>
      </w:r>
      <w:r w:rsidR="00687F2C">
        <w:rPr>
          <w:lang w:eastAsia="pl-PL"/>
        </w:rPr>
        <w:t>)</w:t>
      </w:r>
      <w:r w:rsidR="00421A25">
        <w:rPr>
          <w:lang w:eastAsia="pl-PL"/>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ykres 7. Struktura korzystania poszczególnych województw z programów krajowych (wg wartości umów, do 3.09.2018)"/>
        <w:tblDescription w:val="Wykres przedstawia strukturę korzystania poszczególnych województw ze środków programów krajowych: POWER, POPC, POIR oraz POIiŚ."/>
      </w:tblPr>
      <w:tblGrid>
        <w:gridCol w:w="9072"/>
      </w:tblGrid>
      <w:tr w:rsidR="00421A25" w:rsidRPr="00DC19E5" w14:paraId="4CE01F5F" w14:textId="77777777" w:rsidTr="69901DB0">
        <w:tc>
          <w:tcPr>
            <w:tcW w:w="9066" w:type="dxa"/>
          </w:tcPr>
          <w:p w14:paraId="1F103C25" w14:textId="3A717254" w:rsidR="00421A25" w:rsidRPr="00DC19E5" w:rsidRDefault="00421A25" w:rsidP="000B3274">
            <w:pPr>
              <w:pStyle w:val="Legenda"/>
              <w:keepNext/>
            </w:pPr>
            <w:bookmarkStart w:id="106" w:name="_Ref536708813"/>
            <w:bookmarkStart w:id="107" w:name="_Toc5699518"/>
            <w:r>
              <w:lastRenderedPageBreak/>
              <w:t xml:space="preserve">Wykres </w:t>
            </w:r>
            <w:r w:rsidRPr="69901DB0">
              <w:fldChar w:fldCharType="begin"/>
            </w:r>
            <w:r>
              <w:rPr>
                <w:noProof/>
              </w:rPr>
              <w:instrText xml:space="preserve"> SEQ Wykres \* ARABIC </w:instrText>
            </w:r>
            <w:r w:rsidRPr="69901DB0">
              <w:rPr>
                <w:noProof/>
              </w:rPr>
              <w:fldChar w:fldCharType="separate"/>
            </w:r>
            <w:r w:rsidR="007F4FA2">
              <w:rPr>
                <w:noProof/>
              </w:rPr>
              <w:t>7</w:t>
            </w:r>
            <w:r w:rsidRPr="69901DB0">
              <w:fldChar w:fldCharType="end"/>
            </w:r>
            <w:bookmarkEnd w:id="106"/>
            <w:r>
              <w:t xml:space="preserve">. </w:t>
            </w:r>
            <w:r w:rsidRPr="00ED0E73">
              <w:t xml:space="preserve">Struktura korzystania poszczególnych województw z programów krajowych (wg wartości umów, do </w:t>
            </w:r>
            <w:r w:rsidR="0097234E">
              <w:t>28.02.2019</w:t>
            </w:r>
            <w:r w:rsidRPr="00ED0E73">
              <w:t>)</w:t>
            </w:r>
            <w:bookmarkEnd w:id="107"/>
          </w:p>
        </w:tc>
      </w:tr>
      <w:tr w:rsidR="00421A25" w:rsidRPr="00DC19E5" w14:paraId="6F388A89" w14:textId="77777777" w:rsidTr="69901DB0">
        <w:tblPrEx>
          <w:tblCellMar>
            <w:left w:w="70" w:type="dxa"/>
            <w:right w:w="70" w:type="dxa"/>
          </w:tblCellMar>
        </w:tblPrEx>
        <w:tc>
          <w:tcPr>
            <w:tcW w:w="9066" w:type="dxa"/>
          </w:tcPr>
          <w:p w14:paraId="4D2067BD" w14:textId="5CE3E995" w:rsidR="00421A25" w:rsidRPr="00DC19E5" w:rsidRDefault="0094386A" w:rsidP="000B3274">
            <w:pPr>
              <w:spacing w:after="0" w:line="240" w:lineRule="auto"/>
              <w:rPr>
                <w:sz w:val="14"/>
                <w:szCs w:val="14"/>
                <w:lang w:eastAsia="pl-PL"/>
              </w:rPr>
            </w:pPr>
            <w:r>
              <w:rPr>
                <w:noProof/>
                <w:lang w:eastAsia="pl-PL"/>
              </w:rPr>
              <w:drawing>
                <wp:inline distT="0" distB="0" distL="0" distR="0" wp14:anchorId="2E84E88C" wp14:editId="79E36DA2">
                  <wp:extent cx="5760720" cy="1737360"/>
                  <wp:effectExtent l="0" t="0" r="0" b="0"/>
                  <wp:docPr id="1410683485" name="Wykres 14106834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421A25" w:rsidRPr="00DC19E5" w14:paraId="7407715C" w14:textId="77777777" w:rsidTr="69901DB0">
        <w:tc>
          <w:tcPr>
            <w:tcW w:w="9066" w:type="dxa"/>
            <w:vAlign w:val="center"/>
          </w:tcPr>
          <w:p w14:paraId="6727918B" w14:textId="2E1F138A" w:rsidR="00421A25" w:rsidRPr="00DC19E5" w:rsidRDefault="00421A25" w:rsidP="000B3274">
            <w:pPr>
              <w:spacing w:after="0" w:line="240" w:lineRule="auto"/>
              <w:jc w:val="left"/>
              <w:rPr>
                <w:sz w:val="14"/>
                <w:szCs w:val="14"/>
                <w:lang w:eastAsia="pl-PL"/>
              </w:rPr>
            </w:pPr>
            <w:r>
              <w:rPr>
                <w:sz w:val="14"/>
                <w:szCs w:val="14"/>
                <w:lang w:eastAsia="pl-PL"/>
              </w:rPr>
              <w:t xml:space="preserve">Źródło: opracowanie własne na podstawie danych </w:t>
            </w:r>
            <w:r w:rsidR="0094386A">
              <w:rPr>
                <w:sz w:val="14"/>
                <w:szCs w:val="14"/>
                <w:lang w:eastAsia="pl-PL"/>
              </w:rPr>
              <w:t>z Centralnego</w:t>
            </w:r>
            <w:r w:rsidR="0094386A" w:rsidRPr="008A2D6D">
              <w:rPr>
                <w:sz w:val="14"/>
                <w:szCs w:val="14"/>
                <w:lang w:eastAsia="pl-PL"/>
              </w:rPr>
              <w:t xml:space="preserve"> System</w:t>
            </w:r>
            <w:r w:rsidR="0094386A">
              <w:rPr>
                <w:sz w:val="14"/>
                <w:szCs w:val="14"/>
                <w:lang w:eastAsia="pl-PL"/>
              </w:rPr>
              <w:t>u Teleinformatycznego</w:t>
            </w:r>
            <w:r w:rsidR="0094386A" w:rsidRPr="008A2D6D">
              <w:rPr>
                <w:sz w:val="14"/>
                <w:szCs w:val="14"/>
                <w:lang w:eastAsia="pl-PL"/>
              </w:rPr>
              <w:t xml:space="preserve"> SL2014</w:t>
            </w:r>
          </w:p>
        </w:tc>
      </w:tr>
    </w:tbl>
    <w:p w14:paraId="5C94DDE4" w14:textId="77777777" w:rsidR="00421A25" w:rsidRPr="00594B95" w:rsidRDefault="00421A25" w:rsidP="00421A25">
      <w:pPr>
        <w:rPr>
          <w:szCs w:val="22"/>
          <w:lang w:eastAsia="pl-PL"/>
        </w:rPr>
      </w:pPr>
    </w:p>
    <w:p w14:paraId="56115D40" w14:textId="62ACD163" w:rsidR="00421A25" w:rsidRPr="00594B95" w:rsidRDefault="00421A25" w:rsidP="00421A25">
      <w:pPr>
        <w:rPr>
          <w:szCs w:val="22"/>
          <w:lang w:eastAsia="pl-PL"/>
        </w:rPr>
      </w:pPr>
      <w:r>
        <w:rPr>
          <w:szCs w:val="22"/>
          <w:lang w:eastAsia="pl-PL"/>
        </w:rPr>
        <w:t xml:space="preserve">Podmioty z Wielkopolski są także ponadprzeciętnie aktywne w pozyskiwaniu środków na badania naukowe i innowacje w ramach programu Horyzont 2020. </w:t>
      </w:r>
      <w:r w:rsidR="00867063">
        <w:rPr>
          <w:szCs w:val="22"/>
          <w:lang w:eastAsia="pl-PL"/>
        </w:rPr>
        <w:t>Zgodnie z oceną Komisji Europejskiej</w:t>
      </w:r>
      <w:r w:rsidR="00245CD7">
        <w:rPr>
          <w:szCs w:val="22"/>
          <w:lang w:eastAsia="pl-PL"/>
        </w:rPr>
        <w:t>,</w:t>
      </w:r>
      <w:r w:rsidR="00867063">
        <w:rPr>
          <w:szCs w:val="22"/>
          <w:lang w:eastAsia="pl-PL"/>
        </w:rPr>
        <w:t xml:space="preserve"> w efekcie projektów realizowanych z tego programu tworzone są</w:t>
      </w:r>
      <w:r w:rsidR="00867063" w:rsidRPr="00867063">
        <w:rPr>
          <w:szCs w:val="22"/>
          <w:lang w:eastAsia="pl-PL"/>
        </w:rPr>
        <w:t xml:space="preserve"> </w:t>
      </w:r>
      <w:r w:rsidR="00867063">
        <w:rPr>
          <w:szCs w:val="22"/>
          <w:lang w:eastAsia="pl-PL"/>
        </w:rPr>
        <w:t xml:space="preserve">nowe </w:t>
      </w:r>
      <w:r w:rsidR="00867063" w:rsidRPr="00867063">
        <w:rPr>
          <w:szCs w:val="22"/>
          <w:lang w:eastAsia="pl-PL"/>
        </w:rPr>
        <w:t>miejsc</w:t>
      </w:r>
      <w:r w:rsidR="00867063">
        <w:rPr>
          <w:szCs w:val="22"/>
          <w:lang w:eastAsia="pl-PL"/>
        </w:rPr>
        <w:t>a pracy, a dzięki wzrostowi gospodarczemu i rozwojowi społecznemu stopniowo poprawia się dobrostan</w:t>
      </w:r>
      <w:r w:rsidR="00867063" w:rsidRPr="00867063">
        <w:rPr>
          <w:szCs w:val="22"/>
          <w:lang w:eastAsia="pl-PL"/>
        </w:rPr>
        <w:t xml:space="preserve"> społeczeństwa</w:t>
      </w:r>
      <w:r w:rsidR="00C009D6">
        <w:rPr>
          <w:szCs w:val="22"/>
          <w:lang w:eastAsia="pl-PL"/>
        </w:rPr>
        <w:t xml:space="preserve"> (Komunikat Komisji Europejskiej z 30.05.2017)</w:t>
      </w:r>
      <w:r w:rsidR="00867063">
        <w:rPr>
          <w:szCs w:val="22"/>
          <w:lang w:eastAsia="pl-PL"/>
        </w:rPr>
        <w:t xml:space="preserve">. </w:t>
      </w:r>
      <w:r>
        <w:rPr>
          <w:szCs w:val="22"/>
          <w:lang w:eastAsia="pl-PL"/>
        </w:rPr>
        <w:t>Wyższy udział w dofinansowaniu z tego programu odnotowano jedynie na Mazowszu i w Małopolsce (</w:t>
      </w:r>
      <w:r>
        <w:rPr>
          <w:szCs w:val="22"/>
          <w:lang w:eastAsia="pl-PL"/>
        </w:rPr>
        <w:fldChar w:fldCharType="begin"/>
      </w:r>
      <w:r>
        <w:rPr>
          <w:szCs w:val="22"/>
          <w:lang w:eastAsia="pl-PL"/>
        </w:rPr>
        <w:instrText xml:space="preserve"> REF _Ref536710448 \h </w:instrText>
      </w:r>
      <w:r>
        <w:rPr>
          <w:szCs w:val="22"/>
          <w:lang w:eastAsia="pl-PL"/>
        </w:rPr>
      </w:r>
      <w:r>
        <w:rPr>
          <w:szCs w:val="22"/>
          <w:lang w:eastAsia="pl-PL"/>
        </w:rPr>
        <w:fldChar w:fldCharType="separate"/>
      </w:r>
      <w:r w:rsidR="007F4FA2">
        <w:t xml:space="preserve">Wykres </w:t>
      </w:r>
      <w:r w:rsidR="007F4FA2">
        <w:rPr>
          <w:noProof/>
        </w:rPr>
        <w:t>8</w:t>
      </w:r>
      <w:r>
        <w:rPr>
          <w:szCs w:val="22"/>
          <w:lang w:eastAsia="pl-PL"/>
        </w:rPr>
        <w:fldChar w:fldCharType="end"/>
      </w:r>
      <w:r>
        <w:rPr>
          <w:szCs w:val="22"/>
          <w:lang w:eastAsia="pl-PL"/>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ykres 8. Udział poszczególnych województw w dofinansowaniu z programu Horyzont 2020 (po 586 konkursach)"/>
        <w:tblDescription w:val="Wykres przedstawia udział poszczególnych województw w dofinansowaniu z programu Horyzont 2020."/>
      </w:tblPr>
      <w:tblGrid>
        <w:gridCol w:w="9072"/>
      </w:tblGrid>
      <w:tr w:rsidR="00421A25" w:rsidRPr="00DC19E5" w14:paraId="128CD066" w14:textId="77777777" w:rsidTr="69901DB0">
        <w:tc>
          <w:tcPr>
            <w:tcW w:w="9066" w:type="dxa"/>
          </w:tcPr>
          <w:p w14:paraId="73334FE4" w14:textId="5E98F2FD" w:rsidR="00421A25" w:rsidRPr="00AD5F85" w:rsidRDefault="00421A25" w:rsidP="000B3274">
            <w:pPr>
              <w:pStyle w:val="Legenda"/>
            </w:pPr>
            <w:bookmarkStart w:id="108" w:name="_Ref536710448"/>
            <w:bookmarkStart w:id="109" w:name="_Toc5699519"/>
            <w:r>
              <w:t xml:space="preserve">Wykres </w:t>
            </w:r>
            <w:r w:rsidRPr="69901DB0">
              <w:fldChar w:fldCharType="begin"/>
            </w:r>
            <w:r>
              <w:rPr>
                <w:noProof/>
              </w:rPr>
              <w:instrText xml:space="preserve"> SEQ Wykres \* ARABIC </w:instrText>
            </w:r>
            <w:r w:rsidRPr="69901DB0">
              <w:rPr>
                <w:noProof/>
              </w:rPr>
              <w:fldChar w:fldCharType="separate"/>
            </w:r>
            <w:r w:rsidR="007F4FA2">
              <w:rPr>
                <w:noProof/>
              </w:rPr>
              <w:t>8</w:t>
            </w:r>
            <w:r w:rsidRPr="69901DB0">
              <w:fldChar w:fldCharType="end"/>
            </w:r>
            <w:bookmarkEnd w:id="108"/>
            <w:r>
              <w:t xml:space="preserve">. </w:t>
            </w:r>
            <w:r w:rsidRPr="1FA2818E">
              <w:t>Udział poszczególnych województw w dofinansowaniu z programu Horyzont 2020 (po 586 konkursach)</w:t>
            </w:r>
            <w:bookmarkEnd w:id="109"/>
          </w:p>
        </w:tc>
      </w:tr>
      <w:tr w:rsidR="00421A25" w:rsidRPr="00DC19E5" w14:paraId="504660ED" w14:textId="77777777" w:rsidTr="69901DB0">
        <w:tblPrEx>
          <w:tblCellMar>
            <w:left w:w="70" w:type="dxa"/>
            <w:right w:w="70" w:type="dxa"/>
          </w:tblCellMar>
        </w:tblPrEx>
        <w:tc>
          <w:tcPr>
            <w:tcW w:w="9066" w:type="dxa"/>
          </w:tcPr>
          <w:p w14:paraId="3F238231" w14:textId="77777777" w:rsidR="00421A25" w:rsidRPr="00DC19E5" w:rsidRDefault="00421A25" w:rsidP="000B3274">
            <w:pPr>
              <w:spacing w:after="0" w:line="240" w:lineRule="auto"/>
              <w:rPr>
                <w:sz w:val="14"/>
                <w:szCs w:val="14"/>
                <w:lang w:eastAsia="pl-PL"/>
              </w:rPr>
            </w:pPr>
            <w:r>
              <w:rPr>
                <w:noProof/>
                <w:lang w:eastAsia="pl-PL"/>
              </w:rPr>
              <w:drawing>
                <wp:inline distT="0" distB="0" distL="0" distR="0" wp14:anchorId="48B6ADA1" wp14:editId="24F1E646">
                  <wp:extent cx="5760720" cy="1923415"/>
                  <wp:effectExtent l="0" t="0" r="0" b="635"/>
                  <wp:docPr id="1410683469" name="Wykres 1410683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421A25" w:rsidRPr="00DC19E5" w14:paraId="449DFE46" w14:textId="77777777" w:rsidTr="69901DB0">
        <w:tc>
          <w:tcPr>
            <w:tcW w:w="9066" w:type="dxa"/>
            <w:vAlign w:val="center"/>
          </w:tcPr>
          <w:p w14:paraId="370136BF" w14:textId="77777777" w:rsidR="00421A25" w:rsidRPr="00DC19E5" w:rsidRDefault="00421A25" w:rsidP="000B3274">
            <w:pPr>
              <w:keepNext/>
              <w:spacing w:after="0" w:line="240" w:lineRule="auto"/>
              <w:jc w:val="left"/>
              <w:rPr>
                <w:sz w:val="14"/>
                <w:szCs w:val="14"/>
                <w:lang w:eastAsia="pl-PL"/>
              </w:rPr>
            </w:pPr>
            <w:r>
              <w:rPr>
                <w:sz w:val="14"/>
                <w:szCs w:val="14"/>
                <w:lang w:eastAsia="pl-PL"/>
              </w:rPr>
              <w:t>Źródło: opracowanie własne na podstawie danych KPK z 12.2018 roku.</w:t>
            </w:r>
          </w:p>
        </w:tc>
      </w:tr>
    </w:tbl>
    <w:p w14:paraId="7C30A8CE" w14:textId="77777777" w:rsidR="00421A25" w:rsidRDefault="00421A25" w:rsidP="00421A25">
      <w:pPr>
        <w:spacing w:after="0"/>
        <w:rPr>
          <w:b/>
          <w:sz w:val="18"/>
          <w:szCs w:val="18"/>
          <w:lang w:eastAsia="pl-PL"/>
        </w:rPr>
      </w:pPr>
    </w:p>
    <w:p w14:paraId="41F2AC36" w14:textId="434E4B44" w:rsidR="00414EC5" w:rsidRDefault="00421A25" w:rsidP="00421A25">
      <w:pPr>
        <w:rPr>
          <w:szCs w:val="22"/>
          <w:lang w:eastAsia="pl-PL"/>
        </w:rPr>
      </w:pPr>
      <w:r w:rsidRPr="00010F12">
        <w:rPr>
          <w:szCs w:val="22"/>
          <w:lang w:eastAsia="pl-PL"/>
        </w:rPr>
        <w:t>W poprzednich perspektywach finansowych najpopularniejszą metodą finansowania inwestycji były granty</w:t>
      </w:r>
      <w:r w:rsidR="00687F2C">
        <w:rPr>
          <w:rStyle w:val="Odwoanieprzypisudolnego"/>
          <w:szCs w:val="22"/>
          <w:lang w:eastAsia="pl-PL"/>
        </w:rPr>
        <w:footnoteReference w:id="16"/>
      </w:r>
      <w:r w:rsidR="00414EC5">
        <w:rPr>
          <w:szCs w:val="22"/>
          <w:lang w:eastAsia="pl-PL"/>
        </w:rPr>
        <w:t>. Ta forma jest wciąż szeroko wykorzystywana, jednak ze względu na pewne jej cechy (np. możliwość tylko jednorazowego wykorzystywania</w:t>
      </w:r>
      <w:r w:rsidRPr="00010F12">
        <w:rPr>
          <w:szCs w:val="22"/>
          <w:lang w:eastAsia="pl-PL"/>
        </w:rPr>
        <w:t xml:space="preserve"> środków, </w:t>
      </w:r>
      <w:r w:rsidR="00414EC5">
        <w:rPr>
          <w:szCs w:val="22"/>
          <w:lang w:eastAsia="pl-PL"/>
        </w:rPr>
        <w:t xml:space="preserve">czasochłonność i skomplikowanie procedur aplikacyjnych, uzależnienie planów inwestycyjnych od terminów naborów wniosków i ich wyników, o czym szeroko pisze </w:t>
      </w:r>
      <w:r w:rsidRPr="00010F12">
        <w:rPr>
          <w:szCs w:val="22"/>
          <w:lang w:eastAsia="pl-PL"/>
        </w:rPr>
        <w:t xml:space="preserve">Fulara </w:t>
      </w:r>
      <w:r w:rsidR="00414EC5">
        <w:rPr>
          <w:szCs w:val="22"/>
          <w:lang w:eastAsia="pl-PL"/>
        </w:rPr>
        <w:t>(</w:t>
      </w:r>
      <w:r w:rsidRPr="00010F12">
        <w:rPr>
          <w:szCs w:val="22"/>
          <w:lang w:eastAsia="pl-PL"/>
        </w:rPr>
        <w:t>2016)</w:t>
      </w:r>
      <w:r w:rsidR="00414EC5">
        <w:rPr>
          <w:szCs w:val="22"/>
          <w:lang w:eastAsia="pl-PL"/>
        </w:rPr>
        <w:t>)</w:t>
      </w:r>
      <w:r w:rsidR="006612AD">
        <w:rPr>
          <w:szCs w:val="22"/>
          <w:lang w:eastAsia="pl-PL"/>
        </w:rPr>
        <w:t xml:space="preserve"> wiele samorządów rozważa</w:t>
      </w:r>
      <w:r w:rsidRPr="00010F12">
        <w:rPr>
          <w:szCs w:val="22"/>
          <w:lang w:eastAsia="pl-PL"/>
        </w:rPr>
        <w:t xml:space="preserve"> alternatywne metody współfinansowania, tj. zwrotne instrumenty finansowe, takie jak np. kredyty, pożyczki, kredyty i pożyczki preferencyjne, obligacje komunalne, obligacje przychodowe, cesja wierzytelności, leasing operacyjny lub finansowy. </w:t>
      </w:r>
    </w:p>
    <w:p w14:paraId="350ABF4F" w14:textId="3344BFF4" w:rsidR="00421A25" w:rsidRPr="00414EC5" w:rsidRDefault="00414EC5" w:rsidP="00414EC5">
      <w:pPr>
        <w:tabs>
          <w:tab w:val="left" w:pos="5775"/>
        </w:tabs>
        <w:rPr>
          <w:szCs w:val="22"/>
          <w:lang w:eastAsia="pl-PL"/>
        </w:rPr>
      </w:pPr>
      <w:r>
        <w:rPr>
          <w:szCs w:val="22"/>
          <w:lang w:eastAsia="pl-PL"/>
        </w:rPr>
        <w:tab/>
        <w:t xml:space="preserve"> </w:t>
      </w:r>
    </w:p>
    <w:p w14:paraId="15C57540" w14:textId="237553C0" w:rsidR="00421A25" w:rsidRDefault="00421A25" w:rsidP="00421A25">
      <w:pPr>
        <w:rPr>
          <w:szCs w:val="22"/>
          <w:lang w:eastAsia="pl-PL"/>
        </w:rPr>
      </w:pPr>
      <w:r>
        <w:rPr>
          <w:szCs w:val="22"/>
          <w:lang w:eastAsia="pl-PL"/>
        </w:rPr>
        <w:lastRenderedPageBreak/>
        <w:t>Z</w:t>
      </w:r>
      <w:r w:rsidRPr="00C53082">
        <w:rPr>
          <w:szCs w:val="22"/>
          <w:lang w:eastAsia="pl-PL"/>
        </w:rPr>
        <w:t>wrotne instrumenty finansowe są korzystne dla administracji (w tym samo</w:t>
      </w:r>
      <w:r w:rsidR="00486863">
        <w:rPr>
          <w:szCs w:val="22"/>
          <w:lang w:eastAsia="pl-PL"/>
        </w:rPr>
        <w:t>rządowej) ze względu na: wysokie</w:t>
      </w:r>
      <w:r w:rsidRPr="00C53082">
        <w:rPr>
          <w:szCs w:val="22"/>
          <w:lang w:eastAsia="pl-PL"/>
        </w:rPr>
        <w:t xml:space="preserve"> bezpieczeństwo i trwałość inwestycji (ocena przez wyspecjalizowane instytucje bankowe), zmniejszone koszty operacyjne, przejrzystość i łatwość monitorowania realizacji oraz realizację celów polityki spójności (ułatwiony dostęp do kapitału przez MŚP) (Fulara 2016).</w:t>
      </w:r>
    </w:p>
    <w:p w14:paraId="532FE5BA" w14:textId="64054C1B" w:rsidR="00421A25" w:rsidRPr="00594B95" w:rsidRDefault="00421A25" w:rsidP="00421A25">
      <w:pPr>
        <w:rPr>
          <w:szCs w:val="22"/>
          <w:lang w:eastAsia="pl-PL"/>
        </w:rPr>
      </w:pPr>
      <w:r>
        <w:rPr>
          <w:szCs w:val="22"/>
          <w:lang w:eastAsia="pl-PL"/>
        </w:rPr>
        <w:t xml:space="preserve">Województwo wielkopolskie ma </w:t>
      </w:r>
      <w:r w:rsidRPr="00ED3165">
        <w:rPr>
          <w:szCs w:val="22"/>
          <w:lang w:eastAsia="pl-PL"/>
        </w:rPr>
        <w:t>pozytyw</w:t>
      </w:r>
      <w:r>
        <w:rPr>
          <w:szCs w:val="22"/>
          <w:lang w:eastAsia="pl-PL"/>
        </w:rPr>
        <w:t>ne doświadczenia</w:t>
      </w:r>
      <w:r w:rsidRPr="00ED3165">
        <w:rPr>
          <w:szCs w:val="22"/>
          <w:lang w:eastAsia="pl-PL"/>
        </w:rPr>
        <w:t xml:space="preserve"> z instrumentami finansowymi w latach 2007-</w:t>
      </w:r>
      <w:r w:rsidR="00B342D2">
        <w:rPr>
          <w:szCs w:val="22"/>
          <w:lang w:eastAsia="pl-PL"/>
        </w:rPr>
        <w:t>20</w:t>
      </w:r>
      <w:r w:rsidRPr="00ED3165">
        <w:rPr>
          <w:szCs w:val="22"/>
          <w:lang w:eastAsia="pl-PL"/>
        </w:rPr>
        <w:t xml:space="preserve">13 dzięki Inicjatywie JEREMIE (pożyczki i poręczenia dla sektora MŚP) oraz Inicjatywie JESSICA (pożyczki na zwiększanie atrakcyjności obszarów miejskich) realizowanymi ze środków </w:t>
      </w:r>
      <w:r w:rsidR="000D59B1">
        <w:rPr>
          <w:szCs w:val="22"/>
          <w:lang w:eastAsia="pl-PL"/>
        </w:rPr>
        <w:t>W</w:t>
      </w:r>
      <w:r w:rsidRPr="00ED3165">
        <w:rPr>
          <w:szCs w:val="22"/>
          <w:lang w:eastAsia="pl-PL"/>
        </w:rPr>
        <w:t>RPO 2007-</w:t>
      </w:r>
      <w:r w:rsidR="00B342D2">
        <w:rPr>
          <w:szCs w:val="22"/>
          <w:lang w:eastAsia="pl-PL"/>
        </w:rPr>
        <w:t>20</w:t>
      </w:r>
      <w:r w:rsidRPr="00ED3165">
        <w:rPr>
          <w:szCs w:val="22"/>
          <w:lang w:eastAsia="pl-PL"/>
        </w:rPr>
        <w:t>13, gdzie menadżerami byli odpowiednio Bank Gospodarstwa Krajowego oraz Europejski Bank Inwestycyjny. Dzięki efektowi dźwigni finansowej w tamtym okresie</w:t>
      </w:r>
      <w:r>
        <w:rPr>
          <w:szCs w:val="22"/>
          <w:lang w:eastAsia="pl-PL"/>
        </w:rPr>
        <w:t>,</w:t>
      </w:r>
      <w:r w:rsidRPr="00ED3165">
        <w:rPr>
          <w:szCs w:val="22"/>
          <w:lang w:eastAsia="pl-PL"/>
        </w:rPr>
        <w:t xml:space="preserve"> zaangażowane środki z WRPO sfinansowały przedsięwzięcia o znacznie większej warto</w:t>
      </w:r>
      <w:r>
        <w:rPr>
          <w:szCs w:val="22"/>
          <w:lang w:eastAsia="pl-PL"/>
        </w:rPr>
        <w:t>ści (Szczucki i in. 2015</w:t>
      </w:r>
      <w:r w:rsidRPr="00ED3165">
        <w:rPr>
          <w:szCs w:val="22"/>
          <w:lang w:eastAsia="pl-PL"/>
        </w:rPr>
        <w:t>).</w:t>
      </w:r>
    </w:p>
    <w:p w14:paraId="6F8CE35D" w14:textId="199C9847" w:rsidR="00421A25" w:rsidRDefault="00421A25" w:rsidP="00421A25">
      <w:pPr>
        <w:rPr>
          <w:szCs w:val="22"/>
          <w:lang w:eastAsia="pl-PL"/>
        </w:rPr>
      </w:pPr>
      <w:r>
        <w:rPr>
          <w:szCs w:val="22"/>
          <w:lang w:eastAsia="pl-PL"/>
        </w:rPr>
        <w:t>Środki, które zostały zwrócone w ramach instrumentów inżynierii finansowej wykorzystywanych w latach 2007-2013 (</w:t>
      </w:r>
      <w:r w:rsidRPr="0001550E">
        <w:rPr>
          <w:szCs w:val="22"/>
          <w:lang w:eastAsia="pl-PL"/>
        </w:rPr>
        <w:t>JEREMIE</w:t>
      </w:r>
      <w:r>
        <w:rPr>
          <w:szCs w:val="22"/>
          <w:lang w:eastAsia="pl-PL"/>
        </w:rPr>
        <w:t xml:space="preserve"> i </w:t>
      </w:r>
      <w:r w:rsidRPr="00ED3165">
        <w:rPr>
          <w:szCs w:val="22"/>
          <w:lang w:eastAsia="pl-PL"/>
        </w:rPr>
        <w:t>JESSICA</w:t>
      </w:r>
      <w:r>
        <w:rPr>
          <w:szCs w:val="22"/>
          <w:lang w:eastAsia="pl-PL"/>
        </w:rPr>
        <w:t xml:space="preserve">) pozostały w dyspozycji Wielkopolskiego Funduszu Rozwoju </w:t>
      </w:r>
      <w:r w:rsidR="000B1649">
        <w:rPr>
          <w:szCs w:val="22"/>
          <w:lang w:eastAsia="pl-PL"/>
        </w:rPr>
        <w:t>S</w:t>
      </w:r>
      <w:r w:rsidRPr="00DE43A4">
        <w:rPr>
          <w:szCs w:val="22"/>
          <w:lang w:eastAsia="pl-PL"/>
        </w:rPr>
        <w:t>p. z o.o.</w:t>
      </w:r>
      <w:r>
        <w:rPr>
          <w:szCs w:val="22"/>
          <w:lang w:eastAsia="pl-PL"/>
        </w:rPr>
        <w:t xml:space="preserve"> (spółki samorządu województwa wielkopolskiego). Środki pozabudżetowe wydatkowane przez inne podmioty województwa wielkopolskiego (np. spółki komunalne samorządu województwa) także mogą przyczyniać się do realizacji Strategii. Przeznaczenie funduszy zwróconych w ramach programów </w:t>
      </w:r>
      <w:r w:rsidRPr="0001550E">
        <w:rPr>
          <w:szCs w:val="22"/>
          <w:lang w:eastAsia="pl-PL"/>
        </w:rPr>
        <w:t>JEREMIE</w:t>
      </w:r>
      <w:r>
        <w:rPr>
          <w:szCs w:val="22"/>
          <w:lang w:eastAsia="pl-PL"/>
        </w:rPr>
        <w:t xml:space="preserve"> i </w:t>
      </w:r>
      <w:r w:rsidRPr="00ED3165">
        <w:rPr>
          <w:szCs w:val="22"/>
          <w:lang w:eastAsia="pl-PL"/>
        </w:rPr>
        <w:t>JESSICA</w:t>
      </w:r>
      <w:r>
        <w:rPr>
          <w:szCs w:val="22"/>
          <w:lang w:eastAsia="pl-PL"/>
        </w:rPr>
        <w:t xml:space="preserve"> na dalszy rozwój regionu wydaje się najbardziej oczywistą strategią wykorzystania tych środków. Przy czym warto przy monitorowaniu realizacji przyszłej strategii rozwoju województwa pamiętać o włączeniu tego typu wydatków pozabudżetowych do analiz.</w:t>
      </w:r>
    </w:p>
    <w:p w14:paraId="0AFB5BFA" w14:textId="53E4E000" w:rsidR="00421A25" w:rsidRDefault="00010F12" w:rsidP="00421A25">
      <w:pPr>
        <w:rPr>
          <w:szCs w:val="22"/>
          <w:lang w:eastAsia="pl-PL"/>
        </w:rPr>
      </w:pPr>
      <w:r>
        <w:rPr>
          <w:szCs w:val="22"/>
          <w:lang w:eastAsia="pl-PL"/>
        </w:rPr>
        <w:t>W trakcie wywiadów z p</w:t>
      </w:r>
      <w:r w:rsidR="00421A25">
        <w:rPr>
          <w:szCs w:val="22"/>
          <w:lang w:eastAsia="pl-PL"/>
        </w:rPr>
        <w:t>rzedstawiciel</w:t>
      </w:r>
      <w:r>
        <w:rPr>
          <w:szCs w:val="22"/>
          <w:lang w:eastAsia="pl-PL"/>
        </w:rPr>
        <w:t>ami d</w:t>
      </w:r>
      <w:r w:rsidR="00421A25">
        <w:rPr>
          <w:szCs w:val="22"/>
          <w:lang w:eastAsia="pl-PL"/>
        </w:rPr>
        <w:t>epartament</w:t>
      </w:r>
      <w:r>
        <w:rPr>
          <w:szCs w:val="22"/>
          <w:lang w:eastAsia="pl-PL"/>
        </w:rPr>
        <w:t>ów</w:t>
      </w:r>
      <w:r w:rsidR="00BF3981">
        <w:rPr>
          <w:szCs w:val="22"/>
          <w:lang w:eastAsia="pl-PL"/>
        </w:rPr>
        <w:t xml:space="preserve"> UMWW</w:t>
      </w:r>
      <w:r w:rsidR="00421A25">
        <w:rPr>
          <w:szCs w:val="22"/>
          <w:lang w:eastAsia="pl-PL"/>
        </w:rPr>
        <w:t xml:space="preserve"> zwraca</w:t>
      </w:r>
      <w:r>
        <w:rPr>
          <w:szCs w:val="22"/>
          <w:lang w:eastAsia="pl-PL"/>
        </w:rPr>
        <w:t xml:space="preserve">no </w:t>
      </w:r>
      <w:r w:rsidR="00421A25">
        <w:rPr>
          <w:szCs w:val="22"/>
          <w:lang w:eastAsia="pl-PL"/>
        </w:rPr>
        <w:t xml:space="preserve">także uwagę na pewne zagrożenia wiążące się z uzależnieniem od środków unijnych. W sytuacji, gdy będzie tych środków mniej lub nie będzie ich w ogóle warto mieć pomysł na jakiś rodzaj substytutu. W tym kontekście przytaczana była idea stworzenia puli środków, które mogłyby być wykorzystywane na zasadach podobnych jak w programach </w:t>
      </w:r>
      <w:r w:rsidR="00421A25" w:rsidRPr="0001550E">
        <w:rPr>
          <w:szCs w:val="22"/>
          <w:lang w:eastAsia="pl-PL"/>
        </w:rPr>
        <w:t>JEREMIE</w:t>
      </w:r>
      <w:r w:rsidR="00421A25">
        <w:rPr>
          <w:szCs w:val="22"/>
          <w:lang w:eastAsia="pl-PL"/>
        </w:rPr>
        <w:t xml:space="preserve"> i </w:t>
      </w:r>
      <w:r w:rsidR="00421A25" w:rsidRPr="00ED3165">
        <w:rPr>
          <w:szCs w:val="22"/>
          <w:lang w:eastAsia="pl-PL"/>
        </w:rPr>
        <w:t>JESSICA</w:t>
      </w:r>
      <w:r w:rsidR="00421A25">
        <w:rPr>
          <w:szCs w:val="22"/>
          <w:lang w:eastAsia="pl-PL"/>
        </w:rPr>
        <w:t>, czyli na zasadzie zwrotnych pożyczek. Oczywiście jest to rozwiązanie, które może być rozważane przede wszystkim w relacji do niektórych sektorów działalności samorządu województwa tj. rozwoju przedsiębiorczości czy rozwo</w:t>
      </w:r>
      <w:r w:rsidR="00990BCF">
        <w:rPr>
          <w:szCs w:val="22"/>
          <w:lang w:eastAsia="pl-PL"/>
        </w:rPr>
        <w:t>ju rolnictwa. W przypadku ekonomii</w:t>
      </w:r>
      <w:r w:rsidR="00421A25">
        <w:rPr>
          <w:szCs w:val="22"/>
          <w:lang w:eastAsia="pl-PL"/>
        </w:rPr>
        <w:t xml:space="preserve"> społecznej czy kultury wdrażanie podobnego rozwiązania byłoby bardzo trudne.</w:t>
      </w:r>
    </w:p>
    <w:p w14:paraId="68043C97" w14:textId="7E7FFBE6" w:rsidR="00421A25" w:rsidRDefault="00D27755" w:rsidP="00421A25">
      <w:pPr>
        <w:rPr>
          <w:szCs w:val="22"/>
          <w:lang w:eastAsia="pl-PL"/>
        </w:rPr>
      </w:pPr>
      <w:r w:rsidRPr="00120B27">
        <w:rPr>
          <w:szCs w:val="22"/>
          <w:lang w:eastAsia="pl-PL"/>
        </w:rPr>
        <w:t>Dodatkowe środki</w:t>
      </w:r>
      <w:r w:rsidR="00421A25" w:rsidRPr="00120B27">
        <w:rPr>
          <w:szCs w:val="22"/>
          <w:lang w:eastAsia="pl-PL"/>
        </w:rPr>
        <w:t xml:space="preserve"> na finansowanie celów strategiczn</w:t>
      </w:r>
      <w:r w:rsidRPr="00120B27">
        <w:rPr>
          <w:szCs w:val="22"/>
          <w:lang w:eastAsia="pl-PL"/>
        </w:rPr>
        <w:t>ych, w szczególności dotyczące</w:t>
      </w:r>
      <w:r w:rsidR="00421A25" w:rsidRPr="00120B27">
        <w:rPr>
          <w:szCs w:val="22"/>
          <w:lang w:eastAsia="pl-PL"/>
        </w:rPr>
        <w:t xml:space="preserve"> otoc</w:t>
      </w:r>
      <w:r w:rsidRPr="00120B27">
        <w:rPr>
          <w:szCs w:val="22"/>
          <w:lang w:eastAsia="pl-PL"/>
        </w:rPr>
        <w:t xml:space="preserve">zenia rozwoju, można pozyskiwać </w:t>
      </w:r>
      <w:r w:rsidR="00421A25" w:rsidRPr="00120B27">
        <w:rPr>
          <w:szCs w:val="22"/>
          <w:lang w:eastAsia="pl-PL"/>
        </w:rPr>
        <w:t>w Narodowym</w:t>
      </w:r>
      <w:r w:rsidR="00BC3F58" w:rsidRPr="00120B27">
        <w:rPr>
          <w:szCs w:val="22"/>
          <w:lang w:eastAsia="pl-PL"/>
        </w:rPr>
        <w:t xml:space="preserve"> oraz Wojewódzkim</w:t>
      </w:r>
      <w:r w:rsidR="00421A25" w:rsidRPr="00120B27">
        <w:rPr>
          <w:szCs w:val="22"/>
          <w:lang w:eastAsia="pl-PL"/>
        </w:rPr>
        <w:t xml:space="preserve"> Funduszu Ochrony Środowiska i Gospodarki Wodnej, </w:t>
      </w:r>
      <w:r w:rsidR="00BC3F58" w:rsidRPr="00120B27">
        <w:rPr>
          <w:szCs w:val="22"/>
          <w:lang w:eastAsia="pl-PL"/>
        </w:rPr>
        <w:t xml:space="preserve">które oferują </w:t>
      </w:r>
      <w:r w:rsidR="00421A25" w:rsidRPr="00120B27">
        <w:rPr>
          <w:szCs w:val="22"/>
          <w:lang w:eastAsia="pl-PL"/>
        </w:rPr>
        <w:t>pożyczki na preferencyjnych warunkach, co podkreślają przedstawiciele dwóch departamentów (Finansów i Środowiska)</w:t>
      </w:r>
      <w:r w:rsidR="009A7D16" w:rsidRPr="00120B27">
        <w:rPr>
          <w:szCs w:val="22"/>
          <w:lang w:eastAsia="pl-PL"/>
        </w:rPr>
        <w:t xml:space="preserve"> UMWW</w:t>
      </w:r>
      <w:r w:rsidR="00421A25" w:rsidRPr="00120B27">
        <w:rPr>
          <w:szCs w:val="22"/>
          <w:lang w:eastAsia="pl-PL"/>
        </w:rPr>
        <w:t>.</w:t>
      </w:r>
      <w:r w:rsidR="00421A25">
        <w:rPr>
          <w:szCs w:val="22"/>
          <w:lang w:eastAsia="pl-PL"/>
        </w:rPr>
        <w:t xml:space="preserve"> </w:t>
      </w:r>
    </w:p>
    <w:p w14:paraId="05956498" w14:textId="5FDDB4A8" w:rsidR="00421A25" w:rsidRDefault="00010F12" w:rsidP="001F37B3">
      <w:pPr>
        <w:pStyle w:val="Nagwek3"/>
      </w:pPr>
      <w:bookmarkStart w:id="110" w:name="_Toc536653138"/>
      <w:bookmarkStart w:id="111" w:name="_Toc1904809"/>
      <w:bookmarkStart w:id="112" w:name="_Toc5699459"/>
      <w:r>
        <w:t xml:space="preserve">Obszary </w:t>
      </w:r>
      <w:r w:rsidR="00421A25">
        <w:t>z</w:t>
      </w:r>
      <w:bookmarkEnd w:id="110"/>
      <w:bookmarkEnd w:id="111"/>
      <w:r w:rsidR="00FE7917">
        <w:t>większających się potrzeb</w:t>
      </w:r>
      <w:bookmarkEnd w:id="112"/>
    </w:p>
    <w:p w14:paraId="4F40D8BC" w14:textId="16CA8185" w:rsidR="00421A25" w:rsidRDefault="008D6DA6" w:rsidP="00421A25">
      <w:pPr>
        <w:rPr>
          <w:lang w:eastAsia="pl-PL"/>
        </w:rPr>
      </w:pPr>
      <w:r>
        <w:rPr>
          <w:lang w:eastAsia="pl-PL"/>
        </w:rPr>
        <w:t>Poziom</w:t>
      </w:r>
      <w:r w:rsidR="00421A25" w:rsidRPr="00FE1371">
        <w:rPr>
          <w:lang w:eastAsia="pl-PL"/>
        </w:rPr>
        <w:t xml:space="preserve"> aktywności finansowej samorządu można analizować pod kątem obszarów (jedne są bardziej wspierane finansowo, inne mniej) lub w kontekście wykorzystania pewnych instrumentów finansowych (jedne są bardziej eksploatowane, inne mniej).</w:t>
      </w:r>
    </w:p>
    <w:p w14:paraId="05C78303" w14:textId="4F460823" w:rsidR="00421A25" w:rsidRDefault="00421A25" w:rsidP="00421A25">
      <w:pPr>
        <w:rPr>
          <w:lang w:eastAsia="pl-PL"/>
        </w:rPr>
      </w:pPr>
      <w:r>
        <w:rPr>
          <w:lang w:eastAsia="pl-PL"/>
        </w:rPr>
        <w:t>Samorząd Województwa Wielkopolskiego na realizację celów Strategii w latach 2013-2017 przeznaczył ze środków budżetowych 5 698 mln zł, z czego największe kwoty, wg obszarów (</w:t>
      </w:r>
      <w:r>
        <w:rPr>
          <w:lang w:eastAsia="pl-PL"/>
        </w:rPr>
        <w:fldChar w:fldCharType="begin"/>
      </w:r>
      <w:r>
        <w:rPr>
          <w:lang w:eastAsia="pl-PL"/>
        </w:rPr>
        <w:instrText xml:space="preserve"> REF _Ref536719039 \h </w:instrText>
      </w:r>
      <w:r>
        <w:rPr>
          <w:lang w:eastAsia="pl-PL"/>
        </w:rPr>
      </w:r>
      <w:r>
        <w:rPr>
          <w:lang w:eastAsia="pl-PL"/>
        </w:rPr>
        <w:fldChar w:fldCharType="separate"/>
      </w:r>
      <w:r w:rsidR="007F4FA2">
        <w:t xml:space="preserve">Wykres </w:t>
      </w:r>
      <w:r w:rsidR="007F4FA2">
        <w:rPr>
          <w:noProof/>
        </w:rPr>
        <w:t>9</w:t>
      </w:r>
      <w:r>
        <w:rPr>
          <w:lang w:eastAsia="pl-PL"/>
        </w:rPr>
        <w:fldChar w:fldCharType="end"/>
      </w:r>
      <w:r>
        <w:rPr>
          <w:lang w:eastAsia="pl-PL"/>
        </w:rPr>
        <w:t>), przypadły na:</w:t>
      </w:r>
    </w:p>
    <w:p w14:paraId="51F9ADFB" w14:textId="77777777" w:rsidR="00421A25" w:rsidRDefault="00421A25" w:rsidP="00FE7917">
      <w:pPr>
        <w:pStyle w:val="Akapitzlist"/>
        <w:numPr>
          <w:ilvl w:val="0"/>
          <w:numId w:val="38"/>
        </w:numPr>
        <w:rPr>
          <w:lang w:eastAsia="pl-PL"/>
        </w:rPr>
      </w:pPr>
      <w:r>
        <w:rPr>
          <w:lang w:eastAsia="pl-PL"/>
        </w:rPr>
        <w:t>komunikację – 2 554 mln zł (z tego 98% to wydatki na transport),</w:t>
      </w:r>
    </w:p>
    <w:p w14:paraId="7294503F" w14:textId="77777777" w:rsidR="00421A25" w:rsidRDefault="00421A25" w:rsidP="00FE7917">
      <w:pPr>
        <w:pStyle w:val="Akapitzlist"/>
        <w:numPr>
          <w:ilvl w:val="0"/>
          <w:numId w:val="38"/>
        </w:numPr>
        <w:rPr>
          <w:lang w:eastAsia="pl-PL"/>
        </w:rPr>
      </w:pPr>
      <w:r>
        <w:rPr>
          <w:lang w:eastAsia="pl-PL"/>
        </w:rPr>
        <w:t>społeczeństwo – 1 409 mln zł, z czego najwięcej na kulturę i dziedzictwo kulturowe (36,5%), zdrowie (27,8%) oraz politykę społeczną (21,2%).</w:t>
      </w:r>
    </w:p>
    <w:tbl>
      <w:tblPr>
        <w:tblStyle w:val="Tabela-Siatka"/>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bottom w:w="113" w:type="dxa"/>
          <w:right w:w="28" w:type="dxa"/>
        </w:tblCellMar>
        <w:tblLook w:val="04A0" w:firstRow="1" w:lastRow="0" w:firstColumn="1" w:lastColumn="0" w:noHBand="0" w:noVBand="1"/>
        <w:tblCaption w:val="Wykres 9. Struktura wydatków z budżetu Województwa Wielkopolskiego na realizację SRWW 2020 (suma z lat 2013-2017)"/>
        <w:tblDescription w:val="Wykres przedstawia strukturę wydatków z budżetu województwa wielkopolskiego na realizację Strategii Rozwoju Województwa Wielkopolskiego 2020. Jest to suma wydatków z lat 2013-2017."/>
      </w:tblPr>
      <w:tblGrid>
        <w:gridCol w:w="9177"/>
        <w:gridCol w:w="37"/>
      </w:tblGrid>
      <w:tr w:rsidR="00421A25" w:rsidRPr="00AD5F85" w14:paraId="68A90D54" w14:textId="77777777" w:rsidTr="005763A7">
        <w:tc>
          <w:tcPr>
            <w:tcW w:w="9214" w:type="dxa"/>
            <w:gridSpan w:val="2"/>
          </w:tcPr>
          <w:p w14:paraId="3ED76777" w14:textId="3B0E7312" w:rsidR="00421A25" w:rsidRPr="00AD5F85" w:rsidRDefault="00421A25" w:rsidP="000B3274">
            <w:pPr>
              <w:pStyle w:val="Legenda"/>
            </w:pPr>
            <w:bookmarkStart w:id="113" w:name="_Ref536719039"/>
            <w:bookmarkStart w:id="114" w:name="_Toc5699520"/>
            <w:r>
              <w:lastRenderedPageBreak/>
              <w:t xml:space="preserve">Wykres </w:t>
            </w:r>
            <w:r w:rsidRPr="69901DB0">
              <w:fldChar w:fldCharType="begin"/>
            </w:r>
            <w:r>
              <w:rPr>
                <w:noProof/>
              </w:rPr>
              <w:instrText xml:space="preserve"> SEQ Wykres \* ARABIC </w:instrText>
            </w:r>
            <w:r w:rsidRPr="69901DB0">
              <w:rPr>
                <w:noProof/>
              </w:rPr>
              <w:fldChar w:fldCharType="separate"/>
            </w:r>
            <w:r w:rsidR="007F4FA2">
              <w:rPr>
                <w:noProof/>
              </w:rPr>
              <w:t>9</w:t>
            </w:r>
            <w:r w:rsidRPr="69901DB0">
              <w:fldChar w:fldCharType="end"/>
            </w:r>
            <w:bookmarkEnd w:id="113"/>
            <w:r>
              <w:t xml:space="preserve">. </w:t>
            </w:r>
            <w:r w:rsidRPr="1FA2818E">
              <w:t>Struktura wydatków z budżetu Województwa Wielkopolskiego na realizację SRWW 2020 (suma z lat 2013-2017)</w:t>
            </w:r>
            <w:bookmarkEnd w:id="114"/>
          </w:p>
        </w:tc>
      </w:tr>
      <w:tr w:rsidR="00421A25" w:rsidRPr="00DC19E5" w14:paraId="6D84FD97" w14:textId="77777777" w:rsidTr="005763A7">
        <w:trPr>
          <w:gridAfter w:val="1"/>
          <w:wAfter w:w="38" w:type="dxa"/>
          <w:trHeight w:val="2991"/>
        </w:trPr>
        <w:tc>
          <w:tcPr>
            <w:tcW w:w="9214" w:type="dxa"/>
          </w:tcPr>
          <w:p w14:paraId="38714C32" w14:textId="77777777" w:rsidR="00421A25" w:rsidRPr="00DC19E5" w:rsidRDefault="00421A25" w:rsidP="0062450B">
            <w:pPr>
              <w:spacing w:after="0" w:line="240" w:lineRule="auto"/>
              <w:jc w:val="center"/>
              <w:rPr>
                <w:sz w:val="14"/>
                <w:szCs w:val="14"/>
                <w:lang w:eastAsia="pl-PL"/>
              </w:rPr>
            </w:pPr>
            <w:r>
              <w:rPr>
                <w:noProof/>
                <w:lang w:eastAsia="pl-PL"/>
              </w:rPr>
              <w:drawing>
                <wp:inline distT="0" distB="0" distL="0" distR="0" wp14:anchorId="7CC27B09" wp14:editId="6F1BE02C">
                  <wp:extent cx="4495800" cy="1914525"/>
                  <wp:effectExtent l="0" t="0" r="0" b="0"/>
                  <wp:docPr id="1410683471" name="Wykres 1410683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421A25" w:rsidRPr="00DC19E5" w14:paraId="2767A151" w14:textId="77777777" w:rsidTr="005763A7">
        <w:trPr>
          <w:trHeight w:val="75"/>
        </w:trPr>
        <w:tc>
          <w:tcPr>
            <w:tcW w:w="9214" w:type="dxa"/>
            <w:gridSpan w:val="2"/>
            <w:vAlign w:val="center"/>
          </w:tcPr>
          <w:p w14:paraId="22018B7C" w14:textId="77777777" w:rsidR="00421A25" w:rsidRPr="006344BC" w:rsidRDefault="00421A25" w:rsidP="000B3274">
            <w:pPr>
              <w:spacing w:after="0" w:line="240" w:lineRule="auto"/>
              <w:jc w:val="left"/>
              <w:rPr>
                <w:sz w:val="14"/>
                <w:szCs w:val="14"/>
                <w:lang w:eastAsia="pl-PL"/>
              </w:rPr>
            </w:pPr>
            <w:r w:rsidRPr="006344BC">
              <w:rPr>
                <w:sz w:val="14"/>
                <w:szCs w:val="14"/>
                <w:lang w:eastAsia="pl-PL"/>
              </w:rPr>
              <w:t>Uwaga: uwzględnione zostały wszystkie wydatki budżetowe poza</w:t>
            </w:r>
            <w:r>
              <w:rPr>
                <w:sz w:val="14"/>
                <w:szCs w:val="14"/>
                <w:lang w:eastAsia="pl-PL"/>
              </w:rPr>
              <w:t xml:space="preserve"> </w:t>
            </w:r>
            <w:r w:rsidRPr="006344BC">
              <w:rPr>
                <w:sz w:val="14"/>
                <w:szCs w:val="14"/>
                <w:lang w:eastAsia="pl-PL"/>
              </w:rPr>
              <w:t>ujętymi w działach 700, 757, 758.</w:t>
            </w:r>
          </w:p>
          <w:p w14:paraId="3050D0D1" w14:textId="77777777" w:rsidR="00421A25" w:rsidRPr="00DC19E5" w:rsidRDefault="00421A25" w:rsidP="000B3274">
            <w:pPr>
              <w:keepNext/>
              <w:spacing w:after="0" w:line="240" w:lineRule="auto"/>
              <w:jc w:val="left"/>
              <w:rPr>
                <w:sz w:val="14"/>
                <w:szCs w:val="14"/>
                <w:lang w:eastAsia="pl-PL"/>
              </w:rPr>
            </w:pPr>
            <w:r>
              <w:rPr>
                <w:sz w:val="14"/>
                <w:szCs w:val="14"/>
                <w:lang w:eastAsia="pl-PL"/>
              </w:rPr>
              <w:t>Źródło: opracowanie własne na podstawie danych ze sprawozdań z wykonania budżetu województwa</w:t>
            </w:r>
          </w:p>
        </w:tc>
      </w:tr>
    </w:tbl>
    <w:p w14:paraId="380AAA5C" w14:textId="1C14B501" w:rsidR="00421A25" w:rsidRDefault="00421A25" w:rsidP="00421A25">
      <w:pPr>
        <w:rPr>
          <w:lang w:eastAsia="pl-PL"/>
        </w:rPr>
      </w:pPr>
      <w:r w:rsidRPr="00C03ED4">
        <w:rPr>
          <w:lang w:eastAsia="pl-PL"/>
        </w:rPr>
        <w:t xml:space="preserve">W </w:t>
      </w:r>
      <w:r w:rsidR="0062450B" w:rsidRPr="00C03ED4">
        <w:rPr>
          <w:lang w:eastAsia="pl-PL"/>
        </w:rPr>
        <w:t xml:space="preserve">trakcie </w:t>
      </w:r>
      <w:r w:rsidRPr="00C03ED4">
        <w:rPr>
          <w:lang w:eastAsia="pl-PL"/>
        </w:rPr>
        <w:t>wywiad</w:t>
      </w:r>
      <w:r w:rsidR="0062450B" w:rsidRPr="00C03ED4">
        <w:rPr>
          <w:lang w:eastAsia="pl-PL"/>
        </w:rPr>
        <w:t xml:space="preserve">ów z przedstawicielami departamentów UMWW </w:t>
      </w:r>
      <w:r w:rsidRPr="00C03ED4">
        <w:rPr>
          <w:lang w:eastAsia="pl-PL"/>
        </w:rPr>
        <w:t>wśród obszarów, któr</w:t>
      </w:r>
      <w:r w:rsidR="007A418B" w:rsidRPr="00C03ED4">
        <w:rPr>
          <w:lang w:eastAsia="pl-PL"/>
        </w:rPr>
        <w:t>e</w:t>
      </w:r>
      <w:r w:rsidRPr="00C03ED4">
        <w:rPr>
          <w:lang w:eastAsia="pl-PL"/>
        </w:rPr>
        <w:t xml:space="preserve"> pozostają niedoinwestowane wymieniane były</w:t>
      </w:r>
      <w:r w:rsidR="00960BF3" w:rsidRPr="00C03ED4">
        <w:rPr>
          <w:lang w:eastAsia="pl-PL"/>
        </w:rPr>
        <w:t xml:space="preserve"> niektóre</w:t>
      </w:r>
      <w:r w:rsidRPr="00C03ED4">
        <w:rPr>
          <w:lang w:eastAsia="pl-PL"/>
        </w:rPr>
        <w:t xml:space="preserve"> programy dotyczące rynku pracy np. dotyczące adaptacji obcokrajowców, programy z zakresu polityki społecznej np. dotyczące opieki nad seniorami (w tym szybk</w:t>
      </w:r>
      <w:r w:rsidR="007A418B" w:rsidRPr="00C03ED4">
        <w:rPr>
          <w:lang w:eastAsia="pl-PL"/>
        </w:rPr>
        <w:t>ie systemy szkolenia opiekunów</w:t>
      </w:r>
      <w:r w:rsidRPr="00C03ED4">
        <w:rPr>
          <w:lang w:eastAsia="pl-PL"/>
        </w:rPr>
        <w:t xml:space="preserve">), czy poprawy edukacji młodzieży w kontekście korelacji z rynkiem pracy czyli z uwzględnieniem zawodów deficytowych bądź zawodów, które wpisują się w strategiczne kierunki rozwojowe regionu. </w:t>
      </w:r>
      <w:r w:rsidR="0062450B" w:rsidRPr="00C03ED4">
        <w:rPr>
          <w:lang w:eastAsia="pl-PL"/>
        </w:rPr>
        <w:t>N</w:t>
      </w:r>
      <w:r w:rsidRPr="00C03ED4">
        <w:rPr>
          <w:lang w:eastAsia="pl-PL"/>
        </w:rPr>
        <w:t>iewielki</w:t>
      </w:r>
      <w:r w:rsidR="0062450B" w:rsidRPr="00C03ED4">
        <w:rPr>
          <w:lang w:eastAsia="pl-PL"/>
        </w:rPr>
        <w:t xml:space="preserve">e są również, zdaniem </w:t>
      </w:r>
      <w:r w:rsidR="007A418B" w:rsidRPr="00C03ED4">
        <w:rPr>
          <w:lang w:eastAsia="pl-PL"/>
        </w:rPr>
        <w:t xml:space="preserve">niektórych </w:t>
      </w:r>
      <w:r w:rsidR="0062450B" w:rsidRPr="00C03ED4">
        <w:rPr>
          <w:lang w:eastAsia="pl-PL"/>
        </w:rPr>
        <w:t xml:space="preserve">rozmówców, </w:t>
      </w:r>
      <w:r w:rsidRPr="00C03ED4">
        <w:rPr>
          <w:lang w:eastAsia="pl-PL"/>
        </w:rPr>
        <w:t>inwestycj</w:t>
      </w:r>
      <w:r w:rsidR="0062450B" w:rsidRPr="00C03ED4">
        <w:rPr>
          <w:lang w:eastAsia="pl-PL"/>
        </w:rPr>
        <w:t>e</w:t>
      </w:r>
      <w:r w:rsidRPr="00C03ED4">
        <w:rPr>
          <w:lang w:eastAsia="pl-PL"/>
        </w:rPr>
        <w:t xml:space="preserve"> w sport i turystykę</w:t>
      </w:r>
      <w:r w:rsidR="007A418B" w:rsidRPr="00C03ED4">
        <w:rPr>
          <w:lang w:eastAsia="pl-PL"/>
        </w:rPr>
        <w:t xml:space="preserve">. Zwrócono także uwagę na </w:t>
      </w:r>
      <w:r w:rsidRPr="00C03ED4">
        <w:rPr>
          <w:lang w:eastAsia="pl-PL"/>
        </w:rPr>
        <w:t>niewystarczając</w:t>
      </w:r>
      <w:r w:rsidR="0062450B" w:rsidRPr="00C03ED4">
        <w:rPr>
          <w:lang w:eastAsia="pl-PL"/>
        </w:rPr>
        <w:t>e</w:t>
      </w:r>
      <w:r w:rsidRPr="00C03ED4">
        <w:rPr>
          <w:lang w:eastAsia="pl-PL"/>
        </w:rPr>
        <w:t xml:space="preserve"> wsparci</w:t>
      </w:r>
      <w:r w:rsidR="0062450B" w:rsidRPr="00C03ED4">
        <w:rPr>
          <w:lang w:eastAsia="pl-PL"/>
        </w:rPr>
        <w:t>e</w:t>
      </w:r>
      <w:r w:rsidRPr="00C03ED4">
        <w:rPr>
          <w:lang w:eastAsia="pl-PL"/>
        </w:rPr>
        <w:t xml:space="preserve"> dla programu usuwania azbestu</w:t>
      </w:r>
      <w:r w:rsidR="003E2C08" w:rsidRPr="00C03ED4">
        <w:rPr>
          <w:rStyle w:val="Odwoanieprzypisudolnego"/>
          <w:lang w:eastAsia="pl-PL"/>
        </w:rPr>
        <w:footnoteReference w:id="17"/>
      </w:r>
      <w:r w:rsidRPr="00C03ED4">
        <w:rPr>
          <w:lang w:eastAsia="pl-PL"/>
        </w:rPr>
        <w:t>.</w:t>
      </w:r>
      <w:r>
        <w:rPr>
          <w:lang w:eastAsia="pl-PL"/>
        </w:rPr>
        <w:t xml:space="preserve"> Często te potrzeby wydatkowe pojawiają się w efekcie pewnych uwarunkowań zewnętrznych, które nie zawsze udaje się przewidzieć wcześniej, jak np. napływ pracowników z Ukrainy.</w:t>
      </w:r>
      <w:r w:rsidR="0062450B">
        <w:rPr>
          <w:lang w:eastAsia="pl-PL"/>
        </w:rPr>
        <w:t xml:space="preserve"> </w:t>
      </w:r>
      <w:r w:rsidR="007A418B">
        <w:rPr>
          <w:lang w:eastAsia="pl-PL"/>
        </w:rPr>
        <w:t xml:space="preserve">Warto </w:t>
      </w:r>
      <w:r>
        <w:rPr>
          <w:lang w:eastAsia="pl-PL"/>
        </w:rPr>
        <w:t>w tym kontekście pamiętać na etapie planowania rozwoju o szczególnej roli przewidywania i prognozowania przyszłych warunków społeczno-ekonomicznych regionu.</w:t>
      </w:r>
    </w:p>
    <w:p w14:paraId="0C366EDB" w14:textId="4AAFB9E4" w:rsidR="00421A25" w:rsidRDefault="00421A25" w:rsidP="00421A25">
      <w:pPr>
        <w:rPr>
          <w:lang w:eastAsia="pl-PL"/>
        </w:rPr>
      </w:pPr>
      <w:r>
        <w:rPr>
          <w:lang w:eastAsia="pl-PL"/>
        </w:rPr>
        <w:t>Bitner (2016) pisząc o wydatkach rozwojowych podkreśla rolę wydatków</w:t>
      </w:r>
      <w:r w:rsidRPr="00F33B54">
        <w:rPr>
          <w:lang w:eastAsia="pl-PL"/>
        </w:rPr>
        <w:t xml:space="preserve"> </w:t>
      </w:r>
      <w:r>
        <w:rPr>
          <w:lang w:eastAsia="pl-PL"/>
        </w:rPr>
        <w:t>ponoszonych</w:t>
      </w:r>
      <w:r w:rsidRPr="00F33B54">
        <w:rPr>
          <w:lang w:eastAsia="pl-PL"/>
        </w:rPr>
        <w:t xml:space="preserve"> na otoczenie polityki rozwoju, czyli takich, które nie mają na celu wzmocnienia podstawowych czynników rozwoju, ale mogą być istotne w długim okresie, m.in. </w:t>
      </w:r>
      <w:r>
        <w:rPr>
          <w:lang w:eastAsia="pl-PL"/>
        </w:rPr>
        <w:t xml:space="preserve">wymienia w tym kontekście </w:t>
      </w:r>
      <w:r w:rsidRPr="00F33B54">
        <w:rPr>
          <w:lang w:eastAsia="pl-PL"/>
        </w:rPr>
        <w:t>wydatki na ochronę środowiska</w:t>
      </w:r>
      <w:r>
        <w:rPr>
          <w:lang w:eastAsia="pl-PL"/>
        </w:rPr>
        <w:t xml:space="preserve">. Kwoty przeznaczane z budżetu województwa na ten obszar według </w:t>
      </w:r>
      <w:r w:rsidR="00DA230D">
        <w:rPr>
          <w:lang w:eastAsia="pl-PL"/>
        </w:rPr>
        <w:t>niektórych</w:t>
      </w:r>
      <w:r w:rsidR="0062450B">
        <w:rPr>
          <w:lang w:eastAsia="pl-PL"/>
        </w:rPr>
        <w:t xml:space="preserve"> </w:t>
      </w:r>
      <w:r>
        <w:rPr>
          <w:lang w:eastAsia="pl-PL"/>
        </w:rPr>
        <w:t>rozmówców mogłyby być wyższe.</w:t>
      </w:r>
    </w:p>
    <w:p w14:paraId="1F477C76" w14:textId="77777777" w:rsidR="00421A25" w:rsidRDefault="00421A25" w:rsidP="001F37B3">
      <w:pPr>
        <w:pStyle w:val="Nagwek3"/>
      </w:pPr>
      <w:bookmarkStart w:id="115" w:name="_Toc536653139"/>
      <w:bookmarkStart w:id="116" w:name="_Toc1904810"/>
      <w:bookmarkStart w:id="117" w:name="_Toc5699460"/>
      <w:r>
        <w:t xml:space="preserve">Czy </w:t>
      </w:r>
      <w:r w:rsidR="0062450B">
        <w:t>wykorzystywane są wszystkie możliwości</w:t>
      </w:r>
      <w:r>
        <w:t>?</w:t>
      </w:r>
      <w:bookmarkEnd w:id="115"/>
      <w:bookmarkEnd w:id="116"/>
      <w:bookmarkEnd w:id="117"/>
    </w:p>
    <w:p w14:paraId="147E777D" w14:textId="7482201A" w:rsidR="00421A25" w:rsidRPr="0062450B" w:rsidRDefault="0003036F" w:rsidP="00BF08D5">
      <w:pPr>
        <w:ind w:left="4536"/>
        <w:jc w:val="left"/>
        <w:rPr>
          <w:b/>
          <w:i/>
          <w:color w:val="001E50"/>
        </w:rPr>
      </w:pPr>
      <w:r w:rsidRPr="00C03ED4">
        <w:rPr>
          <w:b/>
          <w:i/>
          <w:color w:val="001E50"/>
        </w:rPr>
        <w:t>Przy pozyskiwaniu nowych środków dominuje konsekwentne, świadome i bezpieczne zarządzanie finansowe</w:t>
      </w:r>
    </w:p>
    <w:p w14:paraId="5DC69EA1" w14:textId="1E9CD524" w:rsidR="00421A25" w:rsidRPr="00C03ED4" w:rsidRDefault="00421A25" w:rsidP="00421A25">
      <w:pPr>
        <w:rPr>
          <w:lang w:eastAsia="pl-PL"/>
        </w:rPr>
      </w:pPr>
      <w:r>
        <w:rPr>
          <w:lang w:eastAsia="pl-PL"/>
        </w:rPr>
        <w:t xml:space="preserve">Samorząd </w:t>
      </w:r>
      <w:r w:rsidRPr="00045CEC">
        <w:rPr>
          <w:lang w:eastAsia="pl-PL"/>
        </w:rPr>
        <w:t>W</w:t>
      </w:r>
      <w:r>
        <w:rPr>
          <w:lang w:eastAsia="pl-PL"/>
        </w:rPr>
        <w:t>ojewództwa W</w:t>
      </w:r>
      <w:r w:rsidRPr="00045CEC">
        <w:rPr>
          <w:lang w:eastAsia="pl-PL"/>
        </w:rPr>
        <w:t>ielkopolskie</w:t>
      </w:r>
      <w:r>
        <w:rPr>
          <w:lang w:eastAsia="pl-PL"/>
        </w:rPr>
        <w:t>go</w:t>
      </w:r>
      <w:r w:rsidRPr="00045CEC">
        <w:rPr>
          <w:lang w:eastAsia="pl-PL"/>
        </w:rPr>
        <w:t xml:space="preserve"> korzysta z podstawowego katalogu instrumentów finansowych tj. z kredytów i pożyczek oraz z emisji obligacji komunalnych. Nie sięga po instrumenty takie jak: wykup wierzyte</w:t>
      </w:r>
      <w:r>
        <w:rPr>
          <w:lang w:eastAsia="pl-PL"/>
        </w:rPr>
        <w:t>lności, leasing, subrogacja,</w:t>
      </w:r>
      <w:r w:rsidRPr="00045CEC">
        <w:rPr>
          <w:lang w:eastAsia="pl-PL"/>
        </w:rPr>
        <w:t xml:space="preserve"> obligacje przychodowe</w:t>
      </w:r>
      <w:r>
        <w:rPr>
          <w:lang w:eastAsia="pl-PL"/>
        </w:rPr>
        <w:t xml:space="preserve"> czy hybrydowe formy finansowania</w:t>
      </w:r>
      <w:r w:rsidRPr="00045CEC">
        <w:rPr>
          <w:lang w:eastAsia="pl-PL"/>
        </w:rPr>
        <w:t>.</w:t>
      </w:r>
      <w:r>
        <w:rPr>
          <w:lang w:eastAsia="pl-PL"/>
        </w:rPr>
        <w:t xml:space="preserve"> </w:t>
      </w:r>
      <w:r w:rsidRPr="009E74C4">
        <w:rPr>
          <w:lang w:eastAsia="pl-PL"/>
        </w:rPr>
        <w:t>Województwo nie angażowało się także w inicjatywy typu PPP, przede wszystkim ze względów ekonomicznych</w:t>
      </w:r>
      <w:r>
        <w:rPr>
          <w:lang w:eastAsia="pl-PL"/>
        </w:rPr>
        <w:t xml:space="preserve">, tzn. instrument ten okazał się być relatywnie bardziej kosztowny w porównaniu z innymi możliwościami pozyskania środków (często wiąże się z koniecznością </w:t>
      </w:r>
      <w:r>
        <w:rPr>
          <w:lang w:eastAsia="pl-PL"/>
        </w:rPr>
        <w:lastRenderedPageBreak/>
        <w:t>sfinansowania nie tylko kredytu partnera prywatnego, ale również jego zysku), co podkreślali przed</w:t>
      </w:r>
      <w:r w:rsidR="001C180A">
        <w:rPr>
          <w:lang w:eastAsia="pl-PL"/>
        </w:rPr>
        <w:t>stawiciele DF</w:t>
      </w:r>
      <w:r w:rsidR="00275EA1">
        <w:rPr>
          <w:lang w:eastAsia="pl-PL"/>
        </w:rPr>
        <w:t xml:space="preserve"> UMWW</w:t>
      </w:r>
      <w:r>
        <w:rPr>
          <w:lang w:eastAsia="pl-PL"/>
        </w:rPr>
        <w:t>.</w:t>
      </w:r>
      <w:r w:rsidR="00CA1D80">
        <w:rPr>
          <w:lang w:eastAsia="pl-PL"/>
        </w:rPr>
        <w:t xml:space="preserve"> </w:t>
      </w:r>
      <w:r w:rsidR="00CA1D80" w:rsidRPr="00C03ED4">
        <w:rPr>
          <w:lang w:eastAsia="pl-PL"/>
        </w:rPr>
        <w:t>Kryterium jak najniższego kosztu pozyskania środków zewnętrznych należy do priorytetów zarządzania finansami SWW</w:t>
      </w:r>
      <w:r w:rsidR="0098077B" w:rsidRPr="00C03ED4">
        <w:rPr>
          <w:lang w:eastAsia="pl-PL"/>
        </w:rPr>
        <w:t>.</w:t>
      </w:r>
    </w:p>
    <w:p w14:paraId="27C05C0F" w14:textId="24666BB0" w:rsidR="00421A25" w:rsidRDefault="00421A25" w:rsidP="00421A25">
      <w:pPr>
        <w:rPr>
          <w:lang w:eastAsia="pl-PL"/>
        </w:rPr>
      </w:pPr>
      <w:r w:rsidRPr="00C03ED4">
        <w:rPr>
          <w:lang w:eastAsia="pl-PL"/>
        </w:rPr>
        <w:t>Województwo wielkopolskie w ostatnich latach jest liderem wśród polskich regionów pod względem sytuacji finansowej mierzonej nadwyżką operacyjną</w:t>
      </w:r>
      <w:r w:rsidR="00B8107D" w:rsidRPr="00C03ED4">
        <w:rPr>
          <w:rStyle w:val="Odwoanieprzypisudolnego"/>
          <w:lang w:eastAsia="pl-PL"/>
        </w:rPr>
        <w:footnoteReference w:id="18"/>
      </w:r>
      <w:r w:rsidRPr="00C03ED4">
        <w:rPr>
          <w:lang w:eastAsia="pl-PL"/>
        </w:rPr>
        <w:t>. Przy tak wysokiej zdolności kredytowej zadłużenie samorządu utrzymuje się w okolicach 30% dochodów czyli jest na poziomie relatywnie bezpiecznym (dla porównania przeciętne zadłużenie polskich regionów w 2017 roku wynosiło 39% dochodów województw). Biorąc pod uwagę wachlarz wykorzystyw</w:t>
      </w:r>
      <w:r w:rsidR="00FB3B93" w:rsidRPr="00C03ED4">
        <w:rPr>
          <w:lang w:eastAsia="pl-PL"/>
        </w:rPr>
        <w:t>anych przez SWW</w:t>
      </w:r>
      <w:r w:rsidRPr="00C03ED4">
        <w:rPr>
          <w:lang w:eastAsia="pl-PL"/>
        </w:rPr>
        <w:t xml:space="preserve"> instrumentów dłużnych można politykę finansową wojewódz</w:t>
      </w:r>
      <w:r w:rsidR="00CA1D80" w:rsidRPr="00C03ED4">
        <w:rPr>
          <w:lang w:eastAsia="pl-PL"/>
        </w:rPr>
        <w:t>twa określić jako konsekwentne</w:t>
      </w:r>
      <w:r w:rsidR="001C180A" w:rsidRPr="00C03ED4">
        <w:rPr>
          <w:lang w:eastAsia="pl-PL"/>
        </w:rPr>
        <w:t>, świadome i</w:t>
      </w:r>
      <w:r w:rsidR="00CA1D80" w:rsidRPr="00C03ED4">
        <w:rPr>
          <w:lang w:eastAsia="pl-PL"/>
        </w:rPr>
        <w:t xml:space="preserve"> bezpieczne zarządzanie finansowe</w:t>
      </w:r>
      <w:r w:rsidR="006E7E53" w:rsidRPr="00C03ED4">
        <w:rPr>
          <w:lang w:eastAsia="pl-PL"/>
        </w:rPr>
        <w:t>, co należy ocenić pozytywnie ze względu na</w:t>
      </w:r>
      <w:r w:rsidRPr="00C03ED4">
        <w:rPr>
          <w:lang w:eastAsia="pl-PL"/>
        </w:rPr>
        <w:t xml:space="preserve"> niepewność otoczenia społeczno-ekonomicznego i prawnego w jakim funkcjonuje województwo (np. zmiany prawa krajowego, czasem wprowadzane bardzo szybko i bez konsultacji z samorządami; wpływ globalizacji; zmieniając</w:t>
      </w:r>
      <w:r w:rsidR="00B8107D" w:rsidRPr="00C03ED4">
        <w:rPr>
          <w:lang w:eastAsia="pl-PL"/>
        </w:rPr>
        <w:t>e</w:t>
      </w:r>
      <w:r w:rsidRPr="00C03ED4">
        <w:rPr>
          <w:lang w:eastAsia="pl-PL"/>
        </w:rPr>
        <w:t xml:space="preserve"> się uwarunkowa</w:t>
      </w:r>
      <w:r w:rsidR="00B8107D" w:rsidRPr="00C03ED4">
        <w:rPr>
          <w:lang w:eastAsia="pl-PL"/>
        </w:rPr>
        <w:t>nia</w:t>
      </w:r>
      <w:r w:rsidRPr="00C03ED4">
        <w:rPr>
          <w:lang w:eastAsia="pl-PL"/>
        </w:rPr>
        <w:t xml:space="preserve"> związan</w:t>
      </w:r>
      <w:r w:rsidR="00B8107D" w:rsidRPr="00C03ED4">
        <w:rPr>
          <w:lang w:eastAsia="pl-PL"/>
        </w:rPr>
        <w:t>e</w:t>
      </w:r>
      <w:r w:rsidRPr="00C03ED4">
        <w:rPr>
          <w:lang w:eastAsia="pl-PL"/>
        </w:rPr>
        <w:t xml:space="preserve"> z przynależnością do Unii Europejskiej).</w:t>
      </w:r>
      <w:r w:rsidR="002D7D6D" w:rsidRPr="00C03ED4">
        <w:rPr>
          <w:lang w:eastAsia="pl-PL"/>
        </w:rPr>
        <w:t xml:space="preserve"> Agencja Ratingowa Fitch Ratings w maju 2018 roku pozytywnie oceniła zdolność kredytową SWW. Przyznany rating uzasadniła bardzo dobrym zarządzaniem strategicznym i finansowym SWW, które zapewnia bezpieczne wskaźniki obsługi i spłaty zadłużenia (czego potwierdzeniem był wcześniejszy wykup przed terminem 115 mln obligacji).</w:t>
      </w:r>
    </w:p>
    <w:p w14:paraId="19986F90" w14:textId="77777777" w:rsidR="00421A25" w:rsidRDefault="001F37B3" w:rsidP="001F37B3">
      <w:pPr>
        <w:pStyle w:val="Nagwek3"/>
      </w:pPr>
      <w:bookmarkStart w:id="118" w:name="_Toc536653140"/>
      <w:bookmarkStart w:id="119" w:name="_Toc1904811"/>
      <w:bookmarkStart w:id="120" w:name="_Toc5699461"/>
      <w:r>
        <w:t>N</w:t>
      </w:r>
      <w:r w:rsidR="00421A25">
        <w:t xml:space="preserve">akłady finansowe </w:t>
      </w:r>
      <w:r>
        <w:t xml:space="preserve">o </w:t>
      </w:r>
      <w:r w:rsidR="00421A25">
        <w:t>efek</w:t>
      </w:r>
      <w:r>
        <w:t xml:space="preserve">cie </w:t>
      </w:r>
      <w:r w:rsidR="00421A25">
        <w:t>rozwojowy</w:t>
      </w:r>
      <w:r>
        <w:t>m</w:t>
      </w:r>
      <w:bookmarkEnd w:id="118"/>
      <w:bookmarkEnd w:id="119"/>
      <w:bookmarkEnd w:id="120"/>
    </w:p>
    <w:p w14:paraId="07FC9F10" w14:textId="77777777" w:rsidR="00421A25" w:rsidRPr="001F37B3" w:rsidRDefault="00421A25" w:rsidP="00BF08D5">
      <w:pPr>
        <w:ind w:left="4536"/>
        <w:jc w:val="left"/>
        <w:rPr>
          <w:b/>
          <w:i/>
          <w:color w:val="001E50"/>
        </w:rPr>
      </w:pPr>
      <w:r w:rsidRPr="001F37B3">
        <w:rPr>
          <w:b/>
          <w:i/>
          <w:color w:val="001E50"/>
        </w:rPr>
        <w:t>Najważniejsze są środki finansowe, którymi można wielokrotnie obracać…</w:t>
      </w:r>
    </w:p>
    <w:p w14:paraId="016EE1B0" w14:textId="76BB3C6D" w:rsidR="00421A25" w:rsidRDefault="00421A25" w:rsidP="00421A25">
      <w:r w:rsidRPr="00A53FE8">
        <w:t>W programach UE współfinansowanych z funduszy strukturalnych w perspektywie 2014-</w:t>
      </w:r>
      <w:r w:rsidR="00960BF3">
        <w:t>20</w:t>
      </w:r>
      <w:r w:rsidRPr="00A53FE8">
        <w:t>20 wzrosła rola różnych instrumentów finansowych ze względu na ich większą efektywność. Przejawia si</w:t>
      </w:r>
      <w:r w:rsidR="00C0577D">
        <w:t>ę ona w możliwości wielorazowego</w:t>
      </w:r>
      <w:r w:rsidRPr="00A53FE8">
        <w:t xml:space="preserve"> wykorzystania środków</w:t>
      </w:r>
      <w:r w:rsidR="00B8107D">
        <w:t>,</w:t>
      </w:r>
      <w:r w:rsidRPr="00A53FE8">
        <w:t xml:space="preserve"> czyli ważny staje się </w:t>
      </w:r>
      <w:r w:rsidR="00C0577D">
        <w:t xml:space="preserve">zwielokrotniony </w:t>
      </w:r>
      <w:r w:rsidRPr="00A53FE8">
        <w:t>efekt tzw. dźwigni finansowej, dzięki któremu generowane są większe zasoby finansowe do wykorzystania przez beneficjentów (Fulara 2016). W poprzednich perspektywach najpopularniejszą metodą finan</w:t>
      </w:r>
      <w:r w:rsidR="0051018C">
        <w:t>sowania inwestycji były granty. W</w:t>
      </w:r>
      <w:r w:rsidRPr="00A53FE8">
        <w:t xml:space="preserve"> ostatnich latach przyjęto, że bezzwrotne granty będą zarezerwowane przede wszystkim dla prz</w:t>
      </w:r>
      <w:r w:rsidR="0051018C">
        <w:t>edsięwzięć wysoce innowacyjnych</w:t>
      </w:r>
      <w:r w:rsidRPr="00B1795B">
        <w:t xml:space="preserve">. W opisywane nowe podejście do kwestii efektywności </w:t>
      </w:r>
      <w:r w:rsidR="00A76C43" w:rsidRPr="00B1795B">
        <w:t>dobrze</w:t>
      </w:r>
      <w:r w:rsidRPr="00B1795B">
        <w:t xml:space="preserve"> wpisuje się </w:t>
      </w:r>
      <w:r w:rsidR="00041E87" w:rsidRPr="00B1795B">
        <w:t>przywoływana</w:t>
      </w:r>
      <w:r w:rsidR="0051018C" w:rsidRPr="00B1795B">
        <w:t xml:space="preserve"> już wcześniej </w:t>
      </w:r>
      <w:r w:rsidR="00041E87" w:rsidRPr="00B1795B">
        <w:t>inicjatywa UE</w:t>
      </w:r>
      <w:r w:rsidR="0051018C" w:rsidRPr="00B1795B">
        <w:t xml:space="preserve"> </w:t>
      </w:r>
      <w:r w:rsidR="0051018C" w:rsidRPr="00B1795B">
        <w:rPr>
          <w:rFonts w:eastAsia="Calibri"/>
        </w:rPr>
        <w:t>–</w:t>
      </w:r>
      <w:r w:rsidR="0051018C" w:rsidRPr="00B1795B">
        <w:t xml:space="preserve"> </w:t>
      </w:r>
      <w:r w:rsidR="00041E87" w:rsidRPr="00B1795B">
        <w:t>JEREMIE bazująca</w:t>
      </w:r>
      <w:r w:rsidR="005009BE" w:rsidRPr="00B1795B">
        <w:t xml:space="preserve"> na</w:t>
      </w:r>
      <w:r w:rsidRPr="00B1795B">
        <w:t xml:space="preserve"> odnawialnych inst</w:t>
      </w:r>
      <w:r w:rsidR="005009BE" w:rsidRPr="00B1795B">
        <w:t>rumentach</w:t>
      </w:r>
      <w:r w:rsidRPr="00B1795B">
        <w:t xml:space="preserve"> finansowych, takich jak niskooprocentowane pożyczki i poręczenia kredytów</w:t>
      </w:r>
      <w:r w:rsidR="005009BE" w:rsidRPr="00B1795B">
        <w:t xml:space="preserve"> dla firm</w:t>
      </w:r>
      <w:r w:rsidRPr="00B1795B">
        <w:t>.</w:t>
      </w:r>
      <w:r w:rsidR="00041E87" w:rsidRPr="00B1795B">
        <w:t xml:space="preserve"> </w:t>
      </w:r>
      <w:r w:rsidR="0068734A" w:rsidRPr="00B1795B">
        <w:t>Decyzja Z</w:t>
      </w:r>
      <w:r w:rsidR="00041E87" w:rsidRPr="00B1795B">
        <w:t>WW o przystąpieniu do tego programu była świadomym wyborem, któr</w:t>
      </w:r>
      <w:r w:rsidR="008F4B66" w:rsidRPr="00B1795B">
        <w:t xml:space="preserve">y wiązał się z pewnym ryzykiem. </w:t>
      </w:r>
      <w:r w:rsidR="0068734A" w:rsidRPr="00B1795B">
        <w:t>Z</w:t>
      </w:r>
      <w:r w:rsidR="008F4B66" w:rsidRPr="00B1795B">
        <w:t>WW decydując o przeznaczeniu w ramach RPO puli środków na pożyczki i poręczenia dla firm było inicjatorem wdrażania Inicjatywy JEREMIE w Polsce, inspirując tym samym inne województwa</w:t>
      </w:r>
      <w:r w:rsidR="00041E87" w:rsidRPr="00B1795B">
        <w:t xml:space="preserve"> </w:t>
      </w:r>
      <w:r w:rsidR="00562612" w:rsidRPr="00B1795B">
        <w:t>(w latach 2007-2013 udzielono wielkopolskim przedsiębiorcom ponad 8,5 tysiąca pożyczek/poręczeń o wartości ponad 1,3 mld zł</w:t>
      </w:r>
      <w:r w:rsidR="008F4B66" w:rsidRPr="00B1795B">
        <w:t>, inicjatywa ta jest kontynuowana w</w:t>
      </w:r>
      <w:r w:rsidR="0068734A" w:rsidRPr="00B1795B">
        <w:t xml:space="preserve"> Wielkopolsce</w:t>
      </w:r>
      <w:r w:rsidR="008F4B66" w:rsidRPr="00B1795B">
        <w:t xml:space="preserve"> w obecnej perspektywie finansowej</w:t>
      </w:r>
      <w:r w:rsidR="00562612" w:rsidRPr="00B1795B">
        <w:t>).</w:t>
      </w:r>
    </w:p>
    <w:p w14:paraId="291829F8" w14:textId="2E073065" w:rsidR="005763A7" w:rsidRDefault="00421A25" w:rsidP="003506B8">
      <w:pPr>
        <w:rPr>
          <w:lang w:eastAsia="pl-PL"/>
        </w:rPr>
      </w:pPr>
      <w:r>
        <w:rPr>
          <w:lang w:eastAsia="pl-PL"/>
        </w:rPr>
        <w:t>Rozwój przedsiębiorstw jest jednym z najważniejszych filarów rozwoju regionu. Pożyczki zwrotne dla firm w ramach programu JEREMIE to środki świetnie ulokowane: pomogły rozwinąć się firmom, a teraz posłużą realizacji kolejnych celów rozwojowych. Większość działań w tym obszarze realizowanych jest przez</w:t>
      </w:r>
      <w:r w:rsidR="00185E1A">
        <w:rPr>
          <w:lang w:eastAsia="pl-PL"/>
        </w:rPr>
        <w:t xml:space="preserve"> spółki z udziałem </w:t>
      </w:r>
      <w:r w:rsidR="000E5A11">
        <w:rPr>
          <w:lang w:eastAsia="pl-PL"/>
        </w:rPr>
        <w:t>S</w:t>
      </w:r>
      <w:r w:rsidR="00185E1A">
        <w:rPr>
          <w:lang w:eastAsia="pl-PL"/>
        </w:rPr>
        <w:t>WW, w tym</w:t>
      </w:r>
      <w:r>
        <w:rPr>
          <w:lang w:eastAsia="pl-PL"/>
        </w:rPr>
        <w:t xml:space="preserve"> Wielkopolski Fundusz Rozwoju sp. z o.o., który oferuje wsparcie firmom</w:t>
      </w:r>
      <w:r w:rsidRPr="00304D53">
        <w:rPr>
          <w:lang w:eastAsia="pl-PL"/>
        </w:rPr>
        <w:t xml:space="preserve"> z Wielkopolski</w:t>
      </w:r>
      <w:r>
        <w:rPr>
          <w:lang w:eastAsia="pl-PL"/>
        </w:rPr>
        <w:t xml:space="preserve"> w postaci pożyczek zwrotnych, które</w:t>
      </w:r>
      <w:r w:rsidRPr="00304D53">
        <w:rPr>
          <w:lang w:eastAsia="pl-PL"/>
        </w:rPr>
        <w:t xml:space="preserve"> są szansą na kolejne inwestycje, innowacje </w:t>
      </w:r>
      <w:r w:rsidRPr="00304D53">
        <w:rPr>
          <w:lang w:eastAsia="pl-PL"/>
        </w:rPr>
        <w:lastRenderedPageBreak/>
        <w:t>oraz tworzenie nowych miejsc prac</w:t>
      </w:r>
      <w:r>
        <w:rPr>
          <w:lang w:eastAsia="pl-PL"/>
        </w:rPr>
        <w:t>y, a także specjalne linie finansowe dla pośredników finansowych udzielających wsparcia przedsiębiorstwom z sektora MŚP z województwa wielkopolskiego.</w:t>
      </w:r>
    </w:p>
    <w:p w14:paraId="6FE5F325" w14:textId="77777777" w:rsidR="00421A25" w:rsidRDefault="002C2855" w:rsidP="001F37B3">
      <w:pPr>
        <w:pStyle w:val="Nagwek2"/>
      </w:pPr>
      <w:bookmarkStart w:id="121" w:name="_Toc536653142"/>
      <w:bookmarkStart w:id="122" w:name="_Toc1904813"/>
      <w:bookmarkStart w:id="123" w:name="_Toc5699462"/>
      <w:r>
        <w:t>Z</w:t>
      </w:r>
      <w:r w:rsidR="00421A25">
        <w:t>asob</w:t>
      </w:r>
      <w:r>
        <w:t>y</w:t>
      </w:r>
      <w:r w:rsidR="00421A25">
        <w:t xml:space="preserve"> pozafinansow</w:t>
      </w:r>
      <w:r>
        <w:t>e</w:t>
      </w:r>
      <w:bookmarkEnd w:id="121"/>
      <w:bookmarkEnd w:id="122"/>
      <w:bookmarkEnd w:id="123"/>
    </w:p>
    <w:p w14:paraId="63ADBBD4" w14:textId="77777777" w:rsidR="002C2855" w:rsidRPr="001F37B3" w:rsidRDefault="002C2855" w:rsidP="00BF08D5">
      <w:pPr>
        <w:ind w:left="4536"/>
        <w:jc w:val="left"/>
        <w:rPr>
          <w:b/>
          <w:i/>
          <w:color w:val="001E50"/>
        </w:rPr>
      </w:pPr>
      <w:r>
        <w:rPr>
          <w:b/>
          <w:i/>
          <w:color w:val="001E50"/>
        </w:rPr>
        <w:t>Często działania prorozwojowe nie muszą oznaczać konkretnych sum pieniędzy…</w:t>
      </w:r>
    </w:p>
    <w:p w14:paraId="1B0B8D1C" w14:textId="77777777" w:rsidR="00421A25" w:rsidRDefault="00421A25" w:rsidP="00421A25">
      <w:pPr>
        <w:rPr>
          <w:lang w:eastAsia="pl-PL"/>
        </w:rPr>
      </w:pPr>
      <w:r>
        <w:rPr>
          <w:lang w:eastAsia="pl-PL"/>
        </w:rPr>
        <w:t>Do pozafinansowych instrumentów służących realizacji strategii można zaliczyć różnego rodzaju instrumenty informacyjne, edukacyjne oraz koncepcyjno-organizacyjne, np. komisje rozwoju gospodarczego, ciała doradcze złożone z ekspertów zewnętrznych, kadry i struktura organizacyjna urzędu, procedury współpracy (Sztando 1999).</w:t>
      </w:r>
    </w:p>
    <w:p w14:paraId="25311D87" w14:textId="50DA56CF" w:rsidR="00421A25" w:rsidRDefault="00421A25" w:rsidP="00421A25">
      <w:pPr>
        <w:rPr>
          <w:lang w:eastAsia="pl-PL"/>
        </w:rPr>
      </w:pPr>
      <w:r>
        <w:rPr>
          <w:lang w:eastAsia="pl-PL"/>
        </w:rPr>
        <w:t>Według informacji zawartych w Sprawozdaniu z realizacji Strategii Rozwoju Województwa Wielkopolskiego do 2020 roku w latach 2013</w:t>
      </w:r>
      <w:r w:rsidR="00E7522A">
        <w:rPr>
          <w:lang w:eastAsia="pl-PL"/>
        </w:rPr>
        <w:t>-</w:t>
      </w:r>
      <w:r>
        <w:rPr>
          <w:lang w:eastAsia="pl-PL"/>
        </w:rPr>
        <w:t>2014 oraz Sprawozdaniu z realizacji Strategii Rozwoju Województwa Wielkopolskiego do 2020 roku w latach 2015</w:t>
      </w:r>
      <w:r w:rsidR="00E7522A">
        <w:rPr>
          <w:lang w:eastAsia="pl-PL"/>
        </w:rPr>
        <w:t>-</w:t>
      </w:r>
      <w:r>
        <w:rPr>
          <w:lang w:eastAsia="pl-PL"/>
        </w:rPr>
        <w:t>2016 władze województwa w celu osiągnięcia założonych celów, podejmowały takie działania pozafinansowe jak: „zawieranie porozumień, listów intencyjnych, dokumentów i aktów prawnych, dokumentów strategicznych i operacyjnych, spotkania formalne i nieformalne, obecność w mediach, lobbowanie w danej sprawie, zlecanie ekspertyz lub podejmowanie ich we własnym zakresie, podobnie jak badań, powoływanie lub branie udziału w grupach roboczych, komitetach, komisjach, radach, realizacja projektów unijnych, międzynarodowych, ogłaszanie i rozstrzyganie konkursów, w tym na realizację zadań publicznych, realizacja zadań statutowych, wynikających z ustaw i zleconych przez administrację rządową, przyznawanie stypendiów, nagród, organizację festynów, pikników, targów, misji gospodarczych, forów, wyjazdy studyjne, wydawanie publikacji i poradników i wiele innych”.</w:t>
      </w:r>
    </w:p>
    <w:p w14:paraId="684679EA" w14:textId="127CD36C" w:rsidR="00421A25" w:rsidRDefault="00421A25" w:rsidP="00421A25">
      <w:pPr>
        <w:rPr>
          <w:lang w:eastAsia="pl-PL"/>
        </w:rPr>
      </w:pPr>
      <w:r>
        <w:rPr>
          <w:lang w:eastAsia="pl-PL"/>
        </w:rPr>
        <w:t>Działania finansowe i pozafinansowe samorządu uzupełniają się w procesie realizacji celów strategii rozwoju. Wykorzystywanie tych drugich jest dużo trudniejsze i dużo bardziej skomplikowane</w:t>
      </w:r>
      <w:r w:rsidR="416AC848" w:rsidRPr="416AC848">
        <w:rPr>
          <w:lang w:eastAsia="pl-PL"/>
        </w:rPr>
        <w:t>,</w:t>
      </w:r>
      <w:r>
        <w:rPr>
          <w:lang w:eastAsia="pl-PL"/>
        </w:rPr>
        <w:t xml:space="preserve"> jeśli chodzi o pomiar efektów. Niemniej jednak działania pozafinansowe pozostają bardzo ważne dla kwestii rozwojowych i dlatego istotne jest</w:t>
      </w:r>
      <w:r w:rsidR="009743DE">
        <w:rPr>
          <w:lang w:eastAsia="pl-PL"/>
        </w:rPr>
        <w:t>,</w:t>
      </w:r>
      <w:r>
        <w:rPr>
          <w:lang w:eastAsia="pl-PL"/>
        </w:rPr>
        <w:t xml:space="preserve"> by prowadzić monitoring i pomiar tego typu aktywności. Efekty działań pozafinansowych należy mierzyć wskaźnikami, które podkreślają wagę jakościowych, a nie tylko ilościowych, aspektów zjawisk społeczno-ekonomicznych. </w:t>
      </w:r>
      <w:r w:rsidR="00CD2757">
        <w:rPr>
          <w:lang w:eastAsia="pl-PL"/>
        </w:rPr>
        <w:t>Do tego typu wskaźników możemy zaliczyć</w:t>
      </w:r>
      <w:r w:rsidR="004736D8">
        <w:rPr>
          <w:lang w:eastAsia="pl-PL"/>
        </w:rPr>
        <w:t xml:space="preserve"> te</w:t>
      </w:r>
      <w:r w:rsidR="00CD2757">
        <w:rPr>
          <w:lang w:eastAsia="pl-PL"/>
        </w:rPr>
        <w:t>,</w:t>
      </w:r>
      <w:r w:rsidR="004736D8">
        <w:rPr>
          <w:lang w:eastAsia="pl-PL"/>
        </w:rPr>
        <w:t xml:space="preserve"> obrazujące</w:t>
      </w:r>
      <w:r w:rsidR="004736D8" w:rsidRPr="004736D8">
        <w:rPr>
          <w:lang w:eastAsia="pl-PL"/>
        </w:rPr>
        <w:t xml:space="preserve"> jakość kapitału ludzkiego, np. w zakresie </w:t>
      </w:r>
      <w:r w:rsidR="004736D8">
        <w:rPr>
          <w:lang w:eastAsia="pl-PL"/>
        </w:rPr>
        <w:t xml:space="preserve">stanu zdrowia </w:t>
      </w:r>
      <w:r w:rsidR="004736D8" w:rsidRPr="004736D8">
        <w:rPr>
          <w:lang w:eastAsia="pl-PL"/>
        </w:rPr>
        <w:t>dotyczące zachorowalności na choroby cywilizacyjne</w:t>
      </w:r>
      <w:r w:rsidR="00E5578E">
        <w:rPr>
          <w:lang w:eastAsia="pl-PL"/>
        </w:rPr>
        <w:t xml:space="preserve"> oraz te</w:t>
      </w:r>
      <w:r w:rsidR="00CD2757">
        <w:rPr>
          <w:lang w:eastAsia="pl-PL"/>
        </w:rPr>
        <w:t>,</w:t>
      </w:r>
      <w:r w:rsidR="00E5578E">
        <w:rPr>
          <w:lang w:eastAsia="pl-PL"/>
        </w:rPr>
        <w:t xml:space="preserve"> opisujące jakość kapitału społecznego</w:t>
      </w:r>
      <w:r w:rsidR="00CD2757">
        <w:rPr>
          <w:lang w:eastAsia="pl-PL"/>
        </w:rPr>
        <w:t>, np. liczba i struktura</w:t>
      </w:r>
      <w:r w:rsidR="00CD2757" w:rsidRPr="00CD2757">
        <w:rPr>
          <w:lang w:eastAsia="pl-PL"/>
        </w:rPr>
        <w:t xml:space="preserve"> NGOs, w tym ich aktywność </w:t>
      </w:r>
      <w:r w:rsidR="00CD2757">
        <w:rPr>
          <w:lang w:eastAsia="pl-PL"/>
        </w:rPr>
        <w:t>i skuteczność w pozyskiwaniu</w:t>
      </w:r>
      <w:r w:rsidR="00CD2757" w:rsidRPr="00CD2757">
        <w:rPr>
          <w:lang w:eastAsia="pl-PL"/>
        </w:rPr>
        <w:t xml:space="preserve"> środków europejskich</w:t>
      </w:r>
      <w:r w:rsidR="00CD2757">
        <w:rPr>
          <w:lang w:eastAsia="pl-PL"/>
        </w:rPr>
        <w:t>; liczba</w:t>
      </w:r>
      <w:r w:rsidR="00CD2757" w:rsidRPr="00CD2757">
        <w:rPr>
          <w:lang w:eastAsia="pl-PL"/>
        </w:rPr>
        <w:t xml:space="preserve"> organizacji współpracujących z NGOs w danym r</w:t>
      </w:r>
      <w:r w:rsidR="00CD2757">
        <w:rPr>
          <w:lang w:eastAsia="pl-PL"/>
        </w:rPr>
        <w:t>egionie oraz liczba</w:t>
      </w:r>
      <w:r w:rsidR="00CD2757" w:rsidRPr="00CD2757">
        <w:rPr>
          <w:lang w:eastAsia="pl-PL"/>
        </w:rPr>
        <w:t xml:space="preserve"> podejmowanych przez </w:t>
      </w:r>
      <w:r w:rsidR="00CD2757">
        <w:rPr>
          <w:lang w:eastAsia="pl-PL"/>
        </w:rPr>
        <w:t xml:space="preserve">te podmioty wspólnych inicjatyw lub </w:t>
      </w:r>
      <w:r w:rsidR="00CD2757" w:rsidRPr="00CD2757">
        <w:rPr>
          <w:lang w:eastAsia="pl-PL"/>
        </w:rPr>
        <w:t>projektów</w:t>
      </w:r>
      <w:r w:rsidR="004736D8">
        <w:rPr>
          <w:lang w:eastAsia="pl-PL"/>
        </w:rPr>
        <w:t xml:space="preserve">. </w:t>
      </w:r>
      <w:r>
        <w:rPr>
          <w:lang w:eastAsia="pl-PL"/>
        </w:rPr>
        <w:t xml:space="preserve">Ponadto, tworzone powinny być sieci połączeń, tak, by osiągnąć pozytywne efekty „rozlewania się” rozwoju z rdzeni na peryferia (Churski </w:t>
      </w:r>
      <w:r w:rsidR="00B937DD">
        <w:rPr>
          <w:lang w:eastAsia="pl-PL"/>
        </w:rPr>
        <w:t>i in. 2018).</w:t>
      </w:r>
    </w:p>
    <w:p w14:paraId="72BFF6D9" w14:textId="6F05961C" w:rsidR="00421A25" w:rsidRDefault="00421A25" w:rsidP="00421A25">
      <w:pPr>
        <w:rPr>
          <w:lang w:eastAsia="pl-PL"/>
        </w:rPr>
      </w:pPr>
      <w:r w:rsidRPr="0039576B">
        <w:rPr>
          <w:lang w:eastAsia="pl-PL"/>
        </w:rPr>
        <w:t>Najczęściej wśród działań pozafinansowych</w:t>
      </w:r>
      <w:r w:rsidR="00486863">
        <w:rPr>
          <w:lang w:eastAsia="pl-PL"/>
        </w:rPr>
        <w:t xml:space="preserve"> S</w:t>
      </w:r>
      <w:r w:rsidR="0067315A">
        <w:rPr>
          <w:lang w:eastAsia="pl-PL"/>
        </w:rPr>
        <w:t>WW</w:t>
      </w:r>
      <w:r w:rsidRPr="0039576B">
        <w:rPr>
          <w:lang w:eastAsia="pl-PL"/>
        </w:rPr>
        <w:t xml:space="preserve"> wymieniane są różnego rodzaju działania promocyjne, aktywności związane z budową platform wymiany wiedzy, z budowaniem sieci współpracy, dotyczące organizacji różnego rodzaju szkoleń, konferencji czy konkursów</w:t>
      </w:r>
      <w:r>
        <w:rPr>
          <w:lang w:eastAsia="pl-PL"/>
        </w:rPr>
        <w:t xml:space="preserve"> oraz różne formy lobbowania</w:t>
      </w:r>
      <w:r w:rsidRPr="0039576B">
        <w:rPr>
          <w:lang w:eastAsia="pl-PL"/>
        </w:rPr>
        <w:t>. Ważny element tego typu działalności to obejmowanie przez Marszałka patronatem honorowym różnego rodzaju imprez na wniosek organizatorów.</w:t>
      </w:r>
      <w:r>
        <w:rPr>
          <w:lang w:eastAsia="pl-PL"/>
        </w:rPr>
        <w:t xml:space="preserve"> Analiza rozmieszczenia w regionie objętych patronatem honorowym Marszałka Województwa Wielkopolskiego imprez i wydarzeń </w:t>
      </w:r>
      <w:r w:rsidR="0067315A">
        <w:rPr>
          <w:lang w:eastAsia="pl-PL"/>
        </w:rPr>
        <w:t xml:space="preserve">może pośrednio wskazywać na regionalne zróżnicowanie aktywności środowisk lokalnych </w:t>
      </w:r>
    </w:p>
    <w:tbl>
      <w:tblPr>
        <w:tblStyle w:val="Tabela-Siatka"/>
        <w:tblpPr w:leftFromText="142" w:rightFromText="142" w:topFromText="164" w:bottomFromText="164" w:vertAnchor="text" w:horzAnchor="margin" w:tblpXSpec="right" w:tblpY="14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apa 1. Patronaty Marszałka Województwa Wielkopolskiego w latach 2016-2018 (łącznie 1288)"/>
        <w:tblDescription w:val="Na mapie Polski przedstawiono rozmieszczenie patronatów Marszałka Województwa Wielkopolskiego w latach 2016-2018. "/>
      </w:tblPr>
      <w:tblGrid>
        <w:gridCol w:w="5600"/>
      </w:tblGrid>
      <w:tr w:rsidR="00421A25" w:rsidRPr="00DC19E5" w14:paraId="15167FC4" w14:textId="77777777" w:rsidTr="005763A7">
        <w:tc>
          <w:tcPr>
            <w:tcW w:w="5242" w:type="dxa"/>
          </w:tcPr>
          <w:p w14:paraId="496DD1CD" w14:textId="21D4AAE3" w:rsidR="00421A25" w:rsidRPr="00DC19E5" w:rsidRDefault="00421A25" w:rsidP="000B3274">
            <w:pPr>
              <w:pStyle w:val="Legenda"/>
              <w:keepNext/>
            </w:pPr>
            <w:bookmarkStart w:id="124" w:name="_Ref536711685"/>
            <w:bookmarkStart w:id="125" w:name="_Toc5699564"/>
            <w:r>
              <w:lastRenderedPageBreak/>
              <w:t xml:space="preserve">Mapa </w:t>
            </w:r>
            <w:r w:rsidRPr="69901DB0">
              <w:fldChar w:fldCharType="begin"/>
            </w:r>
            <w:r>
              <w:rPr>
                <w:noProof/>
              </w:rPr>
              <w:instrText xml:space="preserve"> SEQ Mapa \* ARABIC </w:instrText>
            </w:r>
            <w:r w:rsidRPr="69901DB0">
              <w:rPr>
                <w:noProof/>
              </w:rPr>
              <w:fldChar w:fldCharType="separate"/>
            </w:r>
            <w:r w:rsidR="007F4FA2">
              <w:rPr>
                <w:noProof/>
              </w:rPr>
              <w:t>1</w:t>
            </w:r>
            <w:r w:rsidRPr="69901DB0">
              <w:fldChar w:fldCharType="end"/>
            </w:r>
            <w:bookmarkEnd w:id="124"/>
            <w:r>
              <w:t>. Patronaty Marszałka Województwa Wielkopolskiego w latach 2016-2018 (łącznie 1288)</w:t>
            </w:r>
            <w:bookmarkEnd w:id="125"/>
          </w:p>
        </w:tc>
      </w:tr>
      <w:tr w:rsidR="00421A25" w:rsidRPr="00DC19E5" w14:paraId="22D30E08" w14:textId="77777777" w:rsidTr="005763A7">
        <w:tblPrEx>
          <w:tblCellMar>
            <w:left w:w="70" w:type="dxa"/>
            <w:right w:w="70" w:type="dxa"/>
          </w:tblCellMar>
        </w:tblPrEx>
        <w:trPr>
          <w:trHeight w:val="5826"/>
        </w:trPr>
        <w:tc>
          <w:tcPr>
            <w:tcW w:w="5242" w:type="dxa"/>
          </w:tcPr>
          <w:p w14:paraId="1B3030F6" w14:textId="77777777" w:rsidR="00421A25" w:rsidRPr="00DC19E5" w:rsidRDefault="00421A25" w:rsidP="000B3274">
            <w:pPr>
              <w:spacing w:after="0" w:line="240" w:lineRule="auto"/>
              <w:rPr>
                <w:sz w:val="14"/>
                <w:szCs w:val="14"/>
                <w:lang w:eastAsia="pl-PL"/>
              </w:rPr>
            </w:pPr>
            <w:r>
              <w:rPr>
                <w:noProof/>
                <w:lang w:eastAsia="pl-PL"/>
              </w:rPr>
              <w:drawing>
                <wp:inline distT="0" distB="0" distL="0" distR="0" wp14:anchorId="5FA254FA" wp14:editId="2C027D68">
                  <wp:extent cx="3462155" cy="3649916"/>
                  <wp:effectExtent l="0" t="0" r="5080" b="8255"/>
                  <wp:docPr id="2104815833" name="Obraz 2104815833" descr="Na mapie Polski przedstawiono rozmieszczenie patronatów Marszałka Województwa Wielkopolskiego w latach 2016-2018. " title="Mapa 1. Patronaty Marszałka Województwa Wielkopolskiego w latach 2016-2018 (łączni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76665" cy="3665212"/>
                          </a:xfrm>
                          <a:prstGeom prst="rect">
                            <a:avLst/>
                          </a:prstGeom>
                        </pic:spPr>
                      </pic:pic>
                    </a:graphicData>
                  </a:graphic>
                </wp:inline>
              </w:drawing>
            </w:r>
          </w:p>
        </w:tc>
      </w:tr>
      <w:tr w:rsidR="00421A25" w:rsidRPr="00DC19E5" w14:paraId="1EB07B3A" w14:textId="77777777" w:rsidTr="005763A7">
        <w:trPr>
          <w:trHeight w:val="272"/>
        </w:trPr>
        <w:tc>
          <w:tcPr>
            <w:tcW w:w="5242" w:type="dxa"/>
            <w:vAlign w:val="center"/>
          </w:tcPr>
          <w:p w14:paraId="15CE1962" w14:textId="77777777" w:rsidR="00421A25" w:rsidRPr="00DC19E5" w:rsidRDefault="00421A25" w:rsidP="000B3274">
            <w:pPr>
              <w:spacing w:after="0" w:line="240" w:lineRule="auto"/>
              <w:jc w:val="left"/>
              <w:rPr>
                <w:sz w:val="14"/>
                <w:szCs w:val="14"/>
                <w:lang w:eastAsia="pl-PL"/>
              </w:rPr>
            </w:pPr>
            <w:r>
              <w:rPr>
                <w:sz w:val="14"/>
                <w:szCs w:val="14"/>
                <w:lang w:eastAsia="pl-PL"/>
              </w:rPr>
              <w:t>Źródło: opracowanie własne na podstawie danych UMWW</w:t>
            </w:r>
          </w:p>
        </w:tc>
      </w:tr>
    </w:tbl>
    <w:p w14:paraId="73742381" w14:textId="45B74380" w:rsidR="00421A25" w:rsidRDefault="0067315A" w:rsidP="00421A25">
      <w:r w:rsidRPr="00C66F6D">
        <w:rPr>
          <w:lang w:eastAsia="pl-PL"/>
        </w:rPr>
        <w:t>(</w:t>
      </w:r>
      <w:r>
        <w:rPr>
          <w:lang w:eastAsia="pl-PL"/>
        </w:rPr>
        <w:fldChar w:fldCharType="begin"/>
      </w:r>
      <w:r>
        <w:rPr>
          <w:lang w:eastAsia="pl-PL"/>
        </w:rPr>
        <w:instrText xml:space="preserve"> REF _Ref536711685 \h </w:instrText>
      </w:r>
      <w:r>
        <w:rPr>
          <w:lang w:eastAsia="pl-PL"/>
        </w:rPr>
      </w:r>
      <w:r>
        <w:rPr>
          <w:lang w:eastAsia="pl-PL"/>
        </w:rPr>
        <w:fldChar w:fldCharType="separate"/>
      </w:r>
      <w:r w:rsidR="007F4FA2">
        <w:t xml:space="preserve">Mapa </w:t>
      </w:r>
      <w:r w:rsidR="007F4FA2">
        <w:rPr>
          <w:noProof/>
        </w:rPr>
        <w:t>1</w:t>
      </w:r>
      <w:r>
        <w:rPr>
          <w:lang w:eastAsia="pl-PL"/>
        </w:rPr>
        <w:fldChar w:fldCharType="end"/>
      </w:r>
      <w:r w:rsidRPr="00C66F6D">
        <w:rPr>
          <w:lang w:eastAsia="pl-PL"/>
        </w:rPr>
        <w:t>)</w:t>
      </w:r>
      <w:r w:rsidR="00B937DD">
        <w:rPr>
          <w:lang w:eastAsia="pl-PL"/>
        </w:rPr>
        <w:t>.</w:t>
      </w:r>
      <w:r w:rsidR="00A812D7">
        <w:rPr>
          <w:lang w:eastAsia="pl-PL"/>
        </w:rPr>
        <w:t xml:space="preserve"> Południowa, zachodnia i środkowa część Wielkopolski wyróżniają się pozytywnie pod tym względem.</w:t>
      </w:r>
    </w:p>
    <w:p w14:paraId="4982F7FC" w14:textId="0B85B1FC" w:rsidR="00421A25" w:rsidRDefault="00421A25" w:rsidP="00421A25">
      <w:r>
        <w:t xml:space="preserve">Szczególnej roli działalności niefinansowej upatrywali przedstawiciele Departamentu Organizacyjnego i Kadr </w:t>
      </w:r>
      <w:r w:rsidR="002F3D2D">
        <w:t>UMWW</w:t>
      </w:r>
      <w:r>
        <w:t xml:space="preserve"> we współpracy z organizacjami pozarządowymi. Wymieniane tu były aktywności takie jak: </w:t>
      </w:r>
      <w:r w:rsidRPr="006C6F54">
        <w:t>wzajemne informowanie się o kierunkach działalności, ko</w:t>
      </w:r>
      <w:r>
        <w:t>nsultowanie różnych</w:t>
      </w:r>
      <w:r w:rsidRPr="006C6F54">
        <w:t xml:space="preserve"> projektów aktów normatywnych dotyczących sfery zadań publicznych, tworzenie wspólnych zespołów o charakterz</w:t>
      </w:r>
      <w:r>
        <w:t>e doradczym, prowadzenie punktów konsultacyjnych oraz strony internetowej dedykowanej organizacjom pozarządowym.</w:t>
      </w:r>
    </w:p>
    <w:p w14:paraId="40705C95" w14:textId="7757F6F0" w:rsidR="00421A25" w:rsidRDefault="00421A25" w:rsidP="00421A25">
      <w:r>
        <w:t xml:space="preserve">Departamenty </w:t>
      </w:r>
      <w:r w:rsidR="002F3D2D">
        <w:t xml:space="preserve">UMWW </w:t>
      </w:r>
      <w:r>
        <w:t xml:space="preserve">prowadzą także w różnych formach i obszarach niefinansową działalność polegającą na lobbowaniu w innych instytucjach (np. w innych samorządach, w Ministerstwach, w szpitalach i ośrodkach zdrowia niepodlegających </w:t>
      </w:r>
      <w:r w:rsidR="00FB7B19">
        <w:t>SWW</w:t>
      </w:r>
      <w:r>
        <w:t xml:space="preserve"> etc.) w celu rozwiązania konkretnych problemów (np. związanych z remontem czy budową dróg krajowych na terenie województwa wielkopolskiego) lub wypracowania wspólnych rozwiązań przy realizacji nowych projektów, np. „</w:t>
      </w:r>
      <w:r w:rsidRPr="002C1C2C">
        <w:t>Wyposażenie środowisk informatycznych wojewódzkich, powiatowych i miejskich podmiotów leczniczych w narzędzia informatyczne umożliwiające wdrożenie Elektronicznej Dokumentacji Medycznej oraz stworzenie sieci wymiany danych między podmiotami leczniczymi samorządu województwa</w:t>
      </w:r>
      <w:r>
        <w:t>”.</w:t>
      </w:r>
    </w:p>
    <w:p w14:paraId="319C9865" w14:textId="77777777" w:rsidR="002C2855" w:rsidRPr="001F37B3" w:rsidRDefault="002C2855" w:rsidP="00BF08D5">
      <w:pPr>
        <w:ind w:left="4536"/>
        <w:jc w:val="left"/>
        <w:rPr>
          <w:b/>
          <w:i/>
          <w:color w:val="001E50"/>
        </w:rPr>
      </w:pPr>
      <w:r>
        <w:rPr>
          <w:b/>
          <w:i/>
          <w:color w:val="001E50"/>
        </w:rPr>
        <w:t>Czynniki ułatwiające i ograniczające mobilizację zasobów pozafinansowych</w:t>
      </w:r>
    </w:p>
    <w:p w14:paraId="5F8F337B" w14:textId="2A2205D8" w:rsidR="00421A25" w:rsidRDefault="00421A25" w:rsidP="00421A25">
      <w:pPr>
        <w:rPr>
          <w:lang w:eastAsia="pl-PL"/>
        </w:rPr>
      </w:pPr>
      <w:r>
        <w:rPr>
          <w:lang w:eastAsia="pl-PL"/>
        </w:rPr>
        <w:t xml:space="preserve">Mobilizację zasobów pozafinansowych ułatwiają cechy kapitału społecznego takie jak zaufanie, skłonność do współpracy, do działania na rzecz dobra wspólnego. Cechy te często są uwarunkowane historycznie. M.in. poprzez edukację i wychowanie dzieci można próbować kształtować te pozytywne cechy społeczne. Przy czym efekty będą oddalone w czasie, stąd inwestycje w edukację i wychowanie często są politycznie mniej popularne. W przypadku województwa wielkopolskiego do charakterystyk ułatwiających zaktywizowanie działań pozafinansowych należy zaliczyć relatywnie wysoki wskaźnik kapitału społecznego (Herbst, Swianiewicz 2008). Analiza zawartości lokalnych dokumentów strategicznych z jednej strony wskazuje na występowanie licznych organizacji pozarządowych na obszarze Wielkopolski i dobrą współpracę samorządów z tymi organizacjami, z drugiej zaś strony podkreślany jest brak zaangażowania stowarzyszeń w działania prewencyjne i nastawienie organizacji na działania projektowe oraz skłonności wielu gmin do działań zindywidualizowanych, czego </w:t>
      </w:r>
      <w:r>
        <w:rPr>
          <w:lang w:eastAsia="pl-PL"/>
        </w:rPr>
        <w:lastRenderedPageBreak/>
        <w:t xml:space="preserve">przejawem są </w:t>
      </w:r>
      <w:r w:rsidR="00587B2A">
        <w:rPr>
          <w:lang w:eastAsia="pl-PL"/>
        </w:rPr>
        <w:t xml:space="preserve">np. </w:t>
      </w:r>
      <w:r>
        <w:rPr>
          <w:lang w:eastAsia="pl-PL"/>
        </w:rPr>
        <w:t xml:space="preserve">braki wspólnego produktu turystycznego gmin, ponadregionalnej oferty turystycznej, czy spójnej strategii kultury i turystyki (Borkowska 2018). </w:t>
      </w:r>
    </w:p>
    <w:p w14:paraId="13B6D8E4" w14:textId="629FBD24" w:rsidR="00421A25" w:rsidRDefault="001D5243" w:rsidP="00421A25">
      <w:pPr>
        <w:rPr>
          <w:lang w:eastAsia="pl-PL"/>
        </w:rPr>
      </w:pPr>
      <w:r>
        <w:rPr>
          <w:lang w:eastAsia="pl-PL"/>
        </w:rPr>
        <w:t>Zgodnie z wypowiedziami w trakcie wywiadów p</w:t>
      </w:r>
      <w:r w:rsidR="00421A25">
        <w:rPr>
          <w:lang w:eastAsia="pl-PL"/>
        </w:rPr>
        <w:t xml:space="preserve">rzeszkodą w angażowaniu zasobów pozafinansowych są różne procesy centralizacyjne, które skutkują wprowadzaniem przepisów prawa niekonsultowanych społecznie i ekspercko (np. stworzenie przyrządowego Centrum Wsparcia Doradczego dla samorządów). Przepisy, które przesuwają </w:t>
      </w:r>
      <w:r w:rsidR="008C61C8">
        <w:rPr>
          <w:lang w:eastAsia="pl-PL"/>
        </w:rPr>
        <w:t xml:space="preserve">niektóre </w:t>
      </w:r>
      <w:r w:rsidR="00421A25">
        <w:rPr>
          <w:lang w:eastAsia="pl-PL"/>
        </w:rPr>
        <w:t>zadania ze szczebla regionalnego na poziom krajowy lub tworzą zadania na szczeblu krajowym podczas gdy mogłyby być z powodzeniem realizowane na szczeblu wojewódzkim (zgodnie z zasadą pomocniczości)</w:t>
      </w:r>
      <w:r w:rsidR="008C61C8">
        <w:rPr>
          <w:lang w:eastAsia="pl-PL"/>
        </w:rPr>
        <w:t>,</w:t>
      </w:r>
      <w:r w:rsidR="00421A25">
        <w:rPr>
          <w:lang w:eastAsia="pl-PL"/>
        </w:rPr>
        <w:t xml:space="preserve"> nierzadko utrudniają działania pozafinansowe. Dodatkowo, na co wskazywali przedstawiciele ROPS, niektóre</w:t>
      </w:r>
      <w:r w:rsidR="00421A25" w:rsidRPr="008262FF">
        <w:rPr>
          <w:lang w:eastAsia="pl-PL"/>
        </w:rPr>
        <w:t xml:space="preserve"> zmian</w:t>
      </w:r>
      <w:r w:rsidR="00421A25">
        <w:rPr>
          <w:lang w:eastAsia="pl-PL"/>
        </w:rPr>
        <w:t>y</w:t>
      </w:r>
      <w:r w:rsidR="00421A25" w:rsidRPr="008262FF">
        <w:rPr>
          <w:lang w:eastAsia="pl-PL"/>
        </w:rPr>
        <w:t xml:space="preserve"> przepisów prawa (np. RODO)</w:t>
      </w:r>
      <w:r w:rsidR="00421A25">
        <w:rPr>
          <w:lang w:eastAsia="pl-PL"/>
        </w:rPr>
        <w:t xml:space="preserve"> ograniczają możliwości pozafinansowej aktywności dotyczącej pośredniczenia w przekazywaniu informacji (np. w sytuacji, gdy obywatel zwraca się z prośbą o pomoc, zgodnie z prawem nie ma możliwości by przekazać dalej dokumentację od niego otrzymaną). W przypadku Wielkopolski poza procesami centralizacyjnymi i barierami wynikającymi z przepisów prawa do czynników zakłócających mobilizację zasobów pozafinansowych możemy zaliczyć także ograniczenia kadrowe i czasowe oraz często obecną niską świadomość tego, że wymiana informacji czemuś służy (na co uwagę </w:t>
      </w:r>
      <w:r w:rsidR="002C2855">
        <w:rPr>
          <w:lang w:eastAsia="pl-PL"/>
        </w:rPr>
        <w:t>zwracali przedstawiciele DPR</w:t>
      </w:r>
      <w:r w:rsidR="008C61C8">
        <w:rPr>
          <w:lang w:eastAsia="pl-PL"/>
        </w:rPr>
        <w:t xml:space="preserve"> UMWW</w:t>
      </w:r>
      <w:r w:rsidR="002C2855">
        <w:rPr>
          <w:lang w:eastAsia="pl-PL"/>
        </w:rPr>
        <w:t xml:space="preserve">). </w:t>
      </w:r>
    </w:p>
    <w:p w14:paraId="68AB692F" w14:textId="77777777" w:rsidR="00421A25" w:rsidRPr="002C2855" w:rsidRDefault="00421A25" w:rsidP="00BF08D5">
      <w:pPr>
        <w:ind w:left="4536"/>
        <w:jc w:val="left"/>
        <w:rPr>
          <w:b/>
          <w:i/>
          <w:color w:val="001E50"/>
        </w:rPr>
      </w:pPr>
      <w:r w:rsidRPr="002C2855">
        <w:rPr>
          <w:b/>
          <w:i/>
          <w:color w:val="001E50"/>
        </w:rPr>
        <w:t>Potrzebna jest „żywa” platforma wymiany wiedzy pomiędzy specjalistami z poszczególnych sektorów</w:t>
      </w:r>
    </w:p>
    <w:p w14:paraId="12EF1F6C" w14:textId="1C12C77B" w:rsidR="00421A25" w:rsidRDefault="00421A25" w:rsidP="00421A25">
      <w:pPr>
        <w:spacing w:after="160" w:line="259" w:lineRule="auto"/>
        <w:rPr>
          <w:lang w:eastAsia="pl-PL"/>
        </w:rPr>
      </w:pPr>
      <w:r w:rsidRPr="00245892">
        <w:rPr>
          <w:lang w:eastAsia="pl-PL"/>
        </w:rPr>
        <w:t>Działania</w:t>
      </w:r>
      <w:r w:rsidR="004244D5">
        <w:rPr>
          <w:lang w:eastAsia="pl-PL"/>
        </w:rPr>
        <w:t xml:space="preserve"> SWW</w:t>
      </w:r>
      <w:r w:rsidRPr="00245892">
        <w:rPr>
          <w:lang w:eastAsia="pl-PL"/>
        </w:rPr>
        <w:t xml:space="preserve"> w obszar</w:t>
      </w:r>
      <w:r w:rsidR="0067315A">
        <w:rPr>
          <w:lang w:eastAsia="pl-PL"/>
        </w:rPr>
        <w:t xml:space="preserve">ze </w:t>
      </w:r>
      <w:r w:rsidRPr="00245892">
        <w:rPr>
          <w:lang w:eastAsia="pl-PL"/>
        </w:rPr>
        <w:t>zarządzania informacją</w:t>
      </w:r>
      <w:r w:rsidR="004244D5">
        <w:rPr>
          <w:lang w:eastAsia="pl-PL"/>
        </w:rPr>
        <w:t>,</w:t>
      </w:r>
      <w:r w:rsidRPr="00245892">
        <w:rPr>
          <w:lang w:eastAsia="pl-PL"/>
        </w:rPr>
        <w:t xml:space="preserve"> często w opinii naszych rozmówców, nie są wystarczające. </w:t>
      </w:r>
      <w:r w:rsidR="002867C9">
        <w:rPr>
          <w:lang w:eastAsia="pl-PL"/>
        </w:rPr>
        <w:t>SWW</w:t>
      </w:r>
      <w:r w:rsidRPr="00245892">
        <w:rPr>
          <w:lang w:eastAsia="pl-PL"/>
        </w:rPr>
        <w:t xml:space="preserve"> </w:t>
      </w:r>
      <w:r w:rsidR="416AC848" w:rsidRPr="416AC848">
        <w:rPr>
          <w:lang w:eastAsia="pl-PL"/>
        </w:rPr>
        <w:t>czuje</w:t>
      </w:r>
      <w:r w:rsidRPr="00245892">
        <w:rPr>
          <w:lang w:eastAsia="pl-PL"/>
        </w:rPr>
        <w:t xml:space="preserve"> się koordynatorem wielu różnych polityk np. w zakresie wpierania bezrobotnych czy rozwoju przedsiębiorczości, ale ograniczenia kadrowe nie dają możliwości, by działania</w:t>
      </w:r>
      <w:r w:rsidR="416AC848" w:rsidRPr="416AC848">
        <w:rPr>
          <w:lang w:eastAsia="pl-PL"/>
        </w:rPr>
        <w:t>,</w:t>
      </w:r>
      <w:r w:rsidRPr="00245892">
        <w:rPr>
          <w:lang w:eastAsia="pl-PL"/>
        </w:rPr>
        <w:t xml:space="preserve"> które prowadzi na tym polu, były w pełni skuteczne.</w:t>
      </w:r>
    </w:p>
    <w:p w14:paraId="7A95228F" w14:textId="1F810491" w:rsidR="005763A7" w:rsidRDefault="00421A25" w:rsidP="00421A25">
      <w:pPr>
        <w:spacing w:after="160" w:line="259" w:lineRule="auto"/>
        <w:rPr>
          <w:lang w:eastAsia="pl-PL"/>
        </w:rPr>
      </w:pPr>
      <w:r w:rsidRPr="00245892">
        <w:rPr>
          <w:lang w:eastAsia="pl-PL"/>
        </w:rPr>
        <w:t>Ta potrzeba wymiany myśli i informacji pomiędzy podmiotami odpowiedzialnymi za poszczególne polityki sektorowe</w:t>
      </w:r>
      <w:r w:rsidR="00572E40">
        <w:rPr>
          <w:lang w:eastAsia="pl-PL"/>
        </w:rPr>
        <w:t>,</w:t>
      </w:r>
      <w:r w:rsidRPr="00245892">
        <w:rPr>
          <w:lang w:eastAsia="pl-PL"/>
        </w:rPr>
        <w:t xml:space="preserve"> stanowiące zadania samorządu województwa</w:t>
      </w:r>
      <w:r w:rsidR="00572E40">
        <w:rPr>
          <w:lang w:eastAsia="pl-PL"/>
        </w:rPr>
        <w:t>,</w:t>
      </w:r>
      <w:r w:rsidRPr="00245892">
        <w:rPr>
          <w:lang w:eastAsia="pl-PL"/>
        </w:rPr>
        <w:t xml:space="preserve"> jest zgłaszana przez przedstawicieli różnych departamentów</w:t>
      </w:r>
      <w:r w:rsidR="00572E40">
        <w:rPr>
          <w:lang w:eastAsia="pl-PL"/>
        </w:rPr>
        <w:t xml:space="preserve"> UMWW</w:t>
      </w:r>
      <w:r w:rsidRPr="00245892">
        <w:rPr>
          <w:lang w:eastAsia="pl-PL"/>
        </w:rPr>
        <w:t xml:space="preserve">, zarówno zajmujących się kwestiami społecznymi jak i sprawami gospodarczymi czy finansowymi. Przy czym oczekiwanie co do szczegółów funkcjonowania tego typu platformy wymiany informacji jest takie, by było to coś stałego, </w:t>
      </w:r>
      <w:r w:rsidR="008030D0">
        <w:rPr>
          <w:lang w:eastAsia="pl-PL"/>
        </w:rPr>
        <w:t>funkcjonującego</w:t>
      </w:r>
      <w:r w:rsidRPr="00245892">
        <w:rPr>
          <w:lang w:eastAsia="pl-PL"/>
        </w:rPr>
        <w:t xml:space="preserve"> w dłuższej perspektywie czasowej. Ważnym elementem jest kwestia formuły</w:t>
      </w:r>
      <w:r w:rsidR="008030D0">
        <w:rPr>
          <w:lang w:eastAsia="pl-PL"/>
        </w:rPr>
        <w:t>,</w:t>
      </w:r>
      <w:r w:rsidRPr="00245892">
        <w:rPr>
          <w:lang w:eastAsia="pl-PL"/>
        </w:rPr>
        <w:t xml:space="preserve"> w jakiej miałaby ta platforma </w:t>
      </w:r>
      <w:r w:rsidR="008030D0">
        <w:rPr>
          <w:lang w:eastAsia="pl-PL"/>
        </w:rPr>
        <w:t xml:space="preserve">działać. Bardziej preferowane niż  </w:t>
      </w:r>
      <w:r w:rsidR="008030D0" w:rsidRPr="00245892">
        <w:rPr>
          <w:lang w:eastAsia="pl-PL"/>
        </w:rPr>
        <w:t>przesyłanie informacji drogą elektroniczną</w:t>
      </w:r>
      <w:r w:rsidR="008030D0">
        <w:rPr>
          <w:lang w:eastAsia="pl-PL"/>
        </w:rPr>
        <w:t>, są</w:t>
      </w:r>
      <w:r w:rsidRPr="00245892">
        <w:rPr>
          <w:lang w:eastAsia="pl-PL"/>
        </w:rPr>
        <w:t xml:space="preserve"> </w:t>
      </w:r>
      <w:r w:rsidR="006D6344">
        <w:rPr>
          <w:lang w:eastAsia="pl-PL"/>
        </w:rPr>
        <w:t xml:space="preserve">spotkania typu warsztatowego, </w:t>
      </w:r>
      <w:r w:rsidR="008030D0">
        <w:rPr>
          <w:lang w:eastAsia="pl-PL"/>
        </w:rPr>
        <w:t>rozmowy i dyskusje</w:t>
      </w:r>
      <w:r w:rsidR="00CE542D">
        <w:rPr>
          <w:lang w:eastAsia="pl-PL"/>
        </w:rPr>
        <w:t>. Taka</w:t>
      </w:r>
      <w:r w:rsidRPr="00245892">
        <w:rPr>
          <w:lang w:eastAsia="pl-PL"/>
        </w:rPr>
        <w:t xml:space="preserve"> platforma mogłaby mieć różne cele, i w różnych sytuacjach mogłaby być wykorzystywana, np. do corocznych lub odbywających się co 2 lata warsztatów poświęconych </w:t>
      </w:r>
      <w:r w:rsidR="003D7A0F">
        <w:rPr>
          <w:lang w:eastAsia="pl-PL"/>
        </w:rPr>
        <w:t xml:space="preserve">wewnętrznej ewaluacji </w:t>
      </w:r>
      <w:r>
        <w:rPr>
          <w:lang w:eastAsia="pl-PL"/>
        </w:rPr>
        <w:t>przyszłej strategii rozwoju województwa wielkopolskiego</w:t>
      </w:r>
      <w:r w:rsidRPr="00245892">
        <w:rPr>
          <w:lang w:eastAsia="pl-PL"/>
        </w:rPr>
        <w:t>.</w:t>
      </w:r>
      <w:r>
        <w:rPr>
          <w:lang w:eastAsia="pl-PL"/>
        </w:rPr>
        <w:t xml:space="preserve"> Podobną inicjatywą</w:t>
      </w:r>
      <w:r w:rsidR="00F75E98">
        <w:rPr>
          <w:lang w:eastAsia="pl-PL"/>
        </w:rPr>
        <w:t>,</w:t>
      </w:r>
      <w:r>
        <w:rPr>
          <w:lang w:eastAsia="pl-PL"/>
        </w:rPr>
        <w:t xml:space="preserve"> funkcjonującą jednak w kró</w:t>
      </w:r>
      <w:r w:rsidR="00F75E98">
        <w:rPr>
          <w:lang w:eastAsia="pl-PL"/>
        </w:rPr>
        <w:t xml:space="preserve">tkiej perspektywie czasowej, był cykl spotkań z przedstawicielami różnych sektorów i różnych obszarów regionu w ramach </w:t>
      </w:r>
      <w:r>
        <w:rPr>
          <w:lang w:eastAsia="pl-PL"/>
        </w:rPr>
        <w:t>Wielkopolskie</w:t>
      </w:r>
      <w:r w:rsidR="00F75E98">
        <w:rPr>
          <w:lang w:eastAsia="pl-PL"/>
        </w:rPr>
        <w:t>go</w:t>
      </w:r>
      <w:r>
        <w:rPr>
          <w:lang w:eastAsia="pl-PL"/>
        </w:rPr>
        <w:t xml:space="preserve"> Regionalne</w:t>
      </w:r>
      <w:r w:rsidR="00F75E98">
        <w:rPr>
          <w:lang w:eastAsia="pl-PL"/>
        </w:rPr>
        <w:t>go</w:t>
      </w:r>
      <w:r>
        <w:rPr>
          <w:lang w:eastAsia="pl-PL"/>
        </w:rPr>
        <w:t xml:space="preserve"> Forum Terytorialne</w:t>
      </w:r>
      <w:r w:rsidR="00F75E98">
        <w:rPr>
          <w:lang w:eastAsia="pl-PL"/>
        </w:rPr>
        <w:t>go. D</w:t>
      </w:r>
      <w:r>
        <w:rPr>
          <w:lang w:eastAsia="pl-PL"/>
        </w:rPr>
        <w:t>yskutowano</w:t>
      </w:r>
      <w:r w:rsidRPr="00C14B6A">
        <w:rPr>
          <w:lang w:eastAsia="pl-PL"/>
        </w:rPr>
        <w:t xml:space="preserve"> </w:t>
      </w:r>
      <w:r w:rsidR="00F75E98">
        <w:rPr>
          <w:lang w:eastAsia="pl-PL"/>
        </w:rPr>
        <w:t xml:space="preserve"> tam </w:t>
      </w:r>
      <w:r w:rsidRPr="00C14B6A">
        <w:rPr>
          <w:lang w:eastAsia="pl-PL"/>
        </w:rPr>
        <w:t>na temat potencjałów i problemów rozwojowych Wielkop</w:t>
      </w:r>
      <w:r>
        <w:rPr>
          <w:lang w:eastAsia="pl-PL"/>
        </w:rPr>
        <w:t>olski. Było to jednak przedsięwzięcie zaplanowane w ograniczonym zakresie czasowym, realizowane w związku z pracami nad nową strategią rozwoju województwa.</w:t>
      </w:r>
    </w:p>
    <w:p w14:paraId="449805DF" w14:textId="77777777" w:rsidR="005763A7" w:rsidRDefault="005763A7">
      <w:pPr>
        <w:spacing w:after="0" w:line="240" w:lineRule="auto"/>
        <w:jc w:val="left"/>
        <w:rPr>
          <w:lang w:eastAsia="pl-PL"/>
        </w:rPr>
      </w:pPr>
      <w:r>
        <w:rPr>
          <w:lang w:eastAsia="pl-PL"/>
        </w:rPr>
        <w:br w:type="page"/>
      </w:r>
    </w:p>
    <w:p w14:paraId="126AC5D9" w14:textId="795826C7" w:rsidR="00AA66AF" w:rsidRPr="002C2855" w:rsidRDefault="00AA66AF" w:rsidP="00AA66AF">
      <w:pPr>
        <w:ind w:left="4536"/>
        <w:jc w:val="left"/>
        <w:rPr>
          <w:b/>
          <w:i/>
          <w:color w:val="001E50"/>
        </w:rPr>
      </w:pPr>
      <w:r>
        <w:rPr>
          <w:b/>
          <w:i/>
          <w:color w:val="001E50"/>
        </w:rPr>
        <w:lastRenderedPageBreak/>
        <w:t>W jakich innych obszarach dzia</w:t>
      </w:r>
      <w:r w:rsidR="008F3B7F">
        <w:rPr>
          <w:b/>
          <w:i/>
          <w:color w:val="001E50"/>
        </w:rPr>
        <w:t xml:space="preserve">łania pozafinansowe mogłyby przynieść </w:t>
      </w:r>
      <w:r>
        <w:rPr>
          <w:b/>
          <w:i/>
          <w:color w:val="001E50"/>
        </w:rPr>
        <w:t>wymierne skutki dla rozwoju regionu?</w:t>
      </w:r>
    </w:p>
    <w:p w14:paraId="465BCE38" w14:textId="34CC39A1" w:rsidR="00421A25" w:rsidRDefault="00421A25" w:rsidP="00421A25">
      <w:pPr>
        <w:spacing w:after="160" w:line="259" w:lineRule="auto"/>
        <w:rPr>
          <w:lang w:eastAsia="pl-PL"/>
        </w:rPr>
      </w:pPr>
      <w:r w:rsidRPr="008D2743">
        <w:rPr>
          <w:lang w:eastAsia="pl-PL"/>
        </w:rPr>
        <w:t xml:space="preserve">Ze strony </w:t>
      </w:r>
      <w:r w:rsidR="005B0578">
        <w:rPr>
          <w:lang w:eastAsia="pl-PL"/>
        </w:rPr>
        <w:t>UMWW</w:t>
      </w:r>
      <w:r w:rsidR="00211831">
        <w:rPr>
          <w:lang w:eastAsia="pl-PL"/>
        </w:rPr>
        <w:t>, o czym informowali nasi rozmówcy w trakcie wywiadów,</w:t>
      </w:r>
      <w:r>
        <w:rPr>
          <w:lang w:eastAsia="pl-PL"/>
        </w:rPr>
        <w:t xml:space="preserve"> pojawił się pomysł na ciekawą aktywność niefinansową, który niestety jak dotąd nie doczekał się formal</w:t>
      </w:r>
      <w:r w:rsidR="00AA66AF">
        <w:rPr>
          <w:lang w:eastAsia="pl-PL"/>
        </w:rPr>
        <w:t xml:space="preserve">izacji ani </w:t>
      </w:r>
      <w:r w:rsidR="009765CB">
        <w:rPr>
          <w:lang w:eastAsia="pl-PL"/>
        </w:rPr>
        <w:t>akceptacji</w:t>
      </w:r>
      <w:r w:rsidR="00AA66AF">
        <w:rPr>
          <w:lang w:eastAsia="pl-PL"/>
        </w:rPr>
        <w:t xml:space="preserve"> szczebla</w:t>
      </w:r>
      <w:r>
        <w:rPr>
          <w:lang w:eastAsia="pl-PL"/>
        </w:rPr>
        <w:t xml:space="preserve"> </w:t>
      </w:r>
      <w:r w:rsidR="00CD7038">
        <w:rPr>
          <w:lang w:eastAsia="pl-PL"/>
        </w:rPr>
        <w:t>r</w:t>
      </w:r>
      <w:r w:rsidR="00DB330F">
        <w:rPr>
          <w:lang w:eastAsia="pl-PL"/>
        </w:rPr>
        <w:t>ządowego. Chodziło o to</w:t>
      </w:r>
      <w:r>
        <w:rPr>
          <w:lang w:eastAsia="pl-PL"/>
        </w:rPr>
        <w:t xml:space="preserve">, </w:t>
      </w:r>
      <w:r w:rsidR="00AA66AF">
        <w:rPr>
          <w:lang w:eastAsia="pl-PL"/>
        </w:rPr>
        <w:t>by projektowane</w:t>
      </w:r>
      <w:r>
        <w:rPr>
          <w:lang w:eastAsia="pl-PL"/>
        </w:rPr>
        <w:t xml:space="preserve"> przez Rząd Centrum Wsparcia D</w:t>
      </w:r>
      <w:r w:rsidRPr="00AC68F6">
        <w:rPr>
          <w:lang w:eastAsia="pl-PL"/>
        </w:rPr>
        <w:t>oradczego</w:t>
      </w:r>
      <w:r>
        <w:rPr>
          <w:lang w:eastAsia="pl-PL"/>
        </w:rPr>
        <w:t xml:space="preserve"> dla sa</w:t>
      </w:r>
      <w:r w:rsidR="00DB330F">
        <w:rPr>
          <w:lang w:eastAsia="pl-PL"/>
        </w:rPr>
        <w:t>mo</w:t>
      </w:r>
      <w:r w:rsidR="00AA66AF">
        <w:rPr>
          <w:lang w:eastAsia="pl-PL"/>
        </w:rPr>
        <w:t>rządów, mogło zostać utworzone</w:t>
      </w:r>
      <w:r>
        <w:rPr>
          <w:lang w:eastAsia="pl-PL"/>
        </w:rPr>
        <w:t xml:space="preserve"> na poziomie regionalnym, a nie krajowym. W</w:t>
      </w:r>
      <w:r w:rsidRPr="00AC68F6">
        <w:rPr>
          <w:lang w:eastAsia="pl-PL"/>
        </w:rPr>
        <w:t xml:space="preserve"> województwach</w:t>
      </w:r>
      <w:r>
        <w:rPr>
          <w:lang w:eastAsia="pl-PL"/>
        </w:rPr>
        <w:t xml:space="preserve"> funkcjonowałyby centra wsparcia </w:t>
      </w:r>
      <w:r w:rsidR="00B85361">
        <w:rPr>
          <w:lang w:eastAsia="pl-PL"/>
        </w:rPr>
        <w:t xml:space="preserve">doradczego, które </w:t>
      </w:r>
      <w:r>
        <w:rPr>
          <w:lang w:eastAsia="pl-PL"/>
        </w:rPr>
        <w:t>pomagały</w:t>
      </w:r>
      <w:r w:rsidR="00B85361">
        <w:rPr>
          <w:lang w:eastAsia="pl-PL"/>
        </w:rPr>
        <w:t>by</w:t>
      </w:r>
      <w:r>
        <w:rPr>
          <w:lang w:eastAsia="pl-PL"/>
        </w:rPr>
        <w:t xml:space="preserve"> samorządom lokalnym</w:t>
      </w:r>
      <w:r w:rsidRPr="00AC68F6">
        <w:rPr>
          <w:lang w:eastAsia="pl-PL"/>
        </w:rPr>
        <w:t xml:space="preserve"> w prowadzeniu polityki</w:t>
      </w:r>
      <w:r>
        <w:rPr>
          <w:lang w:eastAsia="pl-PL"/>
        </w:rPr>
        <w:t xml:space="preserve"> </w:t>
      </w:r>
      <w:r w:rsidRPr="00AC68F6">
        <w:rPr>
          <w:lang w:eastAsia="pl-PL"/>
        </w:rPr>
        <w:t>rozwoju, pisaniu dokumentów strate</w:t>
      </w:r>
      <w:r>
        <w:rPr>
          <w:lang w:eastAsia="pl-PL"/>
        </w:rPr>
        <w:t xml:space="preserve">gicznych, monitoringu itd. Dodatkową ich </w:t>
      </w:r>
      <w:r w:rsidR="00AA66AF">
        <w:rPr>
          <w:lang w:eastAsia="pl-PL"/>
        </w:rPr>
        <w:t>rolą byłoby zachęcanie lub</w:t>
      </w:r>
      <w:r>
        <w:rPr>
          <w:lang w:eastAsia="pl-PL"/>
        </w:rPr>
        <w:t xml:space="preserve"> inicjowanie </w:t>
      </w:r>
      <w:r w:rsidRPr="00AC68F6">
        <w:rPr>
          <w:lang w:eastAsia="pl-PL"/>
        </w:rPr>
        <w:t>współpracy</w:t>
      </w:r>
      <w:r>
        <w:rPr>
          <w:lang w:eastAsia="pl-PL"/>
        </w:rPr>
        <w:t xml:space="preserve"> pomiędzy gminami i powiatami</w:t>
      </w:r>
      <w:r w:rsidR="00AA66AF">
        <w:rPr>
          <w:lang w:eastAsia="pl-PL"/>
        </w:rPr>
        <w:t xml:space="preserve"> w regionie</w:t>
      </w:r>
      <w:r>
        <w:rPr>
          <w:lang w:eastAsia="pl-PL"/>
        </w:rPr>
        <w:t>.</w:t>
      </w:r>
    </w:p>
    <w:p w14:paraId="4B03275D" w14:textId="24385E5F" w:rsidR="00421A25" w:rsidRDefault="00421A25" w:rsidP="00421A25">
      <w:pPr>
        <w:spacing w:after="160" w:line="259" w:lineRule="auto"/>
        <w:rPr>
          <w:lang w:eastAsia="pl-PL"/>
        </w:rPr>
      </w:pPr>
      <w:r>
        <w:rPr>
          <w:lang w:eastAsia="pl-PL"/>
        </w:rPr>
        <w:t xml:space="preserve">Pojawia się </w:t>
      </w:r>
      <w:r w:rsidR="00AA66AF">
        <w:rPr>
          <w:lang w:eastAsia="pl-PL"/>
        </w:rPr>
        <w:t>jednak pytanie na ile realne</w:t>
      </w:r>
      <w:r>
        <w:rPr>
          <w:lang w:eastAsia="pl-PL"/>
        </w:rPr>
        <w:t xml:space="preserve"> jest wdrożenie pomysłu </w:t>
      </w:r>
      <w:r w:rsidR="009D5730">
        <w:rPr>
          <w:lang w:eastAsia="pl-PL"/>
        </w:rPr>
        <w:t>UMWW</w:t>
      </w:r>
      <w:r>
        <w:rPr>
          <w:lang w:eastAsia="pl-PL"/>
        </w:rPr>
        <w:t xml:space="preserve"> bez zewnętrznego wsparcia finansowego? Czy jest szansa</w:t>
      </w:r>
      <w:r w:rsidR="00AA66AF">
        <w:rPr>
          <w:lang w:eastAsia="pl-PL"/>
        </w:rPr>
        <w:t xml:space="preserve">, by projekt ten realizować w ramach działań pozafinansowych lub z ewentualnym </w:t>
      </w:r>
      <w:r>
        <w:rPr>
          <w:lang w:eastAsia="pl-PL"/>
        </w:rPr>
        <w:t>niewielkim budżetem</w:t>
      </w:r>
      <w:r w:rsidR="00AA66AF">
        <w:rPr>
          <w:lang w:eastAsia="pl-PL"/>
        </w:rPr>
        <w:t xml:space="preserve"> początkowym</w:t>
      </w:r>
      <w:r>
        <w:rPr>
          <w:lang w:eastAsia="pl-PL"/>
        </w:rPr>
        <w:t>?</w:t>
      </w:r>
    </w:p>
    <w:p w14:paraId="5309FFA3" w14:textId="4C60AB97" w:rsidR="00421A25" w:rsidRDefault="00AA66AF" w:rsidP="00421A25">
      <w:pPr>
        <w:spacing w:after="160" w:line="259" w:lineRule="auto"/>
        <w:rPr>
          <w:lang w:eastAsia="pl-PL"/>
        </w:rPr>
      </w:pPr>
      <w:r>
        <w:rPr>
          <w:lang w:eastAsia="pl-PL"/>
        </w:rPr>
        <w:t>Inny obszar, w którym działania pozafinansowe mogłyby przyczynić się do częściowego rozwiązania jednego z problemów regionu</w:t>
      </w:r>
      <w:r w:rsidR="00F1491E">
        <w:rPr>
          <w:lang w:eastAsia="pl-PL"/>
        </w:rPr>
        <w:t>,</w:t>
      </w:r>
      <w:r>
        <w:rPr>
          <w:lang w:eastAsia="pl-PL"/>
        </w:rPr>
        <w:t xml:space="preserve"> to kwestia szkoleń dla</w:t>
      </w:r>
      <w:r w:rsidR="00421A25">
        <w:rPr>
          <w:lang w:eastAsia="pl-PL"/>
        </w:rPr>
        <w:t xml:space="preserve"> pracowników socjalnych. </w:t>
      </w:r>
      <w:r>
        <w:rPr>
          <w:lang w:eastAsia="pl-PL"/>
        </w:rPr>
        <w:t>Z</w:t>
      </w:r>
      <w:r w:rsidR="00421A25" w:rsidRPr="416AC848">
        <w:rPr>
          <w:lang w:eastAsia="pl-PL"/>
        </w:rPr>
        <w:t>apotr</w:t>
      </w:r>
      <w:r>
        <w:rPr>
          <w:lang w:eastAsia="pl-PL"/>
        </w:rPr>
        <w:t>zebowanie na nie</w:t>
      </w:r>
      <w:r w:rsidR="00421A25" w:rsidRPr="416AC848">
        <w:rPr>
          <w:lang w:eastAsia="pl-PL"/>
        </w:rPr>
        <w:t xml:space="preserve"> jest bardzo duże</w:t>
      </w:r>
      <w:r>
        <w:rPr>
          <w:lang w:eastAsia="pl-PL"/>
        </w:rPr>
        <w:t xml:space="preserve">, na co </w:t>
      </w:r>
      <w:r w:rsidR="00223436">
        <w:rPr>
          <w:lang w:eastAsia="pl-PL"/>
        </w:rPr>
        <w:t>wskazywano w trakcie wywiadów</w:t>
      </w:r>
      <w:r w:rsidR="00D37CEE">
        <w:rPr>
          <w:lang w:eastAsia="pl-PL"/>
        </w:rPr>
        <w:t xml:space="preserve"> (np. ROPS)</w:t>
      </w:r>
      <w:r w:rsidR="00421A25" w:rsidRPr="416AC848">
        <w:rPr>
          <w:lang w:eastAsia="pl-PL"/>
        </w:rPr>
        <w:t>. W poprzednich perspektywach finansowych możliwe był</w:t>
      </w:r>
      <w:r w:rsidR="00D37CEE">
        <w:rPr>
          <w:lang w:eastAsia="pl-PL"/>
        </w:rPr>
        <w:t>o prowadzenie tego typu szkoleń</w:t>
      </w:r>
      <w:r w:rsidR="00421A25" w:rsidRPr="416AC848">
        <w:rPr>
          <w:lang w:eastAsia="pl-PL"/>
        </w:rPr>
        <w:t xml:space="preserve"> z wykorzystani</w:t>
      </w:r>
      <w:r w:rsidR="00D37CEE">
        <w:rPr>
          <w:lang w:eastAsia="pl-PL"/>
        </w:rPr>
        <w:t>em środków zewnętrznych na obszarze województwa</w:t>
      </w:r>
      <w:r w:rsidR="00421A25" w:rsidRPr="416AC848">
        <w:rPr>
          <w:lang w:eastAsia="pl-PL"/>
        </w:rPr>
        <w:t xml:space="preserve">. </w:t>
      </w:r>
      <w:r w:rsidR="00226117">
        <w:rPr>
          <w:lang w:eastAsia="pl-PL"/>
        </w:rPr>
        <w:t>Jednostki samorządowe szczeb</w:t>
      </w:r>
      <w:r w:rsidR="00421A25" w:rsidRPr="416AC848">
        <w:rPr>
          <w:lang w:eastAsia="pl-PL"/>
        </w:rPr>
        <w:t>l</w:t>
      </w:r>
      <w:r w:rsidR="00226117">
        <w:rPr>
          <w:lang w:eastAsia="pl-PL"/>
        </w:rPr>
        <w:t>a lokalnego</w:t>
      </w:r>
      <w:r w:rsidR="00421A25" w:rsidRPr="416AC848">
        <w:rPr>
          <w:lang w:eastAsia="pl-PL"/>
        </w:rPr>
        <w:t xml:space="preserve"> lub </w:t>
      </w:r>
      <w:r w:rsidR="00226117">
        <w:rPr>
          <w:lang w:eastAsia="pl-PL"/>
        </w:rPr>
        <w:t xml:space="preserve">regionalnego </w:t>
      </w:r>
      <w:r w:rsidR="00421A25" w:rsidRPr="416AC848">
        <w:rPr>
          <w:lang w:eastAsia="pl-PL"/>
        </w:rPr>
        <w:t>podejmował</w:t>
      </w:r>
      <w:r w:rsidR="00226117">
        <w:rPr>
          <w:lang w:eastAsia="pl-PL"/>
        </w:rPr>
        <w:t>y</w:t>
      </w:r>
      <w:r w:rsidR="00421A25" w:rsidRPr="416AC848">
        <w:rPr>
          <w:lang w:eastAsia="pl-PL"/>
        </w:rPr>
        <w:t xml:space="preserve"> się </w:t>
      </w:r>
      <w:r w:rsidR="00226117">
        <w:rPr>
          <w:lang w:eastAsia="pl-PL"/>
        </w:rPr>
        <w:t>realizacji</w:t>
      </w:r>
      <w:r w:rsidR="00421A25" w:rsidRPr="416AC848">
        <w:rPr>
          <w:lang w:eastAsia="pl-PL"/>
        </w:rPr>
        <w:t xml:space="preserve"> tego zadania. Obecnie wciąż dostępne są środki na szkolenia dla służb społecznych, ale zostały one przeniesione na szczebel centralny, co w praktyce oznacza szkolenia w Warszawie. Ta zmiana lokalizacji poważnie ograniczyła liczbę zainteresowanych nimi pracowników. W efekcie nie kształcą się kadry pracowników socjalnych (w szczególności gerontologów), na których usługi dynamicznie rośnie popyt. </w:t>
      </w:r>
      <w:r w:rsidR="007F3526">
        <w:rPr>
          <w:lang w:eastAsia="pl-PL"/>
        </w:rPr>
        <w:t>Zgodnie z wypowiedziami w trakcie wywiadów,</w:t>
      </w:r>
      <w:r w:rsidR="00421A25" w:rsidRPr="416AC848">
        <w:rPr>
          <w:lang w:eastAsia="pl-PL"/>
        </w:rPr>
        <w:t xml:space="preserve"> współpraca pomiędzy </w:t>
      </w:r>
      <w:r w:rsidR="00CD3041">
        <w:rPr>
          <w:lang w:eastAsia="pl-PL"/>
        </w:rPr>
        <w:t>jednostkami</w:t>
      </w:r>
      <w:r w:rsidR="00421A25" w:rsidRPr="416AC848">
        <w:rPr>
          <w:lang w:eastAsia="pl-PL"/>
        </w:rPr>
        <w:t xml:space="preserve"> samorządu terytorialnego i organizacjami pozarządowymi </w:t>
      </w:r>
      <w:r w:rsidR="007F3526">
        <w:rPr>
          <w:lang w:eastAsia="pl-PL"/>
        </w:rPr>
        <w:t>mogłaby pomóc</w:t>
      </w:r>
      <w:r w:rsidR="00421A25" w:rsidRPr="416AC848">
        <w:rPr>
          <w:lang w:eastAsia="pl-PL"/>
        </w:rPr>
        <w:t xml:space="preserve"> rozwiązać ten problem. </w:t>
      </w:r>
      <w:r w:rsidR="00D37CEE">
        <w:rPr>
          <w:lang w:eastAsia="pl-PL"/>
        </w:rPr>
        <w:t>Pojawia się tu pole do działań pozafinansowych</w:t>
      </w:r>
      <w:r w:rsidR="00CD3041">
        <w:rPr>
          <w:lang w:eastAsia="pl-PL"/>
        </w:rPr>
        <w:t xml:space="preserve"> dla SWW</w:t>
      </w:r>
      <w:r w:rsidR="00D37CEE">
        <w:rPr>
          <w:lang w:eastAsia="pl-PL"/>
        </w:rPr>
        <w:t xml:space="preserve">. Warto sprawić, by problem ten stał się </w:t>
      </w:r>
      <w:r w:rsidR="00421A25" w:rsidRPr="416AC848">
        <w:rPr>
          <w:lang w:eastAsia="pl-PL"/>
        </w:rPr>
        <w:t xml:space="preserve">przedmiotem dyskusji wśród </w:t>
      </w:r>
      <w:r w:rsidR="416AC848" w:rsidRPr="416AC848">
        <w:rPr>
          <w:lang w:eastAsia="pl-PL"/>
        </w:rPr>
        <w:t xml:space="preserve">osób </w:t>
      </w:r>
      <w:r w:rsidR="00D37CEE">
        <w:rPr>
          <w:lang w:eastAsia="pl-PL"/>
        </w:rPr>
        <w:t>zajmujących się tą tematyką, a wypracowane wnioski i pomysły zostały przekazane Zarządowi Województwa</w:t>
      </w:r>
      <w:r w:rsidR="00421A25" w:rsidRPr="416AC848">
        <w:rPr>
          <w:lang w:eastAsia="pl-PL"/>
        </w:rPr>
        <w:t>.</w:t>
      </w:r>
    </w:p>
    <w:p w14:paraId="41A0FCC9" w14:textId="77777777" w:rsidR="00421A25" w:rsidRDefault="00421A25" w:rsidP="002C2855">
      <w:pPr>
        <w:pStyle w:val="Nagwek2"/>
      </w:pPr>
      <w:bookmarkStart w:id="126" w:name="_Toc536653145"/>
      <w:bookmarkStart w:id="127" w:name="_Toc1904816"/>
      <w:bookmarkStart w:id="128" w:name="_Toc5699463"/>
      <w:r>
        <w:t>Mobilizacja zasobów finansowych i pozafinansowych</w:t>
      </w:r>
      <w:bookmarkEnd w:id="126"/>
      <w:bookmarkEnd w:id="127"/>
      <w:bookmarkEnd w:id="128"/>
    </w:p>
    <w:p w14:paraId="580E8C6D" w14:textId="77777777" w:rsidR="00421A25" w:rsidRDefault="00421A25" w:rsidP="002C2855">
      <w:pPr>
        <w:pStyle w:val="Nagwek3"/>
      </w:pPr>
      <w:bookmarkStart w:id="129" w:name="_Toc536653146"/>
      <w:bookmarkStart w:id="130" w:name="_Toc1904817"/>
      <w:bookmarkStart w:id="131" w:name="_Toc5699464"/>
      <w:r>
        <w:t>Co jest ważne</w:t>
      </w:r>
      <w:bookmarkEnd w:id="129"/>
      <w:bookmarkEnd w:id="130"/>
      <w:bookmarkEnd w:id="131"/>
    </w:p>
    <w:p w14:paraId="412E1088" w14:textId="075E6209" w:rsidR="00421A25" w:rsidRDefault="00421A25" w:rsidP="00421A25">
      <w:pPr>
        <w:rPr>
          <w:lang w:eastAsia="pl-PL"/>
        </w:rPr>
      </w:pPr>
      <w:r w:rsidRPr="000669E6">
        <w:rPr>
          <w:lang w:eastAsia="pl-PL"/>
        </w:rPr>
        <w:t>Przy programowaniu kierunków interwencji na rzecz</w:t>
      </w:r>
      <w:r w:rsidR="003506B8">
        <w:rPr>
          <w:lang w:eastAsia="pl-PL"/>
        </w:rPr>
        <w:t xml:space="preserve"> przedsiębiorczości wskazane jest `możliwie największe wykorzystanie</w:t>
      </w:r>
      <w:r w:rsidRPr="000669E6">
        <w:rPr>
          <w:lang w:eastAsia="pl-PL"/>
        </w:rPr>
        <w:t xml:space="preserve"> zwrotnych instrumentów finansowych. Jedynym z głównych motorów rozwoju są mikro, małe i średnie przedsiębiorstwa – ze względu na swój rozmiar i małą zdolność kredytową, nierzadko mają one trudności z dostępem do finansowania zewnętrznego.</w:t>
      </w:r>
      <w:r>
        <w:rPr>
          <w:lang w:eastAsia="pl-PL"/>
        </w:rPr>
        <w:t xml:space="preserve"> </w:t>
      </w:r>
      <w:r w:rsidRPr="00807C40">
        <w:rPr>
          <w:lang w:eastAsia="pl-PL"/>
        </w:rPr>
        <w:t xml:space="preserve">Badanie obejmujące projekty realizowane w </w:t>
      </w:r>
      <w:r>
        <w:rPr>
          <w:lang w:eastAsia="pl-PL"/>
        </w:rPr>
        <w:t>ramach Inicjatywy JESSICA i JERE</w:t>
      </w:r>
      <w:r w:rsidRPr="00807C40">
        <w:rPr>
          <w:lang w:eastAsia="pl-PL"/>
        </w:rPr>
        <w:t>MIE w latach 2007-</w:t>
      </w:r>
      <w:r w:rsidR="005432E2">
        <w:rPr>
          <w:lang w:eastAsia="pl-PL"/>
        </w:rPr>
        <w:t>20</w:t>
      </w:r>
      <w:r w:rsidRPr="00807C40">
        <w:rPr>
          <w:lang w:eastAsia="pl-PL"/>
        </w:rPr>
        <w:t>13 w województwie wielkopolskim wskazało na dużą wartość dodaną takiego sposobu przeprowadzania inwestycji (</w:t>
      </w:r>
      <w:r w:rsidRPr="0048239D">
        <w:rPr>
          <w:i/>
          <w:lang w:eastAsia="pl-PL"/>
        </w:rPr>
        <w:t>Ewaluacja ex-post</w:t>
      </w:r>
      <w:r w:rsidRPr="00807C40">
        <w:rPr>
          <w:lang w:eastAsia="pl-PL"/>
        </w:rPr>
        <w:t>... 2017). Dla kolejny</w:t>
      </w:r>
      <w:r w:rsidR="003506B8">
        <w:rPr>
          <w:lang w:eastAsia="pl-PL"/>
        </w:rPr>
        <w:t>ch lat, tj. 2014</w:t>
      </w:r>
      <w:r w:rsidR="003506B8" w:rsidRPr="00D50191">
        <w:rPr>
          <w:lang w:eastAsia="pl-PL"/>
        </w:rPr>
        <w:t>+, postulowano</w:t>
      </w:r>
      <w:r w:rsidRPr="00D50191">
        <w:rPr>
          <w:lang w:eastAsia="pl-PL"/>
        </w:rPr>
        <w:t xml:space="preserve"> m.in. zwiększenie wykorzystania instrumentów finansowych szczególnie w kontekście inwestycji w ramach priorytetu</w:t>
      </w:r>
      <w:r w:rsidRPr="00807C40">
        <w:rPr>
          <w:lang w:eastAsia="pl-PL"/>
        </w:rPr>
        <w:t xml:space="preserve"> </w:t>
      </w:r>
      <w:r w:rsidR="001F21BA">
        <w:rPr>
          <w:lang w:eastAsia="pl-PL"/>
        </w:rPr>
        <w:t>inwestycyjnego WRPO nr 3c, tj. z</w:t>
      </w:r>
      <w:r w:rsidRPr="00807C40">
        <w:rPr>
          <w:lang w:eastAsia="pl-PL"/>
        </w:rPr>
        <w:t>większone zastosowanie innowacji w przedsiębiorstwach sektora MŚP (Szczucki i in. 2015, s. 174).</w:t>
      </w:r>
    </w:p>
    <w:p w14:paraId="668A0E26" w14:textId="41632BB7" w:rsidR="416AC848" w:rsidRDefault="00564C22" w:rsidP="416AC848">
      <w:pPr>
        <w:rPr>
          <w:lang w:eastAsia="pl-PL"/>
        </w:rPr>
      </w:pPr>
      <w:r>
        <w:rPr>
          <w:lang w:eastAsia="pl-PL"/>
        </w:rPr>
        <w:t>Zgodnie z wypowiedziami naszych rozmówców, ważna</w:t>
      </w:r>
      <w:r w:rsidR="416AC848" w:rsidRPr="416AC848">
        <w:rPr>
          <w:lang w:eastAsia="pl-PL"/>
        </w:rPr>
        <w:t xml:space="preserve"> jest świadomość i </w:t>
      </w:r>
      <w:r>
        <w:rPr>
          <w:lang w:eastAsia="pl-PL"/>
        </w:rPr>
        <w:t>elastyczne reagowanie</w:t>
      </w:r>
      <w:r w:rsidR="416AC848" w:rsidRPr="416AC848">
        <w:rPr>
          <w:lang w:eastAsia="pl-PL"/>
        </w:rPr>
        <w:t xml:space="preserve"> na zagrożenia dla finansów samorządu województwa</w:t>
      </w:r>
      <w:r>
        <w:rPr>
          <w:lang w:eastAsia="pl-PL"/>
        </w:rPr>
        <w:t>, które wynikają</w:t>
      </w:r>
      <w:r w:rsidR="416AC848" w:rsidRPr="416AC848">
        <w:rPr>
          <w:lang w:eastAsia="pl-PL"/>
        </w:rPr>
        <w:t xml:space="preserve"> ze zmian ustawowych. Skutkują one trudnościami w oszacowaniu środków niezbędnych na realizację celów zaprojektowanych w Strategii. </w:t>
      </w:r>
      <w:r w:rsidR="416AC848" w:rsidRPr="416AC848">
        <w:rPr>
          <w:lang w:eastAsia="pl-PL"/>
        </w:rPr>
        <w:lastRenderedPageBreak/>
        <w:t xml:space="preserve">Są to zagrożenia dla realizacji celów </w:t>
      </w:r>
      <w:r>
        <w:rPr>
          <w:lang w:eastAsia="pl-PL"/>
        </w:rPr>
        <w:t>strategicznych pochodzące</w:t>
      </w:r>
      <w:r w:rsidR="416AC848" w:rsidRPr="416AC848">
        <w:rPr>
          <w:lang w:eastAsia="pl-PL"/>
        </w:rPr>
        <w:t xml:space="preserve"> ze szc</w:t>
      </w:r>
      <w:r w:rsidR="001F21BA">
        <w:rPr>
          <w:lang w:eastAsia="pl-PL"/>
        </w:rPr>
        <w:t>zebla centralnego</w:t>
      </w:r>
      <w:r w:rsidR="00B378C3">
        <w:rPr>
          <w:lang w:eastAsia="pl-PL"/>
        </w:rPr>
        <w:t xml:space="preserve"> (</w:t>
      </w:r>
      <w:r w:rsidR="00B378C3" w:rsidRPr="00F35B0C">
        <w:rPr>
          <w:lang w:eastAsia="pl-PL"/>
        </w:rPr>
        <w:t>np. obowiązek pokrycia ujemnego wyniku finansowego szpitali)</w:t>
      </w:r>
      <w:r w:rsidR="416AC848" w:rsidRPr="00F35B0C">
        <w:rPr>
          <w:lang w:eastAsia="pl-PL"/>
        </w:rPr>
        <w:t xml:space="preserve">. </w:t>
      </w:r>
      <w:r w:rsidR="416AC848" w:rsidRPr="00F35B0C">
        <w:rPr>
          <w:rFonts w:eastAsia="Calibri"/>
          <w:szCs w:val="22"/>
        </w:rPr>
        <w:t>Pojawienie się nowych wydatków</w:t>
      </w:r>
      <w:r w:rsidRPr="00F35B0C">
        <w:rPr>
          <w:rFonts w:eastAsia="Calibri"/>
          <w:szCs w:val="22"/>
        </w:rPr>
        <w:t xml:space="preserve"> z budżetu SWW</w:t>
      </w:r>
      <w:r w:rsidR="416AC848" w:rsidRPr="00F35B0C">
        <w:rPr>
          <w:rFonts w:eastAsia="Calibri"/>
          <w:szCs w:val="22"/>
        </w:rPr>
        <w:t>, które natychmiast stają się wymagane, może spowodować opóźnienia, modyfikacje, a w</w:t>
      </w:r>
      <w:r w:rsidR="416AC848" w:rsidRPr="416AC848">
        <w:rPr>
          <w:rFonts w:eastAsia="Calibri"/>
          <w:szCs w:val="22"/>
        </w:rPr>
        <w:t xml:space="preserve"> skrajnych przypadkach być może nawet rezygnację z realizacji wybranych celów strategicznych.</w:t>
      </w:r>
    </w:p>
    <w:p w14:paraId="04B15861" w14:textId="5E6A5FAC" w:rsidR="00421A25" w:rsidRDefault="00421A25" w:rsidP="002C2855">
      <w:pPr>
        <w:pStyle w:val="Nagwek3"/>
      </w:pPr>
      <w:bookmarkStart w:id="132" w:name="_Toc1904818"/>
      <w:bookmarkStart w:id="133" w:name="_Toc5699465"/>
      <w:r>
        <w:t>Nad czym warto podyskutować i popracować</w:t>
      </w:r>
      <w:bookmarkEnd w:id="132"/>
      <w:r w:rsidR="002C4349">
        <w:t>?</w:t>
      </w:r>
      <w:bookmarkEnd w:id="133"/>
    </w:p>
    <w:p w14:paraId="2F482252" w14:textId="77777777" w:rsidR="005763A7" w:rsidRDefault="00421A25" w:rsidP="00421A25">
      <w:pPr>
        <w:spacing w:after="0"/>
        <w:rPr>
          <w:lang w:eastAsia="pl-PL"/>
        </w:rPr>
      </w:pPr>
      <w:r>
        <w:rPr>
          <w:lang w:eastAsia="pl-PL"/>
        </w:rPr>
        <w:t>P</w:t>
      </w:r>
      <w:r w:rsidRPr="00484FFA">
        <w:rPr>
          <w:lang w:eastAsia="pl-PL"/>
        </w:rPr>
        <w:t>rzyjęto założenie, że nie</w:t>
      </w:r>
      <w:r w:rsidR="00254261">
        <w:rPr>
          <w:lang w:eastAsia="pl-PL"/>
        </w:rPr>
        <w:t>mal wszystkie wydatki z budżetów</w:t>
      </w:r>
      <w:r>
        <w:rPr>
          <w:lang w:eastAsia="pl-PL"/>
        </w:rPr>
        <w:t xml:space="preserve"> województw</w:t>
      </w:r>
      <w:r w:rsidRPr="00484FFA">
        <w:rPr>
          <w:lang w:eastAsia="pl-PL"/>
        </w:rPr>
        <w:t xml:space="preserve"> (z wyłączeniem wydatków w zakresie działów klasyfikacji budżetowej: „Gospodarka mieszkaniowa”, „Obsługa długu publicznego” i „Różne rozliczenia” oraz</w:t>
      </w:r>
      <w:r>
        <w:rPr>
          <w:lang w:eastAsia="pl-PL"/>
        </w:rPr>
        <w:t xml:space="preserve"> rozchodów) to środki</w:t>
      </w:r>
      <w:r w:rsidRPr="00484FFA">
        <w:rPr>
          <w:lang w:eastAsia="pl-PL"/>
        </w:rPr>
        <w:t xml:space="preserve"> na realizac</w:t>
      </w:r>
      <w:r w:rsidR="003E55D9">
        <w:rPr>
          <w:lang w:eastAsia="pl-PL"/>
        </w:rPr>
        <w:t>ję</w:t>
      </w:r>
      <w:r>
        <w:rPr>
          <w:lang w:eastAsia="pl-PL"/>
        </w:rPr>
        <w:t xml:space="preserve"> działań ujętych w celach strategicznych</w:t>
      </w:r>
      <w:r w:rsidRPr="00484FFA">
        <w:rPr>
          <w:lang w:eastAsia="pl-PL"/>
        </w:rPr>
        <w:t>.</w:t>
      </w:r>
      <w:r>
        <w:rPr>
          <w:lang w:eastAsia="pl-PL"/>
        </w:rPr>
        <w:t xml:space="preserve"> Sumując kwoty wydatków z budżetu </w:t>
      </w:r>
      <w:r w:rsidR="00880A5D">
        <w:rPr>
          <w:lang w:eastAsia="pl-PL"/>
        </w:rPr>
        <w:t>SWW</w:t>
      </w:r>
      <w:r>
        <w:rPr>
          <w:lang w:eastAsia="pl-PL"/>
        </w:rPr>
        <w:t xml:space="preserve"> w latach 2013-2017 przeznaczonych na realizację SRWW 2020 otrzymujemy 5 698 mln zł. Kwota ta przeliczona na mieszkańca województwa w porównaniu z innymi regionami wypada relatywnie słabiej (</w:t>
      </w:r>
      <w:r w:rsidRPr="416AC848">
        <w:fldChar w:fldCharType="begin"/>
      </w:r>
      <w:r>
        <w:rPr>
          <w:lang w:eastAsia="pl-PL"/>
        </w:rPr>
        <w:instrText xml:space="preserve"> REF _Ref536711767 \h </w:instrText>
      </w:r>
      <w:r w:rsidRPr="416AC848">
        <w:rPr>
          <w:lang w:eastAsia="pl-PL"/>
        </w:rPr>
        <w:fldChar w:fldCharType="separate"/>
      </w:r>
      <w:r w:rsidR="007F4FA2">
        <w:t xml:space="preserve">Wykres </w:t>
      </w:r>
      <w:r w:rsidR="007F4FA2">
        <w:rPr>
          <w:noProof/>
        </w:rPr>
        <w:t>10</w:t>
      </w:r>
      <w:r w:rsidRPr="416AC848">
        <w:fldChar w:fldCharType="end"/>
      </w:r>
      <w:r>
        <w:rPr>
          <w:lang w:eastAsia="pl-PL"/>
        </w:rPr>
        <w:t xml:space="preserve">). </w:t>
      </w:r>
    </w:p>
    <w:tbl>
      <w:tblPr>
        <w:tblStyle w:val="Tabela-Siatka"/>
        <w:tblpPr w:leftFromText="142" w:rightFromText="142" w:topFromText="142" w:bottomFromText="142" w:vertAnchor="text" w:horzAnchor="margin" w:tblpY="1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ykres 10. Wydatki z budżetu województwa na realizację SRWW 2020 w latach 2013-2017 (suma, w zł per capita)"/>
        <w:tblDescription w:val="Wykres przedstawia wydatki z budżetów poszczególnych województw na realizację strategii rozwoju w przeliczeniu na mieszkańca."/>
      </w:tblPr>
      <w:tblGrid>
        <w:gridCol w:w="9072"/>
      </w:tblGrid>
      <w:tr w:rsidR="005763A7" w:rsidRPr="00DC19E5" w14:paraId="100A8369" w14:textId="77777777" w:rsidTr="005763A7">
        <w:tc>
          <w:tcPr>
            <w:tcW w:w="9072" w:type="dxa"/>
          </w:tcPr>
          <w:p w14:paraId="69CA46C9" w14:textId="77777777" w:rsidR="005763A7" w:rsidRPr="00DC19E5" w:rsidRDefault="005763A7" w:rsidP="005763A7">
            <w:pPr>
              <w:pStyle w:val="Legenda"/>
              <w:keepNext/>
            </w:pPr>
            <w:bookmarkStart w:id="134" w:name="_Ref536711767"/>
            <w:bookmarkStart w:id="135" w:name="_Toc5699521"/>
            <w:r>
              <w:t xml:space="preserve">Wykres </w:t>
            </w:r>
            <w:r w:rsidRPr="69901DB0">
              <w:fldChar w:fldCharType="begin"/>
            </w:r>
            <w:r>
              <w:rPr>
                <w:noProof/>
              </w:rPr>
              <w:instrText xml:space="preserve"> SEQ Wykres \* ARABIC </w:instrText>
            </w:r>
            <w:r w:rsidRPr="69901DB0">
              <w:rPr>
                <w:noProof/>
              </w:rPr>
              <w:fldChar w:fldCharType="separate"/>
            </w:r>
            <w:r w:rsidR="007F4FA2">
              <w:rPr>
                <w:noProof/>
              </w:rPr>
              <w:t>10</w:t>
            </w:r>
            <w:r w:rsidRPr="69901DB0">
              <w:fldChar w:fldCharType="end"/>
            </w:r>
            <w:bookmarkEnd w:id="134"/>
            <w:r>
              <w:t xml:space="preserve">. </w:t>
            </w:r>
            <w:r w:rsidRPr="0017349D">
              <w:t>Wydatki z budżetu woj</w:t>
            </w:r>
            <w:r>
              <w:t xml:space="preserve">ewództwa na realizację SRWW 2020 </w:t>
            </w:r>
            <w:r w:rsidRPr="0017349D">
              <w:t>w latach 2013-2017 (suma, w zł per capita)</w:t>
            </w:r>
            <w:bookmarkEnd w:id="135"/>
          </w:p>
        </w:tc>
      </w:tr>
      <w:tr w:rsidR="005763A7" w:rsidRPr="00DC19E5" w14:paraId="44DF53F3" w14:textId="77777777" w:rsidTr="005763A7">
        <w:tblPrEx>
          <w:tblCellMar>
            <w:left w:w="70" w:type="dxa"/>
            <w:right w:w="70" w:type="dxa"/>
          </w:tblCellMar>
        </w:tblPrEx>
        <w:tc>
          <w:tcPr>
            <w:tcW w:w="9072" w:type="dxa"/>
          </w:tcPr>
          <w:p w14:paraId="7E600651" w14:textId="77777777" w:rsidR="005763A7" w:rsidRPr="00DC19E5" w:rsidRDefault="005763A7" w:rsidP="005763A7">
            <w:pPr>
              <w:spacing w:after="0" w:line="240" w:lineRule="auto"/>
              <w:rPr>
                <w:sz w:val="14"/>
                <w:szCs w:val="14"/>
                <w:lang w:eastAsia="pl-PL"/>
              </w:rPr>
            </w:pPr>
            <w:r>
              <w:rPr>
                <w:noProof/>
                <w:lang w:eastAsia="pl-PL"/>
              </w:rPr>
              <w:drawing>
                <wp:inline distT="0" distB="0" distL="0" distR="0" wp14:anchorId="25306EFC" wp14:editId="1B73E289">
                  <wp:extent cx="5760720" cy="2110740"/>
                  <wp:effectExtent l="0" t="0" r="0" b="3810"/>
                  <wp:docPr id="1410683473" name="Wykres 1410683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5763A7" w:rsidRPr="00DC19E5" w14:paraId="3CCD25D0" w14:textId="77777777" w:rsidTr="005763A7">
        <w:tc>
          <w:tcPr>
            <w:tcW w:w="9072" w:type="dxa"/>
            <w:vAlign w:val="center"/>
          </w:tcPr>
          <w:p w14:paraId="46A47B4D" w14:textId="77777777" w:rsidR="005763A7" w:rsidRPr="006344BC" w:rsidRDefault="005763A7" w:rsidP="005763A7">
            <w:pPr>
              <w:spacing w:after="0" w:line="240" w:lineRule="auto"/>
              <w:jc w:val="left"/>
              <w:rPr>
                <w:sz w:val="14"/>
                <w:szCs w:val="14"/>
                <w:lang w:eastAsia="pl-PL"/>
              </w:rPr>
            </w:pPr>
            <w:r w:rsidRPr="006344BC">
              <w:rPr>
                <w:sz w:val="14"/>
                <w:szCs w:val="14"/>
                <w:lang w:eastAsia="pl-PL"/>
              </w:rPr>
              <w:t>Uwaga: uwzględnione zostały wszystkie wydatki budżetowe poza</w:t>
            </w:r>
            <w:r>
              <w:rPr>
                <w:sz w:val="14"/>
                <w:szCs w:val="14"/>
                <w:lang w:eastAsia="pl-PL"/>
              </w:rPr>
              <w:t xml:space="preserve"> </w:t>
            </w:r>
            <w:r w:rsidRPr="006344BC">
              <w:rPr>
                <w:sz w:val="14"/>
                <w:szCs w:val="14"/>
                <w:lang w:eastAsia="pl-PL"/>
              </w:rPr>
              <w:t>ujętymi w działach 700, 757, 758.</w:t>
            </w:r>
          </w:p>
          <w:p w14:paraId="2F1B13A3" w14:textId="77777777" w:rsidR="005763A7" w:rsidRPr="00DC19E5" w:rsidRDefault="005763A7" w:rsidP="005763A7">
            <w:pPr>
              <w:spacing w:after="0" w:line="240" w:lineRule="auto"/>
              <w:jc w:val="left"/>
              <w:rPr>
                <w:sz w:val="14"/>
                <w:szCs w:val="14"/>
                <w:lang w:eastAsia="pl-PL"/>
              </w:rPr>
            </w:pPr>
            <w:r w:rsidRPr="006344BC">
              <w:rPr>
                <w:sz w:val="14"/>
                <w:szCs w:val="14"/>
                <w:lang w:eastAsia="pl-PL"/>
              </w:rPr>
              <w:t>Źródło: opracowanie własne na podstawie danych ze sprawozdań finansowych JST</w:t>
            </w:r>
          </w:p>
        </w:tc>
      </w:tr>
    </w:tbl>
    <w:p w14:paraId="64E62BE5" w14:textId="69478317" w:rsidR="00421A25" w:rsidRDefault="00421A25" w:rsidP="005763A7">
      <w:pPr>
        <w:rPr>
          <w:lang w:eastAsia="pl-PL"/>
        </w:rPr>
      </w:pPr>
      <w:r>
        <w:rPr>
          <w:lang w:eastAsia="pl-PL"/>
        </w:rPr>
        <w:t xml:space="preserve">Niższa wartość tego wskaźnika występuje jedynie w województwie łódzkim. </w:t>
      </w:r>
      <w:r w:rsidR="001045DC">
        <w:rPr>
          <w:lang w:eastAsia="pl-PL"/>
        </w:rPr>
        <w:t xml:space="preserve">Interpretując uzyskaną wartość </w:t>
      </w:r>
      <w:r>
        <w:rPr>
          <w:lang w:eastAsia="pl-PL"/>
        </w:rPr>
        <w:t>nal</w:t>
      </w:r>
      <w:r w:rsidR="001045DC">
        <w:rPr>
          <w:lang w:eastAsia="pl-PL"/>
        </w:rPr>
        <w:t>eży odnieść się do scharakteryzowanego wcześniej</w:t>
      </w:r>
      <w:r>
        <w:rPr>
          <w:lang w:eastAsia="pl-PL"/>
        </w:rPr>
        <w:t xml:space="preserve"> udziału wydatków inwestycyjnych w wydatkach budżetowych ogółem województwa wielkopolskiego (udział ten jest niższy o 1,5 punktu procentowego od średniej dla wszystkich województw). </w:t>
      </w:r>
      <w:r w:rsidR="003D0194">
        <w:rPr>
          <w:lang w:eastAsia="pl-PL"/>
        </w:rPr>
        <w:t>Dodatkowo an</w:t>
      </w:r>
      <w:r w:rsidR="0009385E">
        <w:rPr>
          <w:lang w:eastAsia="pl-PL"/>
        </w:rPr>
        <w:t>alizując szczegółowo omawiany wskaźnik</w:t>
      </w:r>
      <w:r w:rsidR="003D0194">
        <w:rPr>
          <w:lang w:eastAsia="pl-PL"/>
        </w:rPr>
        <w:t xml:space="preserve"> można zauważyć, że to wydatki finansowane lub współfinansowane ze środków europejskich</w:t>
      </w:r>
      <w:r w:rsidR="001C7B63">
        <w:rPr>
          <w:lang w:eastAsia="pl-PL"/>
        </w:rPr>
        <w:t xml:space="preserve"> różnicują jego wartość dla poszczególnych województw. Najwyższe wartości wskaźnika charakteryzują województwa ze wschodniej części kraju</w:t>
      </w:r>
      <w:r w:rsidR="00BE17AA">
        <w:rPr>
          <w:lang w:eastAsia="pl-PL"/>
        </w:rPr>
        <w:t xml:space="preserve"> lub województwa przygraniczne</w:t>
      </w:r>
      <w:r w:rsidR="001C7B63">
        <w:rPr>
          <w:lang w:eastAsia="pl-PL"/>
        </w:rPr>
        <w:t xml:space="preserve">, w przypadku których dostępność </w:t>
      </w:r>
      <w:r w:rsidR="00BE17AA">
        <w:rPr>
          <w:lang w:eastAsia="pl-PL"/>
        </w:rPr>
        <w:t>środków unijnych jest</w:t>
      </w:r>
      <w:r w:rsidR="001C7B63">
        <w:rPr>
          <w:lang w:eastAsia="pl-PL"/>
        </w:rPr>
        <w:t xml:space="preserve"> wyższa (mogą korzystać </w:t>
      </w:r>
      <w:r w:rsidR="00BE17AA">
        <w:rPr>
          <w:lang w:eastAsia="pl-PL"/>
        </w:rPr>
        <w:t xml:space="preserve">np. </w:t>
      </w:r>
      <w:r w:rsidR="001C7B63">
        <w:rPr>
          <w:lang w:eastAsia="pl-PL"/>
        </w:rPr>
        <w:t xml:space="preserve">z </w:t>
      </w:r>
      <w:r w:rsidR="009A165B">
        <w:rPr>
          <w:lang w:eastAsia="pl-PL"/>
        </w:rPr>
        <w:t>PO</w:t>
      </w:r>
      <w:r w:rsidR="00EE1418">
        <w:rPr>
          <w:lang w:eastAsia="pl-PL"/>
        </w:rPr>
        <w:t xml:space="preserve"> </w:t>
      </w:r>
      <w:r w:rsidR="009A165B">
        <w:rPr>
          <w:lang w:eastAsia="pl-PL"/>
        </w:rPr>
        <w:t>PW</w:t>
      </w:r>
      <w:r w:rsidR="00A1337A">
        <w:rPr>
          <w:lang w:eastAsia="pl-PL"/>
        </w:rPr>
        <w:t xml:space="preserve"> lub ze środków przeznaczonych na</w:t>
      </w:r>
      <w:r w:rsidR="00BE17AA">
        <w:rPr>
          <w:lang w:eastAsia="pl-PL"/>
        </w:rPr>
        <w:t xml:space="preserve"> EWT</w:t>
      </w:r>
      <w:r w:rsidR="001C7B63">
        <w:rPr>
          <w:lang w:eastAsia="pl-PL"/>
        </w:rPr>
        <w:t xml:space="preserve">). </w:t>
      </w:r>
      <w:r>
        <w:rPr>
          <w:lang w:eastAsia="pl-PL"/>
        </w:rPr>
        <w:t>Porównanie wydatków budżetowych na realizację strategii</w:t>
      </w:r>
      <w:r w:rsidR="00254261">
        <w:rPr>
          <w:lang w:eastAsia="pl-PL"/>
        </w:rPr>
        <w:t xml:space="preserve"> to tylko jeden wymiar analizy. Dla pełniejszej oceny sytuacji n</w:t>
      </w:r>
      <w:r>
        <w:rPr>
          <w:lang w:eastAsia="pl-PL"/>
        </w:rPr>
        <w:t xml:space="preserve">ależałoby </w:t>
      </w:r>
      <w:r w:rsidR="00254261">
        <w:rPr>
          <w:lang w:eastAsia="pl-PL"/>
        </w:rPr>
        <w:t xml:space="preserve">jeszcze </w:t>
      </w:r>
      <w:r>
        <w:rPr>
          <w:lang w:eastAsia="pl-PL"/>
        </w:rPr>
        <w:t>porów</w:t>
      </w:r>
      <w:r w:rsidR="00254261">
        <w:rPr>
          <w:lang w:eastAsia="pl-PL"/>
        </w:rPr>
        <w:t xml:space="preserve">nać </w:t>
      </w:r>
      <w:r>
        <w:rPr>
          <w:lang w:eastAsia="pl-PL"/>
        </w:rPr>
        <w:t>efekt</w:t>
      </w:r>
      <w:r w:rsidR="00254261">
        <w:rPr>
          <w:lang w:eastAsia="pl-PL"/>
        </w:rPr>
        <w:t>ywność wydatkowanych środków</w:t>
      </w:r>
      <w:r>
        <w:rPr>
          <w:lang w:eastAsia="pl-PL"/>
        </w:rPr>
        <w:t xml:space="preserve">. Wskaźniki realizacji zakładanych w SRWW 2020 celów są przedmiotem analizy kolejnego rozdziału tego raportu i ogólnie wskazują na wysoką efektywność </w:t>
      </w:r>
      <w:r w:rsidR="007C1521">
        <w:rPr>
          <w:lang w:eastAsia="pl-PL"/>
        </w:rPr>
        <w:t>SWW</w:t>
      </w:r>
      <w:r>
        <w:rPr>
          <w:lang w:eastAsia="pl-PL"/>
        </w:rPr>
        <w:t xml:space="preserve"> w tym zakresie. By analiza była bardziej kompleksowa, powinna zawierać informacje z ewaluacji strategii pozostałych polskich regionów (co w obecnej chwili nie jest możliwe do zrealizowania) i opierać się na zaawansowanych metodach oceny efektywności sektora publicznego (omówienie tego typu metod i przykład zastosowania jednej z nich w odniesieniu do szczebla lokalnego można znaleźć w publikacji Kopańska i in. 2018). Ze względu na to, że największą część wydatków na cele strategiczne SRWW 2020 stanowią wydatki na transport, zasadne jest odniesienie się do efektywności tych środków. Zmiana wskaźników dostępności </w:t>
      </w:r>
      <w:r>
        <w:rPr>
          <w:lang w:eastAsia="pl-PL"/>
        </w:rPr>
        <w:lastRenderedPageBreak/>
        <w:t xml:space="preserve">transportowej w latach 2013-2017 w województwie wielkopolskim nie różni się znacznie od średniej ogólnopolskiej, przy czym Wielkopolska wypada </w:t>
      </w:r>
      <w:r w:rsidR="416AC848" w:rsidRPr="416AC848">
        <w:rPr>
          <w:lang w:eastAsia="pl-PL"/>
        </w:rPr>
        <w:t>lepiej</w:t>
      </w:r>
      <w:r w:rsidR="00404B20">
        <w:rPr>
          <w:lang w:eastAsia="pl-PL"/>
        </w:rPr>
        <w:t xml:space="preserve"> </w:t>
      </w:r>
      <w:r>
        <w:rPr>
          <w:lang w:eastAsia="pl-PL"/>
        </w:rPr>
        <w:t xml:space="preserve">w analizie dostępności kolejowej niż </w:t>
      </w:r>
      <w:r w:rsidR="00404B20">
        <w:rPr>
          <w:lang w:eastAsia="pl-PL"/>
        </w:rPr>
        <w:t>drogowej (</w:t>
      </w:r>
      <w:r w:rsidR="005763A7">
        <w:rPr>
          <w:lang w:eastAsia="pl-PL"/>
        </w:rPr>
        <w:t>Komornicki i in., 2017).</w:t>
      </w:r>
    </w:p>
    <w:p w14:paraId="6D2ED81D" w14:textId="5073431E" w:rsidR="00421A25" w:rsidRDefault="000F5320" w:rsidP="00421A25">
      <w:pPr>
        <w:rPr>
          <w:lang w:eastAsia="pl-PL"/>
        </w:rPr>
      </w:pPr>
      <w:r>
        <w:rPr>
          <w:lang w:eastAsia="pl-PL"/>
        </w:rPr>
        <w:t xml:space="preserve">Pozycja </w:t>
      </w:r>
      <w:r w:rsidRPr="00C61EC6">
        <w:rPr>
          <w:lang w:eastAsia="pl-PL"/>
        </w:rPr>
        <w:t xml:space="preserve">Wielkopolski pod względem wartości </w:t>
      </w:r>
      <w:r>
        <w:rPr>
          <w:lang w:eastAsia="pl-PL"/>
        </w:rPr>
        <w:t>środków przeznaczonych na realizację SRWW 2020</w:t>
      </w:r>
      <w:r w:rsidRPr="00C61EC6">
        <w:rPr>
          <w:lang w:eastAsia="pl-PL"/>
        </w:rPr>
        <w:t xml:space="preserve"> </w:t>
      </w:r>
      <w:r>
        <w:rPr>
          <w:lang w:eastAsia="pl-PL"/>
        </w:rPr>
        <w:t xml:space="preserve">w latach 2013-2017 </w:t>
      </w:r>
      <w:r w:rsidRPr="00C61EC6">
        <w:rPr>
          <w:lang w:eastAsia="pl-PL"/>
        </w:rPr>
        <w:t>przeliczonej na mieszkańca (</w:t>
      </w:r>
      <w:r w:rsidRPr="416AC848">
        <w:fldChar w:fldCharType="begin"/>
      </w:r>
      <w:r>
        <w:rPr>
          <w:lang w:eastAsia="pl-PL"/>
        </w:rPr>
        <w:instrText xml:space="preserve"> REF _Ref536711767 \h </w:instrText>
      </w:r>
      <w:r w:rsidRPr="416AC848">
        <w:rPr>
          <w:lang w:eastAsia="pl-PL"/>
        </w:rPr>
        <w:fldChar w:fldCharType="separate"/>
      </w:r>
      <w:r w:rsidR="007F4FA2">
        <w:t xml:space="preserve">Wykres </w:t>
      </w:r>
      <w:r w:rsidR="007F4FA2">
        <w:rPr>
          <w:noProof/>
        </w:rPr>
        <w:t>10</w:t>
      </w:r>
      <w:r w:rsidRPr="416AC848">
        <w:fldChar w:fldCharType="end"/>
      </w:r>
      <w:r>
        <w:t xml:space="preserve">) wiąże się z </w:t>
      </w:r>
      <w:r>
        <w:rPr>
          <w:lang w:eastAsia="pl-PL"/>
        </w:rPr>
        <w:t>alokacją</w:t>
      </w:r>
      <w:r w:rsidR="005523F8" w:rsidRPr="00C61EC6">
        <w:rPr>
          <w:lang w:eastAsia="pl-PL"/>
        </w:rPr>
        <w:t xml:space="preserve"> ś</w:t>
      </w:r>
      <w:r>
        <w:rPr>
          <w:lang w:eastAsia="pl-PL"/>
        </w:rPr>
        <w:t>rodków UE na RPO według województw per capita</w:t>
      </w:r>
      <w:r w:rsidR="008C39A2" w:rsidRPr="00C61EC6">
        <w:rPr>
          <w:lang w:eastAsia="pl-PL"/>
        </w:rPr>
        <w:t>.</w:t>
      </w:r>
      <w:r w:rsidR="009B6EAA" w:rsidRPr="00C61EC6">
        <w:rPr>
          <w:lang w:eastAsia="pl-PL"/>
        </w:rPr>
        <w:t xml:space="preserve"> Tylko w przypadku województwa mazowieckiego alokacja środk</w:t>
      </w:r>
      <w:r>
        <w:rPr>
          <w:lang w:eastAsia="pl-PL"/>
        </w:rPr>
        <w:t>ów na RPO przeliczona na mieszkańca</w:t>
      </w:r>
      <w:r w:rsidR="009B6EAA" w:rsidRPr="00C61EC6">
        <w:rPr>
          <w:lang w:eastAsia="pl-PL"/>
        </w:rPr>
        <w:t xml:space="preserve"> jest niższa niż dla województwa wielkopolskiego</w:t>
      </w:r>
      <w:r w:rsidR="00083920" w:rsidRPr="00C61EC6">
        <w:rPr>
          <w:lang w:eastAsia="pl-PL"/>
        </w:rPr>
        <w:t xml:space="preserve"> </w:t>
      </w:r>
      <w:r w:rsidR="008012EB" w:rsidRPr="00C61EC6">
        <w:rPr>
          <w:lang w:eastAsia="pl-PL"/>
        </w:rPr>
        <w:t>(</w:t>
      </w:r>
      <w:r w:rsidR="007162FE" w:rsidRPr="00C61EC6">
        <w:rPr>
          <w:lang w:eastAsia="pl-PL"/>
        </w:rPr>
        <w:fldChar w:fldCharType="begin"/>
      </w:r>
      <w:r w:rsidR="007162FE" w:rsidRPr="00C61EC6">
        <w:rPr>
          <w:lang w:eastAsia="pl-PL"/>
        </w:rPr>
        <w:instrText xml:space="preserve"> REF _Ref536711800 \h </w:instrText>
      </w:r>
      <w:r w:rsidR="00967E23" w:rsidRPr="00C61EC6">
        <w:rPr>
          <w:lang w:eastAsia="pl-PL"/>
        </w:rPr>
        <w:instrText xml:space="preserve"> \* MERGEFORMAT </w:instrText>
      </w:r>
      <w:r w:rsidR="007162FE" w:rsidRPr="00C61EC6">
        <w:rPr>
          <w:lang w:eastAsia="pl-PL"/>
        </w:rPr>
      </w:r>
      <w:r w:rsidR="007162FE" w:rsidRPr="00C61EC6">
        <w:rPr>
          <w:lang w:eastAsia="pl-PL"/>
        </w:rPr>
        <w:fldChar w:fldCharType="separate"/>
      </w:r>
      <w:r w:rsidR="007F4FA2">
        <w:t xml:space="preserve">Wykres </w:t>
      </w:r>
      <w:r w:rsidR="007F4FA2">
        <w:rPr>
          <w:noProof/>
        </w:rPr>
        <w:t>11</w:t>
      </w:r>
      <w:r w:rsidR="007162FE" w:rsidRPr="00C61EC6">
        <w:rPr>
          <w:lang w:eastAsia="pl-PL"/>
        </w:rPr>
        <w:fldChar w:fldCharType="end"/>
      </w:r>
      <w:r w:rsidR="008012EB" w:rsidRPr="00C61EC6">
        <w:rPr>
          <w:lang w:eastAsia="pl-PL"/>
        </w:rPr>
        <w:t>)</w:t>
      </w:r>
      <w:r w:rsidR="009B6EAA" w:rsidRPr="00C61EC6">
        <w:rPr>
          <w:lang w:eastAsia="pl-PL"/>
        </w:rPr>
        <w:t>,</w:t>
      </w:r>
      <w:r w:rsidR="00421A25" w:rsidRPr="00C61EC6">
        <w:rPr>
          <w:lang w:eastAsia="pl-PL"/>
        </w:rPr>
        <w:t xml:space="preserve"> c</w:t>
      </w:r>
      <w:r w:rsidR="005523F8" w:rsidRPr="00C61EC6">
        <w:rPr>
          <w:lang w:eastAsia="pl-PL"/>
        </w:rPr>
        <w:t xml:space="preserve">o </w:t>
      </w:r>
      <w:r w:rsidR="008012EB">
        <w:rPr>
          <w:lang w:eastAsia="pl-PL"/>
        </w:rPr>
        <w:t xml:space="preserve">w dużym stopniu </w:t>
      </w:r>
      <w:r w:rsidR="005523F8" w:rsidRPr="00C61EC6">
        <w:rPr>
          <w:lang w:eastAsia="pl-PL"/>
        </w:rPr>
        <w:t>tłumaczy</w:t>
      </w:r>
      <w:r w:rsidR="008012EB">
        <w:rPr>
          <w:lang w:eastAsia="pl-PL"/>
        </w:rPr>
        <w:t xml:space="preserve"> brak możliwości wyraźnego zwiększenia wydatków na realizację SRWW 2020 współfinansowanych ze środków UE</w:t>
      </w:r>
      <w:r w:rsidR="00421A25" w:rsidRPr="00C61EC6">
        <w:rPr>
          <w:lang w:eastAsia="pl-PL"/>
        </w:rPr>
        <w:t>.</w:t>
      </w:r>
      <w:r w:rsidR="00421A25">
        <w:rPr>
          <w:lang w:eastAsia="pl-PL"/>
        </w:rPr>
        <w:t xml:space="preserve"> </w:t>
      </w:r>
    </w:p>
    <w:tbl>
      <w:tblPr>
        <w:tblStyle w:val="Tabela-Siatka"/>
        <w:tblpPr w:leftFromText="142" w:rightFromText="142" w:bottomFromText="142"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ykres 11. Wartość podpisanych umów w ramach programów regionalnych w obecnej perspektywie finansowej (suma, w zł per capita)"/>
        <w:tblDescription w:val="Wykres przedstawia wartość umów, które podpisano w poszczególnych województwach w ramach programów regionalnych w obecnej perspektywie finansowej."/>
      </w:tblPr>
      <w:tblGrid>
        <w:gridCol w:w="9065"/>
      </w:tblGrid>
      <w:tr w:rsidR="00421A25" w:rsidRPr="00DC19E5" w14:paraId="7A66D8BF" w14:textId="77777777" w:rsidTr="005763A7">
        <w:tc>
          <w:tcPr>
            <w:tcW w:w="9065" w:type="dxa"/>
          </w:tcPr>
          <w:p w14:paraId="3925CE44" w14:textId="371207BC" w:rsidR="00421A25" w:rsidRPr="00DC19E5" w:rsidRDefault="00421A25" w:rsidP="005763A7">
            <w:pPr>
              <w:pStyle w:val="Legenda"/>
              <w:keepNext/>
            </w:pPr>
            <w:bookmarkStart w:id="136" w:name="_Ref536711800"/>
            <w:bookmarkStart w:id="137" w:name="_Toc5699522"/>
            <w:r>
              <w:t xml:space="preserve">Wykres </w:t>
            </w:r>
            <w:r w:rsidRPr="69901DB0">
              <w:fldChar w:fldCharType="begin"/>
            </w:r>
            <w:r>
              <w:rPr>
                <w:noProof/>
              </w:rPr>
              <w:instrText xml:space="preserve"> SEQ Wykres \* ARABIC </w:instrText>
            </w:r>
            <w:r w:rsidRPr="69901DB0">
              <w:rPr>
                <w:noProof/>
              </w:rPr>
              <w:fldChar w:fldCharType="separate"/>
            </w:r>
            <w:r w:rsidR="007F4FA2">
              <w:rPr>
                <w:noProof/>
              </w:rPr>
              <w:t>11</w:t>
            </w:r>
            <w:r w:rsidRPr="69901DB0">
              <w:fldChar w:fldCharType="end"/>
            </w:r>
            <w:bookmarkEnd w:id="136"/>
            <w:r>
              <w:t xml:space="preserve">. Wartość </w:t>
            </w:r>
            <w:r w:rsidR="00EB7D64">
              <w:t>alokacji środków na</w:t>
            </w:r>
            <w:r w:rsidR="00946525">
              <w:t xml:space="preserve"> RPO</w:t>
            </w:r>
            <w:r>
              <w:t xml:space="preserve"> w obecnej perspektywie finansowej</w:t>
            </w:r>
            <w:r w:rsidR="005C0A2D">
              <w:t xml:space="preserve"> w przeliczeniu na mieszkańca</w:t>
            </w:r>
            <w:r w:rsidRPr="0017349D">
              <w:t xml:space="preserve"> (suma, w zł per capita)</w:t>
            </w:r>
            <w:bookmarkEnd w:id="137"/>
          </w:p>
        </w:tc>
      </w:tr>
      <w:tr w:rsidR="00421A25" w:rsidRPr="00DC19E5" w14:paraId="567B7488" w14:textId="77777777" w:rsidTr="00A55C62">
        <w:tblPrEx>
          <w:tblCellMar>
            <w:left w:w="70" w:type="dxa"/>
            <w:right w:w="70" w:type="dxa"/>
          </w:tblCellMar>
        </w:tblPrEx>
        <w:tc>
          <w:tcPr>
            <w:tcW w:w="9065" w:type="dxa"/>
          </w:tcPr>
          <w:p w14:paraId="5696139E" w14:textId="6E6D6208" w:rsidR="00421A25" w:rsidRPr="00DC19E5" w:rsidRDefault="00A55C62" w:rsidP="005763A7">
            <w:pPr>
              <w:spacing w:after="0" w:line="240" w:lineRule="auto"/>
              <w:rPr>
                <w:sz w:val="14"/>
                <w:szCs w:val="14"/>
                <w:lang w:eastAsia="pl-PL"/>
              </w:rPr>
            </w:pPr>
            <w:r>
              <w:rPr>
                <w:noProof/>
                <w:lang w:eastAsia="pl-PL"/>
              </w:rPr>
              <w:drawing>
                <wp:inline distT="0" distB="0" distL="0" distR="0" wp14:anchorId="7556B74D" wp14:editId="47C660A2">
                  <wp:extent cx="5648325" cy="1952625"/>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421A25" w:rsidRPr="00DC19E5" w14:paraId="42075BD3" w14:textId="77777777" w:rsidTr="005763A7">
        <w:tc>
          <w:tcPr>
            <w:tcW w:w="9065" w:type="dxa"/>
            <w:vAlign w:val="center"/>
          </w:tcPr>
          <w:p w14:paraId="593260F8" w14:textId="70496EDD" w:rsidR="00421A25" w:rsidRPr="006344BC" w:rsidRDefault="00421A25" w:rsidP="005763A7">
            <w:pPr>
              <w:spacing w:after="0" w:line="240" w:lineRule="auto"/>
              <w:jc w:val="left"/>
              <w:rPr>
                <w:sz w:val="14"/>
                <w:szCs w:val="14"/>
                <w:lang w:eastAsia="pl-PL"/>
              </w:rPr>
            </w:pPr>
            <w:r w:rsidRPr="006344BC">
              <w:rPr>
                <w:sz w:val="14"/>
                <w:szCs w:val="14"/>
                <w:lang w:eastAsia="pl-PL"/>
              </w:rPr>
              <w:t>Uwaga: uwzględnione zostały ws</w:t>
            </w:r>
            <w:r w:rsidR="00A55C62">
              <w:rPr>
                <w:sz w:val="14"/>
                <w:szCs w:val="14"/>
                <w:lang w:eastAsia="pl-PL"/>
              </w:rPr>
              <w:t>zystkie umowy podpisane do 31.12.2018</w:t>
            </w:r>
            <w:r w:rsidRPr="006344BC">
              <w:rPr>
                <w:sz w:val="14"/>
                <w:szCs w:val="14"/>
                <w:lang w:eastAsia="pl-PL"/>
              </w:rPr>
              <w:t>.</w:t>
            </w:r>
          </w:p>
          <w:p w14:paraId="7CBEE295" w14:textId="4C289D9B" w:rsidR="00421A25" w:rsidRPr="00DC19E5" w:rsidRDefault="00421A25" w:rsidP="005763A7">
            <w:pPr>
              <w:spacing w:after="0" w:line="240" w:lineRule="auto"/>
              <w:jc w:val="left"/>
              <w:rPr>
                <w:sz w:val="14"/>
                <w:szCs w:val="14"/>
                <w:lang w:eastAsia="pl-PL"/>
              </w:rPr>
            </w:pPr>
            <w:r w:rsidRPr="006344BC">
              <w:rPr>
                <w:sz w:val="14"/>
                <w:szCs w:val="14"/>
                <w:lang w:eastAsia="pl-PL"/>
              </w:rPr>
              <w:t>Źródło: opracowanie własne na podstawie dany</w:t>
            </w:r>
            <w:r w:rsidR="0094386A">
              <w:rPr>
                <w:sz w:val="14"/>
                <w:szCs w:val="14"/>
                <w:lang w:eastAsia="pl-PL"/>
              </w:rPr>
              <w:t>ch</w:t>
            </w:r>
            <w:r w:rsidR="00C11009">
              <w:rPr>
                <w:sz w:val="14"/>
                <w:szCs w:val="14"/>
                <w:lang w:eastAsia="pl-PL"/>
              </w:rPr>
              <w:t xml:space="preserve"> </w:t>
            </w:r>
            <w:r w:rsidR="0094386A">
              <w:rPr>
                <w:sz w:val="14"/>
                <w:szCs w:val="14"/>
                <w:lang w:eastAsia="pl-PL"/>
              </w:rPr>
              <w:t>z Centralnego</w:t>
            </w:r>
            <w:r w:rsidR="0094386A" w:rsidRPr="008A2D6D">
              <w:rPr>
                <w:sz w:val="14"/>
                <w:szCs w:val="14"/>
                <w:lang w:eastAsia="pl-PL"/>
              </w:rPr>
              <w:t xml:space="preserve"> System</w:t>
            </w:r>
            <w:r w:rsidR="0094386A">
              <w:rPr>
                <w:sz w:val="14"/>
                <w:szCs w:val="14"/>
                <w:lang w:eastAsia="pl-PL"/>
              </w:rPr>
              <w:t>u Teleinformatycznego</w:t>
            </w:r>
            <w:r w:rsidR="0094386A" w:rsidRPr="008A2D6D">
              <w:rPr>
                <w:sz w:val="14"/>
                <w:szCs w:val="14"/>
                <w:lang w:eastAsia="pl-PL"/>
              </w:rPr>
              <w:t xml:space="preserve"> SL2014</w:t>
            </w:r>
          </w:p>
        </w:tc>
      </w:tr>
    </w:tbl>
    <w:p w14:paraId="6D7875FD" w14:textId="28C961EC" w:rsidR="007162FE" w:rsidRDefault="00392155" w:rsidP="00421A25">
      <w:pPr>
        <w:rPr>
          <w:lang w:eastAsia="pl-PL"/>
        </w:rPr>
      </w:pPr>
      <w:r>
        <w:rPr>
          <w:lang w:eastAsia="pl-PL"/>
        </w:rPr>
        <w:t>Biorąc pod uwagę wartość wkładu UE w umowach podpisanych w</w:t>
      </w:r>
      <w:r w:rsidR="00B332F5">
        <w:rPr>
          <w:lang w:eastAsia="pl-PL"/>
        </w:rPr>
        <w:t xml:space="preserve"> ramach RPO w obecnej perspektywie finansowej</w:t>
      </w:r>
      <w:r w:rsidR="00A43F5F">
        <w:rPr>
          <w:lang w:eastAsia="pl-PL"/>
        </w:rPr>
        <w:t xml:space="preserve"> w odniesieniu do</w:t>
      </w:r>
      <w:r w:rsidR="00B332F5">
        <w:rPr>
          <w:lang w:eastAsia="pl-PL"/>
        </w:rPr>
        <w:t xml:space="preserve"> alokacji województw</w:t>
      </w:r>
      <w:r w:rsidR="009A1D9E">
        <w:rPr>
          <w:lang w:eastAsia="pl-PL"/>
        </w:rPr>
        <w:t>o</w:t>
      </w:r>
      <w:r w:rsidR="00B332F5">
        <w:rPr>
          <w:lang w:eastAsia="pl-PL"/>
        </w:rPr>
        <w:t xml:space="preserve"> </w:t>
      </w:r>
      <w:r w:rsidR="009A1D9E">
        <w:rPr>
          <w:lang w:eastAsia="pl-PL"/>
        </w:rPr>
        <w:t>w</w:t>
      </w:r>
      <w:r w:rsidR="007162FE" w:rsidRPr="009C3455">
        <w:rPr>
          <w:lang w:eastAsia="pl-PL"/>
        </w:rPr>
        <w:t xml:space="preserve">ielkopolskie </w:t>
      </w:r>
      <w:r w:rsidR="009A1D9E">
        <w:rPr>
          <w:lang w:eastAsia="pl-PL"/>
        </w:rPr>
        <w:t xml:space="preserve">charakteryzuje </w:t>
      </w:r>
      <w:r w:rsidR="002E626A">
        <w:rPr>
          <w:lang w:eastAsia="pl-PL"/>
        </w:rPr>
        <w:t xml:space="preserve">wysoka </w:t>
      </w:r>
      <w:r w:rsidR="00B332F5">
        <w:rPr>
          <w:lang w:eastAsia="pl-PL"/>
        </w:rPr>
        <w:t>efektywn</w:t>
      </w:r>
      <w:r w:rsidR="009A1D9E">
        <w:rPr>
          <w:lang w:eastAsia="pl-PL"/>
        </w:rPr>
        <w:t>ość organizacyjna</w:t>
      </w:r>
      <w:r w:rsidR="00B332F5">
        <w:rPr>
          <w:lang w:eastAsia="pl-PL"/>
        </w:rPr>
        <w:t xml:space="preserve">. </w:t>
      </w:r>
      <w:r w:rsidR="009A1D9E">
        <w:rPr>
          <w:lang w:eastAsia="pl-PL"/>
        </w:rPr>
        <w:t xml:space="preserve">Wyższą </w:t>
      </w:r>
      <w:r w:rsidR="00B332F5">
        <w:rPr>
          <w:lang w:eastAsia="pl-PL"/>
        </w:rPr>
        <w:t>efektywność</w:t>
      </w:r>
      <w:r w:rsidR="009A1D9E">
        <w:rPr>
          <w:lang w:eastAsia="pl-PL"/>
        </w:rPr>
        <w:t>,</w:t>
      </w:r>
      <w:r w:rsidR="00B332F5">
        <w:rPr>
          <w:lang w:eastAsia="pl-PL"/>
        </w:rPr>
        <w:t xml:space="preserve"> jak dotąd</w:t>
      </w:r>
      <w:r w:rsidR="009A1D9E">
        <w:rPr>
          <w:lang w:eastAsia="pl-PL"/>
        </w:rPr>
        <w:t>,</w:t>
      </w:r>
      <w:r w:rsidR="00B332F5">
        <w:rPr>
          <w:lang w:eastAsia="pl-PL"/>
        </w:rPr>
        <w:t xml:space="preserve"> osiągnęły</w:t>
      </w:r>
      <w:r w:rsidR="007162FE" w:rsidRPr="009C3455">
        <w:rPr>
          <w:lang w:eastAsia="pl-PL"/>
        </w:rPr>
        <w:t xml:space="preserve"> </w:t>
      </w:r>
      <w:r w:rsidR="007162FE">
        <w:rPr>
          <w:lang w:eastAsia="pl-PL"/>
        </w:rPr>
        <w:t xml:space="preserve">jedynie </w:t>
      </w:r>
      <w:r w:rsidR="006979AD">
        <w:rPr>
          <w:lang w:eastAsia="pl-PL"/>
        </w:rPr>
        <w:t>2</w:t>
      </w:r>
      <w:r w:rsidR="00B332F5">
        <w:rPr>
          <w:lang w:eastAsia="pl-PL"/>
        </w:rPr>
        <w:t xml:space="preserve"> województwa:</w:t>
      </w:r>
      <w:r w:rsidR="007162FE" w:rsidRPr="009C3455">
        <w:rPr>
          <w:lang w:eastAsia="pl-PL"/>
        </w:rPr>
        <w:t xml:space="preserve"> pomorskie</w:t>
      </w:r>
      <w:r w:rsidR="006979AD">
        <w:rPr>
          <w:lang w:eastAsia="pl-PL"/>
        </w:rPr>
        <w:t xml:space="preserve"> i</w:t>
      </w:r>
      <w:r w:rsidR="00B332F5">
        <w:rPr>
          <w:lang w:eastAsia="pl-PL"/>
        </w:rPr>
        <w:t xml:space="preserve"> opolskie</w:t>
      </w:r>
      <w:r w:rsidR="00A81C76">
        <w:rPr>
          <w:lang w:eastAsia="pl-PL"/>
        </w:rPr>
        <w:t xml:space="preserve">. </w:t>
      </w:r>
      <w:r w:rsidR="00894C1E">
        <w:rPr>
          <w:lang w:eastAsia="pl-PL"/>
        </w:rPr>
        <w:t>Co więcej, o</w:t>
      </w:r>
      <w:r w:rsidR="00A81C76">
        <w:rPr>
          <w:lang w:eastAsia="pl-PL"/>
        </w:rPr>
        <w:t>dnosząc wartość wkładu UE uwzględnionego w certyfikacji do KE do alokacji środków, co stanowi podstawę dla śródokresowego przeglądu wdrażania RPO, województwo wielkopolskie zajmuje drugą pozycję, po Opolskim</w:t>
      </w:r>
      <w:r w:rsidR="00A64618">
        <w:rPr>
          <w:lang w:eastAsia="pl-PL"/>
        </w:rPr>
        <w:t xml:space="preserve"> (</w:t>
      </w:r>
      <w:r w:rsidR="00A64618">
        <w:rPr>
          <w:lang w:eastAsia="pl-PL"/>
        </w:rPr>
        <w:fldChar w:fldCharType="begin"/>
      </w:r>
      <w:r w:rsidR="00A64618">
        <w:rPr>
          <w:lang w:eastAsia="pl-PL"/>
        </w:rPr>
        <w:instrText xml:space="preserve"> REF _Ref3925268 \h </w:instrText>
      </w:r>
      <w:r w:rsidR="00A64618">
        <w:rPr>
          <w:lang w:eastAsia="pl-PL"/>
        </w:rPr>
      </w:r>
      <w:r w:rsidR="00A64618">
        <w:rPr>
          <w:lang w:eastAsia="pl-PL"/>
        </w:rPr>
        <w:fldChar w:fldCharType="separate"/>
      </w:r>
      <w:r w:rsidR="007F4FA2">
        <w:t xml:space="preserve">Wykres </w:t>
      </w:r>
      <w:r w:rsidR="007F4FA2">
        <w:rPr>
          <w:noProof/>
        </w:rPr>
        <w:t>12</w:t>
      </w:r>
      <w:r w:rsidR="00A64618">
        <w:rPr>
          <w:lang w:eastAsia="pl-PL"/>
        </w:rPr>
        <w:fldChar w:fldCharType="end"/>
      </w:r>
      <w:r w:rsidR="00A64618">
        <w:rPr>
          <w:lang w:eastAsia="pl-PL"/>
        </w:rPr>
        <w:t>)</w:t>
      </w:r>
      <w:r w:rsidR="007162FE">
        <w:rPr>
          <w:lang w:eastAsia="pl-PL"/>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8A2D6D" w:rsidRPr="00DC19E5" w14:paraId="106D4B5B" w14:textId="77777777" w:rsidTr="00153F20">
        <w:tc>
          <w:tcPr>
            <w:tcW w:w="9065" w:type="dxa"/>
          </w:tcPr>
          <w:p w14:paraId="2484A9A8" w14:textId="5424E327" w:rsidR="008A2D6D" w:rsidRPr="00DC19E5" w:rsidRDefault="008A2D6D" w:rsidP="005763A7">
            <w:pPr>
              <w:pStyle w:val="Legenda"/>
              <w:keepNext/>
            </w:pPr>
            <w:bookmarkStart w:id="138" w:name="_Ref3925268"/>
            <w:bookmarkStart w:id="139" w:name="_Toc5699523"/>
            <w:r>
              <w:t xml:space="preserve">Wykres </w:t>
            </w:r>
            <w:r w:rsidRPr="69901DB0">
              <w:fldChar w:fldCharType="begin"/>
            </w:r>
            <w:r>
              <w:rPr>
                <w:noProof/>
              </w:rPr>
              <w:instrText xml:space="preserve"> SEQ Wykres \* ARABIC </w:instrText>
            </w:r>
            <w:r w:rsidRPr="69901DB0">
              <w:rPr>
                <w:noProof/>
              </w:rPr>
              <w:fldChar w:fldCharType="separate"/>
            </w:r>
            <w:r w:rsidR="007F4FA2">
              <w:rPr>
                <w:noProof/>
              </w:rPr>
              <w:t>12</w:t>
            </w:r>
            <w:r w:rsidRPr="69901DB0">
              <w:fldChar w:fldCharType="end"/>
            </w:r>
            <w:bookmarkEnd w:id="138"/>
            <w:r>
              <w:t xml:space="preserve">. </w:t>
            </w:r>
            <w:r w:rsidR="00E630B7">
              <w:t>Stan wdrażania RPO 2014-2020 (w</w:t>
            </w:r>
            <w:r>
              <w:t>artość wkładu UE w umowach podpisanych</w:t>
            </w:r>
            <w:r w:rsidR="00EE15EB">
              <w:t xml:space="preserve"> oraz </w:t>
            </w:r>
            <w:r w:rsidR="00E630B7">
              <w:t xml:space="preserve">w </w:t>
            </w:r>
            <w:r w:rsidR="00EE15EB">
              <w:t>certyfikacji do KE</w:t>
            </w:r>
            <w:r w:rsidR="00A81C76">
              <w:t xml:space="preserve"> jako procent </w:t>
            </w:r>
            <w:r w:rsidR="00E630B7">
              <w:t>alokacji środków</w:t>
            </w:r>
            <w:r w:rsidRPr="0017349D">
              <w:t>)</w:t>
            </w:r>
            <w:bookmarkEnd w:id="139"/>
          </w:p>
        </w:tc>
      </w:tr>
      <w:tr w:rsidR="008A2D6D" w:rsidRPr="00DC19E5" w14:paraId="67635D6A" w14:textId="77777777" w:rsidTr="008A2D6D">
        <w:tblPrEx>
          <w:tblCellMar>
            <w:left w:w="70" w:type="dxa"/>
            <w:right w:w="70" w:type="dxa"/>
          </w:tblCellMar>
        </w:tblPrEx>
        <w:tc>
          <w:tcPr>
            <w:tcW w:w="9065" w:type="dxa"/>
          </w:tcPr>
          <w:p w14:paraId="4BF093D0" w14:textId="425DC3A6" w:rsidR="008A2D6D" w:rsidRPr="00DC19E5" w:rsidRDefault="00EE15EB" w:rsidP="00153F20">
            <w:pPr>
              <w:spacing w:after="0" w:line="240" w:lineRule="auto"/>
              <w:rPr>
                <w:sz w:val="14"/>
                <w:szCs w:val="14"/>
                <w:lang w:eastAsia="pl-PL"/>
              </w:rPr>
            </w:pPr>
            <w:r>
              <w:rPr>
                <w:noProof/>
                <w:lang w:eastAsia="pl-PL"/>
              </w:rPr>
              <w:drawing>
                <wp:inline distT="0" distB="0" distL="0" distR="0" wp14:anchorId="22278109" wp14:editId="20760FE7">
                  <wp:extent cx="5760720" cy="2124075"/>
                  <wp:effectExtent l="0" t="0" r="0" b="0"/>
                  <wp:docPr id="1410683475" name="Wykres 1410683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8A2D6D" w:rsidRPr="00DC19E5" w14:paraId="21152910" w14:textId="77777777" w:rsidTr="00153F20">
        <w:tc>
          <w:tcPr>
            <w:tcW w:w="9065" w:type="dxa"/>
            <w:vAlign w:val="center"/>
          </w:tcPr>
          <w:p w14:paraId="6A0396F4" w14:textId="13416CB9" w:rsidR="008A2D6D" w:rsidRPr="006344BC" w:rsidRDefault="008A2D6D" w:rsidP="00153F20">
            <w:pPr>
              <w:spacing w:after="0" w:line="240" w:lineRule="auto"/>
              <w:jc w:val="left"/>
              <w:rPr>
                <w:sz w:val="14"/>
                <w:szCs w:val="14"/>
                <w:lang w:eastAsia="pl-PL"/>
              </w:rPr>
            </w:pPr>
            <w:r w:rsidRPr="006344BC">
              <w:rPr>
                <w:sz w:val="14"/>
                <w:szCs w:val="14"/>
                <w:lang w:eastAsia="pl-PL"/>
              </w:rPr>
              <w:t>Uwaga: uwzględnione zostały ws</w:t>
            </w:r>
            <w:r>
              <w:rPr>
                <w:sz w:val="14"/>
                <w:szCs w:val="14"/>
                <w:lang w:eastAsia="pl-PL"/>
              </w:rPr>
              <w:t xml:space="preserve">zystkie umowy podpisane do </w:t>
            </w:r>
            <w:r w:rsidR="00EE15EB">
              <w:rPr>
                <w:sz w:val="14"/>
                <w:szCs w:val="14"/>
                <w:lang w:eastAsia="pl-PL"/>
              </w:rPr>
              <w:t>31.12.2018</w:t>
            </w:r>
            <w:r w:rsidR="00E630B7">
              <w:rPr>
                <w:sz w:val="14"/>
                <w:szCs w:val="14"/>
                <w:lang w:eastAsia="pl-PL"/>
              </w:rPr>
              <w:t xml:space="preserve">, </w:t>
            </w:r>
            <w:r w:rsidR="00E630B7" w:rsidRPr="00E630B7">
              <w:rPr>
                <w:sz w:val="14"/>
                <w:szCs w:val="14"/>
                <w:lang w:eastAsia="pl-PL"/>
              </w:rPr>
              <w:t>dane narastająco od uruchomienia programów</w:t>
            </w:r>
            <w:r w:rsidRPr="006344BC">
              <w:rPr>
                <w:sz w:val="14"/>
                <w:szCs w:val="14"/>
                <w:lang w:eastAsia="pl-PL"/>
              </w:rPr>
              <w:t>.</w:t>
            </w:r>
          </w:p>
          <w:p w14:paraId="26C2FA9D" w14:textId="6BBA7847" w:rsidR="008A2D6D" w:rsidRPr="00DC19E5" w:rsidRDefault="008A2D6D" w:rsidP="00153F20">
            <w:pPr>
              <w:spacing w:after="0" w:line="240" w:lineRule="auto"/>
              <w:jc w:val="left"/>
              <w:rPr>
                <w:sz w:val="14"/>
                <w:szCs w:val="14"/>
                <w:lang w:eastAsia="pl-PL"/>
              </w:rPr>
            </w:pPr>
            <w:r w:rsidRPr="006344BC">
              <w:rPr>
                <w:sz w:val="14"/>
                <w:szCs w:val="14"/>
                <w:lang w:eastAsia="pl-PL"/>
              </w:rPr>
              <w:t>Źródło: opracowanie własne na podstawie dany</w:t>
            </w:r>
            <w:r>
              <w:rPr>
                <w:sz w:val="14"/>
                <w:szCs w:val="14"/>
                <w:lang w:eastAsia="pl-PL"/>
              </w:rPr>
              <w:t>ch z Centralnego</w:t>
            </w:r>
            <w:r w:rsidRPr="008A2D6D">
              <w:rPr>
                <w:sz w:val="14"/>
                <w:szCs w:val="14"/>
                <w:lang w:eastAsia="pl-PL"/>
              </w:rPr>
              <w:t xml:space="preserve"> System</w:t>
            </w:r>
            <w:r>
              <w:rPr>
                <w:sz w:val="14"/>
                <w:szCs w:val="14"/>
                <w:lang w:eastAsia="pl-PL"/>
              </w:rPr>
              <w:t>u Teleinformatycznego</w:t>
            </w:r>
            <w:r w:rsidRPr="008A2D6D">
              <w:rPr>
                <w:sz w:val="14"/>
                <w:szCs w:val="14"/>
                <w:lang w:eastAsia="pl-PL"/>
              </w:rPr>
              <w:t xml:space="preserve"> SL2014</w:t>
            </w:r>
          </w:p>
        </w:tc>
      </w:tr>
    </w:tbl>
    <w:p w14:paraId="13F6CF95" w14:textId="77777777" w:rsidR="008A2D6D" w:rsidRDefault="008A2D6D" w:rsidP="00421A25">
      <w:pPr>
        <w:rPr>
          <w:lang w:eastAsia="pl-PL"/>
        </w:rPr>
      </w:pPr>
    </w:p>
    <w:p w14:paraId="0DB9C8F4" w14:textId="0EF592B3" w:rsidR="00421A25" w:rsidRDefault="00421A25" w:rsidP="00BB3AA2">
      <w:pPr>
        <w:rPr>
          <w:lang w:eastAsia="pl-PL"/>
        </w:rPr>
      </w:pPr>
      <w:r>
        <w:rPr>
          <w:lang w:eastAsia="pl-PL"/>
        </w:rPr>
        <w:lastRenderedPageBreak/>
        <w:t>W SRWW 2020 nie oszacowano skali ram finansowych, wskazano tylko kierunkowo skąd mogą pochodzić środki na realizację celów strategicznych. Wymienione zostały tu:</w:t>
      </w:r>
    </w:p>
    <w:p w14:paraId="2B5EF7CF" w14:textId="77777777" w:rsidR="00421A25" w:rsidRDefault="00421A25" w:rsidP="001045DC">
      <w:pPr>
        <w:pStyle w:val="Akapitzlist"/>
        <w:numPr>
          <w:ilvl w:val="1"/>
          <w:numId w:val="39"/>
        </w:numPr>
        <w:ind w:left="425" w:hanging="357"/>
        <w:rPr>
          <w:lang w:eastAsia="pl-PL"/>
        </w:rPr>
      </w:pPr>
      <w:r>
        <w:rPr>
          <w:lang w:eastAsia="pl-PL"/>
        </w:rPr>
        <w:t>budżet województwa,</w:t>
      </w:r>
    </w:p>
    <w:p w14:paraId="75557864" w14:textId="1ED6400E" w:rsidR="00421A25" w:rsidRDefault="00421A25" w:rsidP="001045DC">
      <w:pPr>
        <w:pStyle w:val="Akapitzlist"/>
        <w:numPr>
          <w:ilvl w:val="1"/>
          <w:numId w:val="39"/>
        </w:numPr>
        <w:ind w:left="425" w:hanging="357"/>
        <w:rPr>
          <w:lang w:eastAsia="pl-PL"/>
        </w:rPr>
      </w:pPr>
      <w:r>
        <w:rPr>
          <w:lang w:eastAsia="pl-PL"/>
        </w:rPr>
        <w:t>budżet</w:t>
      </w:r>
      <w:r w:rsidR="00443AAC">
        <w:rPr>
          <w:lang w:eastAsia="pl-PL"/>
        </w:rPr>
        <w:t>y</w:t>
      </w:r>
      <w:r>
        <w:rPr>
          <w:lang w:eastAsia="pl-PL"/>
        </w:rPr>
        <w:t xml:space="preserve"> samorządów powiatowych i gminnych,</w:t>
      </w:r>
    </w:p>
    <w:p w14:paraId="6AF89D5F" w14:textId="461088FB" w:rsidR="00421A25" w:rsidRDefault="00421A25" w:rsidP="001045DC">
      <w:pPr>
        <w:pStyle w:val="Akapitzlist"/>
        <w:numPr>
          <w:ilvl w:val="1"/>
          <w:numId w:val="39"/>
        </w:numPr>
        <w:ind w:left="425" w:hanging="357"/>
        <w:rPr>
          <w:lang w:eastAsia="pl-PL"/>
        </w:rPr>
      </w:pPr>
      <w:r>
        <w:rPr>
          <w:lang w:eastAsia="pl-PL"/>
        </w:rPr>
        <w:t>budżet</w:t>
      </w:r>
      <w:r w:rsidR="00443AAC">
        <w:rPr>
          <w:lang w:eastAsia="pl-PL"/>
        </w:rPr>
        <w:t>y</w:t>
      </w:r>
      <w:r>
        <w:rPr>
          <w:lang w:eastAsia="pl-PL"/>
        </w:rPr>
        <w:t xml:space="preserve"> samorządowych jednostek organizacyjnych,</w:t>
      </w:r>
    </w:p>
    <w:p w14:paraId="5EBA27E4" w14:textId="77777777" w:rsidR="00421A25" w:rsidRDefault="00421A25" w:rsidP="001045DC">
      <w:pPr>
        <w:pStyle w:val="Akapitzlist"/>
        <w:numPr>
          <w:ilvl w:val="1"/>
          <w:numId w:val="39"/>
        </w:numPr>
        <w:ind w:left="425" w:hanging="357"/>
        <w:rPr>
          <w:lang w:eastAsia="pl-PL"/>
        </w:rPr>
      </w:pPr>
      <w:r>
        <w:rPr>
          <w:lang w:eastAsia="pl-PL"/>
        </w:rPr>
        <w:t>budżet państwa (również w ramach kontraktów terytorialnych),</w:t>
      </w:r>
    </w:p>
    <w:p w14:paraId="269942B3" w14:textId="5019ACB2" w:rsidR="00421A25" w:rsidRDefault="00421A25" w:rsidP="001045DC">
      <w:pPr>
        <w:pStyle w:val="Akapitzlist"/>
        <w:numPr>
          <w:ilvl w:val="1"/>
          <w:numId w:val="39"/>
        </w:numPr>
        <w:ind w:left="425" w:hanging="357"/>
        <w:rPr>
          <w:lang w:eastAsia="pl-PL"/>
        </w:rPr>
      </w:pPr>
      <w:r>
        <w:rPr>
          <w:lang w:eastAsia="pl-PL"/>
        </w:rPr>
        <w:t>budżet</w:t>
      </w:r>
      <w:r w:rsidR="00443AAC">
        <w:rPr>
          <w:lang w:eastAsia="pl-PL"/>
        </w:rPr>
        <w:t>y</w:t>
      </w:r>
      <w:r>
        <w:rPr>
          <w:lang w:eastAsia="pl-PL"/>
        </w:rPr>
        <w:t xml:space="preserve"> funduszy celowych,</w:t>
      </w:r>
    </w:p>
    <w:p w14:paraId="60A0A3F1" w14:textId="77777777" w:rsidR="00421A25" w:rsidRDefault="00421A25" w:rsidP="001045DC">
      <w:pPr>
        <w:pStyle w:val="Akapitzlist"/>
        <w:numPr>
          <w:ilvl w:val="1"/>
          <w:numId w:val="39"/>
        </w:numPr>
        <w:ind w:left="425" w:hanging="357"/>
        <w:rPr>
          <w:lang w:eastAsia="pl-PL"/>
        </w:rPr>
      </w:pPr>
      <w:r>
        <w:rPr>
          <w:lang w:eastAsia="pl-PL"/>
        </w:rPr>
        <w:t>środki Unii Europejskiej,</w:t>
      </w:r>
    </w:p>
    <w:p w14:paraId="0DBE495E" w14:textId="77777777" w:rsidR="00421A25" w:rsidRDefault="00421A25" w:rsidP="001045DC">
      <w:pPr>
        <w:pStyle w:val="Akapitzlist"/>
        <w:numPr>
          <w:ilvl w:val="1"/>
          <w:numId w:val="39"/>
        </w:numPr>
        <w:ind w:left="425" w:hanging="357"/>
        <w:rPr>
          <w:lang w:eastAsia="pl-PL"/>
        </w:rPr>
      </w:pPr>
      <w:r>
        <w:rPr>
          <w:lang w:eastAsia="pl-PL"/>
        </w:rPr>
        <w:t>środki międzynarodowych instytucji finansowych,</w:t>
      </w:r>
    </w:p>
    <w:p w14:paraId="58115571" w14:textId="77777777" w:rsidR="00421A25" w:rsidRDefault="00421A25" w:rsidP="001045DC">
      <w:pPr>
        <w:pStyle w:val="Akapitzlist"/>
        <w:numPr>
          <w:ilvl w:val="1"/>
          <w:numId w:val="39"/>
        </w:numPr>
        <w:ind w:left="425" w:hanging="357"/>
        <w:rPr>
          <w:lang w:eastAsia="pl-PL"/>
        </w:rPr>
      </w:pPr>
      <w:r>
        <w:rPr>
          <w:lang w:eastAsia="pl-PL"/>
        </w:rPr>
        <w:t>środki prywatne,</w:t>
      </w:r>
    </w:p>
    <w:p w14:paraId="2C07B608" w14:textId="77777777" w:rsidR="00421A25" w:rsidRDefault="00421A25" w:rsidP="001045DC">
      <w:pPr>
        <w:pStyle w:val="Akapitzlist"/>
        <w:numPr>
          <w:ilvl w:val="1"/>
          <w:numId w:val="39"/>
        </w:numPr>
        <w:ind w:left="425" w:hanging="357"/>
        <w:rPr>
          <w:lang w:eastAsia="pl-PL"/>
        </w:rPr>
      </w:pPr>
      <w:r>
        <w:rPr>
          <w:lang w:eastAsia="pl-PL"/>
        </w:rPr>
        <w:t>środki innych partnerów zaangażowanych w osiąganie celów Strategii.</w:t>
      </w:r>
    </w:p>
    <w:p w14:paraId="3EDF0C8D" w14:textId="6AF99895" w:rsidR="00421A25" w:rsidRDefault="00421A25" w:rsidP="00421A25">
      <w:pPr>
        <w:rPr>
          <w:lang w:eastAsia="pl-PL"/>
        </w:rPr>
      </w:pPr>
      <w:r>
        <w:rPr>
          <w:lang w:eastAsia="pl-PL"/>
        </w:rPr>
        <w:t xml:space="preserve">W Sprawozdaniach z realizacji SRWW 2020 w latach 2013-2016 finansowanie realizacji celów </w:t>
      </w:r>
      <w:r w:rsidR="00021838">
        <w:rPr>
          <w:lang w:eastAsia="pl-PL"/>
        </w:rPr>
        <w:t>S</w:t>
      </w:r>
      <w:r>
        <w:rPr>
          <w:lang w:eastAsia="pl-PL"/>
        </w:rPr>
        <w:t>trategii zostało zaprezentowane z wykorzystaniem tylko pierwszego z wymienionych powyżej źródeł finansowania</w:t>
      </w:r>
      <w:r w:rsidR="416AC848" w:rsidRPr="416AC848">
        <w:rPr>
          <w:lang w:eastAsia="pl-PL"/>
        </w:rPr>
        <w:t>,</w:t>
      </w:r>
      <w:r>
        <w:rPr>
          <w:lang w:eastAsia="pl-PL"/>
        </w:rPr>
        <w:t xml:space="preserve"> czyli środków będących w dyspozycji </w:t>
      </w:r>
      <w:r w:rsidR="00344D6F">
        <w:rPr>
          <w:lang w:eastAsia="pl-PL"/>
        </w:rPr>
        <w:t>SWW</w:t>
      </w:r>
      <w:r>
        <w:rPr>
          <w:lang w:eastAsia="pl-PL"/>
        </w:rPr>
        <w:t xml:space="preserve"> i ujętych w budżecie województwa. Brakuje analizy środków pozostałych podmiotów, </w:t>
      </w:r>
      <w:r w:rsidR="416AC848" w:rsidRPr="416AC848">
        <w:rPr>
          <w:lang w:eastAsia="pl-PL"/>
        </w:rPr>
        <w:t>jak również</w:t>
      </w:r>
      <w:r>
        <w:rPr>
          <w:lang w:eastAsia="pl-PL"/>
        </w:rPr>
        <w:t xml:space="preserve"> uwzględnienia wydatków rozwojowych realizowanych przez spółki komunalne </w:t>
      </w:r>
      <w:r w:rsidR="00021838">
        <w:rPr>
          <w:lang w:eastAsia="pl-PL"/>
        </w:rPr>
        <w:t>SWW</w:t>
      </w:r>
      <w:r>
        <w:rPr>
          <w:lang w:eastAsia="pl-PL"/>
        </w:rPr>
        <w:t xml:space="preserve"> czy zakłady budżetowe. Być może są konkretne bariery, które uniemożliwiają zbieranie i analizowanie tych danych. Trzeba jednak podkreślić, że w województwie wielkopolskim działa wiele prężnie działających spółek wojewódzkich świadczących usługi dla przedsiębiorstw z Wielkopol</w:t>
      </w:r>
      <w:r w:rsidR="00B40FCD">
        <w:rPr>
          <w:lang w:eastAsia="pl-PL"/>
        </w:rPr>
        <w:t>ski (w tym pożyczki, poręczenia i innego rodzaju wsparcie</w:t>
      </w:r>
      <w:r>
        <w:rPr>
          <w:lang w:eastAsia="pl-PL"/>
        </w:rPr>
        <w:t>). Są to instrumenty bardzo ważne dla rozwoju regionu i warto</w:t>
      </w:r>
      <w:r w:rsidR="00021838">
        <w:rPr>
          <w:lang w:eastAsia="pl-PL"/>
        </w:rPr>
        <w:t>,</w:t>
      </w:r>
      <w:r>
        <w:rPr>
          <w:lang w:eastAsia="pl-PL"/>
        </w:rPr>
        <w:t xml:space="preserve"> by wydatki realizowane na tym polu uwzględniane były w</w:t>
      </w:r>
      <w:r w:rsidR="002364F9">
        <w:rPr>
          <w:lang w:eastAsia="pl-PL"/>
        </w:rPr>
        <w:t xml:space="preserve"> procesie monitoringu Strategii. Stworzenie skoordynowanego</w:t>
      </w:r>
      <w:r>
        <w:rPr>
          <w:lang w:eastAsia="pl-PL"/>
        </w:rPr>
        <w:t xml:space="preserve"> system</w:t>
      </w:r>
      <w:r w:rsidR="002364F9">
        <w:rPr>
          <w:lang w:eastAsia="pl-PL"/>
        </w:rPr>
        <w:t>u</w:t>
      </w:r>
      <w:r>
        <w:rPr>
          <w:lang w:eastAsia="pl-PL"/>
        </w:rPr>
        <w:t xml:space="preserve"> zbiera</w:t>
      </w:r>
      <w:r w:rsidR="002364F9">
        <w:rPr>
          <w:lang w:eastAsia="pl-PL"/>
        </w:rPr>
        <w:t>nia i analizowania tych danych posłuży</w:t>
      </w:r>
      <w:r>
        <w:rPr>
          <w:lang w:eastAsia="pl-PL"/>
        </w:rPr>
        <w:t xml:space="preserve"> </w:t>
      </w:r>
      <w:r w:rsidR="002364F9">
        <w:rPr>
          <w:lang w:eastAsia="pl-PL"/>
        </w:rPr>
        <w:t>dalszemu rozwijaniu</w:t>
      </w:r>
      <w:r>
        <w:rPr>
          <w:lang w:eastAsia="pl-PL"/>
        </w:rPr>
        <w:t xml:space="preserve"> system</w:t>
      </w:r>
      <w:r w:rsidR="00B03C6B">
        <w:rPr>
          <w:lang w:eastAsia="pl-PL"/>
        </w:rPr>
        <w:t>u</w:t>
      </w:r>
      <w:r w:rsidR="002364F9">
        <w:rPr>
          <w:lang w:eastAsia="pl-PL"/>
        </w:rPr>
        <w:t xml:space="preserve"> monitorowania strategii rozwoju województwa</w:t>
      </w:r>
      <w:r>
        <w:rPr>
          <w:lang w:eastAsia="pl-PL"/>
        </w:rPr>
        <w:t>.</w:t>
      </w:r>
    </w:p>
    <w:p w14:paraId="6839079D" w14:textId="7A31F83C" w:rsidR="00421A25" w:rsidRPr="001045DC" w:rsidRDefault="00421A25" w:rsidP="00D634A4">
      <w:pPr>
        <w:rPr>
          <w:lang w:eastAsia="pl-PL"/>
        </w:rPr>
      </w:pPr>
      <w:r>
        <w:rPr>
          <w:lang w:eastAsia="pl-PL"/>
        </w:rPr>
        <w:t xml:space="preserve">W odniesieniu do mobilizacji zasobów finansowych i pozafinansowych można sformułować kilka </w:t>
      </w:r>
      <w:r w:rsidRPr="001045DC">
        <w:rPr>
          <w:lang w:eastAsia="pl-PL"/>
        </w:rPr>
        <w:t>wniosków:</w:t>
      </w:r>
    </w:p>
    <w:p w14:paraId="3830508B" w14:textId="08ED7669" w:rsidR="00421A25" w:rsidRPr="001045DC" w:rsidRDefault="00421A25">
      <w:pPr>
        <w:pStyle w:val="Akapitzlist"/>
        <w:numPr>
          <w:ilvl w:val="0"/>
          <w:numId w:val="37"/>
        </w:numPr>
        <w:ind w:left="426"/>
        <w:rPr>
          <w:lang w:eastAsia="pl-PL"/>
        </w:rPr>
      </w:pPr>
      <w:r w:rsidRPr="001045DC">
        <w:rPr>
          <w:lang w:eastAsia="pl-PL"/>
        </w:rPr>
        <w:t>dbałość o jak najlepsze metody przewidywania i prognozowania przyszłych warunków społeczno-ekonomicznych regi</w:t>
      </w:r>
      <w:r w:rsidR="00C168E8" w:rsidRPr="001045DC">
        <w:rPr>
          <w:lang w:eastAsia="pl-PL"/>
        </w:rPr>
        <w:t>onu jest szczególnie ważna m.in.</w:t>
      </w:r>
      <w:r w:rsidRPr="001045DC">
        <w:rPr>
          <w:lang w:eastAsia="pl-PL"/>
        </w:rPr>
        <w:t xml:space="preserve"> w kontekście planowania kierunków rozwoju; dobrym sposobem radzenia sobie z trudnościami i słabościami prognoz może być np. zabezpieczenie puli środków, które </w:t>
      </w:r>
      <w:r w:rsidR="00B53D85" w:rsidRPr="001045DC">
        <w:rPr>
          <w:lang w:eastAsia="pl-PL"/>
        </w:rPr>
        <w:t>pozwalają</w:t>
      </w:r>
      <w:r w:rsidRPr="001045DC">
        <w:rPr>
          <w:lang w:eastAsia="pl-PL"/>
        </w:rPr>
        <w:t xml:space="preserve"> natychmiastowo reagować na problemy, których nie udało się przewidzieć wcześniej</w:t>
      </w:r>
      <w:r w:rsidR="00B53D85" w:rsidRPr="001045DC">
        <w:rPr>
          <w:lang w:eastAsia="pl-PL"/>
        </w:rPr>
        <w:t xml:space="preserve"> – tego rodzaju podejście stosowane jest przez zarządzających finansami SWW</w:t>
      </w:r>
      <w:r w:rsidR="416AC848" w:rsidRPr="001045DC">
        <w:rPr>
          <w:lang w:eastAsia="pl-PL"/>
        </w:rPr>
        <w:t>;</w:t>
      </w:r>
    </w:p>
    <w:p w14:paraId="308EB844" w14:textId="3F9B0D4C" w:rsidR="00421A25" w:rsidRPr="001045DC" w:rsidRDefault="00C37516">
      <w:pPr>
        <w:pStyle w:val="Akapitzlist"/>
        <w:numPr>
          <w:ilvl w:val="0"/>
          <w:numId w:val="37"/>
        </w:numPr>
        <w:ind w:left="426"/>
        <w:rPr>
          <w:lang w:eastAsia="pl-PL"/>
        </w:rPr>
      </w:pPr>
      <w:r w:rsidRPr="001045DC">
        <w:rPr>
          <w:lang w:eastAsia="pl-PL"/>
        </w:rPr>
        <w:t>ważna jest systematyczna ocena</w:t>
      </w:r>
      <w:r w:rsidR="00421A25" w:rsidRPr="001045DC">
        <w:rPr>
          <w:lang w:eastAsia="pl-PL"/>
        </w:rPr>
        <w:t xml:space="preserve"> zagrożeń dla realizacji celów strategicznych</w:t>
      </w:r>
      <w:r w:rsidRPr="001045DC">
        <w:rPr>
          <w:lang w:eastAsia="pl-PL"/>
        </w:rPr>
        <w:t>, np.</w:t>
      </w:r>
      <w:r w:rsidR="00421A25" w:rsidRPr="001045DC">
        <w:rPr>
          <w:lang w:eastAsia="pl-PL"/>
        </w:rPr>
        <w:t xml:space="preserve"> wynikających ze zmian us</w:t>
      </w:r>
      <w:r w:rsidRPr="001045DC">
        <w:rPr>
          <w:lang w:eastAsia="pl-PL"/>
        </w:rPr>
        <w:t xml:space="preserve">tawowych – SWW na bieżąco analizuje trendy zmian makroekonomicznych i ich potencjalny wpływ na budżet województwa uzupełniając szacunki prognoz wiedzą o specyfice i zasobach regionu </w:t>
      </w:r>
      <w:r w:rsidR="416AC848" w:rsidRPr="001045DC">
        <w:rPr>
          <w:lang w:eastAsia="pl-PL"/>
        </w:rPr>
        <w:t>;</w:t>
      </w:r>
    </w:p>
    <w:p w14:paraId="244FFB41" w14:textId="11D9B7C7" w:rsidR="00421A25" w:rsidRPr="001045DC" w:rsidRDefault="00566D23">
      <w:pPr>
        <w:pStyle w:val="Akapitzlist"/>
        <w:numPr>
          <w:ilvl w:val="0"/>
          <w:numId w:val="37"/>
        </w:numPr>
        <w:ind w:left="426"/>
        <w:rPr>
          <w:lang w:eastAsia="pl-PL"/>
        </w:rPr>
      </w:pPr>
      <w:r w:rsidRPr="001045DC">
        <w:rPr>
          <w:lang w:eastAsia="pl-PL"/>
        </w:rPr>
        <w:t>wskazane jest opracowanie systemu, który umożliwiałby kompletne i całościowe ujęcie</w:t>
      </w:r>
      <w:r w:rsidR="00421A25" w:rsidRPr="001045DC">
        <w:rPr>
          <w:lang w:eastAsia="pl-PL"/>
        </w:rPr>
        <w:t xml:space="preserve"> środków wykorzystywanych na realizację celów strategicznych (z uwzględnieniem środków wydatkowanych przez inne podmioty np. spółki komunalne, </w:t>
      </w:r>
      <w:r w:rsidRPr="001045DC">
        <w:rPr>
          <w:lang w:eastAsia="pl-PL"/>
        </w:rPr>
        <w:t xml:space="preserve">inne jednostki samorządu terytorialnego w regionie, </w:t>
      </w:r>
      <w:r w:rsidR="00D634A4" w:rsidRPr="001045DC">
        <w:rPr>
          <w:lang w:eastAsia="pl-PL"/>
        </w:rPr>
        <w:t xml:space="preserve">firmy prywatne i </w:t>
      </w:r>
      <w:r w:rsidR="00421A25" w:rsidRPr="001045DC">
        <w:rPr>
          <w:lang w:eastAsia="pl-PL"/>
        </w:rPr>
        <w:t xml:space="preserve">organizacje pozarządowe </w:t>
      </w:r>
      <w:r w:rsidR="00D634A4" w:rsidRPr="001045DC">
        <w:rPr>
          <w:lang w:eastAsia="pl-PL"/>
        </w:rPr>
        <w:t xml:space="preserve">w zakresie wykorzystywania środków UE </w:t>
      </w:r>
      <w:r w:rsidR="00421A25" w:rsidRPr="001045DC">
        <w:rPr>
          <w:lang w:eastAsia="pl-PL"/>
        </w:rPr>
        <w:t>etc</w:t>
      </w:r>
      <w:r w:rsidR="416AC848" w:rsidRPr="001045DC">
        <w:rPr>
          <w:lang w:eastAsia="pl-PL"/>
        </w:rPr>
        <w:t>.);</w:t>
      </w:r>
    </w:p>
    <w:p w14:paraId="2B66C2DB" w14:textId="077C14AB" w:rsidR="00421A25" w:rsidRPr="001045DC" w:rsidRDefault="00566D23">
      <w:pPr>
        <w:pStyle w:val="Akapitzlist"/>
        <w:numPr>
          <w:ilvl w:val="0"/>
          <w:numId w:val="37"/>
        </w:numPr>
        <w:ind w:left="426"/>
        <w:rPr>
          <w:lang w:eastAsia="pl-PL"/>
        </w:rPr>
      </w:pPr>
      <w:r w:rsidRPr="001045DC">
        <w:rPr>
          <w:lang w:eastAsia="pl-PL"/>
        </w:rPr>
        <w:t>przydatne</w:t>
      </w:r>
      <w:r w:rsidR="00421A25" w:rsidRPr="001045DC">
        <w:rPr>
          <w:lang w:eastAsia="pl-PL"/>
        </w:rPr>
        <w:t xml:space="preserve"> byłoby </w:t>
      </w:r>
      <w:r w:rsidR="00E14F2D" w:rsidRPr="001045DC">
        <w:rPr>
          <w:lang w:eastAsia="pl-PL"/>
        </w:rPr>
        <w:t>także</w:t>
      </w:r>
      <w:r w:rsidR="00C37516" w:rsidRPr="001045DC">
        <w:rPr>
          <w:lang w:eastAsia="pl-PL"/>
        </w:rPr>
        <w:t xml:space="preserve"> </w:t>
      </w:r>
      <w:r w:rsidR="00421A25" w:rsidRPr="001045DC">
        <w:rPr>
          <w:lang w:eastAsia="pl-PL"/>
        </w:rPr>
        <w:t>tworzenie bazy przedsięwzięć inwestycyjnych wraz ze sposobami ich finansowania w celu monitorowania kosztu finansowego w długim okresie co pozwoli</w:t>
      </w:r>
      <w:r w:rsidRPr="001045DC">
        <w:rPr>
          <w:lang w:eastAsia="pl-PL"/>
        </w:rPr>
        <w:t>łoby</w:t>
      </w:r>
      <w:r w:rsidR="00421A25" w:rsidRPr="001045DC">
        <w:rPr>
          <w:lang w:eastAsia="pl-PL"/>
        </w:rPr>
        <w:t xml:space="preserve"> na </w:t>
      </w:r>
      <w:r w:rsidRPr="001045DC">
        <w:rPr>
          <w:lang w:eastAsia="pl-PL"/>
        </w:rPr>
        <w:t>lepsze</w:t>
      </w:r>
      <w:r w:rsidR="008436A7" w:rsidRPr="001045DC">
        <w:rPr>
          <w:lang w:eastAsia="pl-PL"/>
        </w:rPr>
        <w:t xml:space="preserve"> dopasowanie</w:t>
      </w:r>
      <w:r w:rsidR="00421A25" w:rsidRPr="001045DC">
        <w:rPr>
          <w:lang w:eastAsia="pl-PL"/>
        </w:rPr>
        <w:t xml:space="preserve"> źródeł finansowania do potrzeb wydatkowych</w:t>
      </w:r>
      <w:r w:rsidR="416AC848" w:rsidRPr="001045DC">
        <w:rPr>
          <w:lang w:eastAsia="pl-PL"/>
        </w:rPr>
        <w:t>;</w:t>
      </w:r>
    </w:p>
    <w:p w14:paraId="7FA3C109" w14:textId="11E49F7D" w:rsidR="00C168E8" w:rsidRPr="001045DC" w:rsidRDefault="00C37516">
      <w:pPr>
        <w:pStyle w:val="Akapitzlist"/>
        <w:numPr>
          <w:ilvl w:val="0"/>
          <w:numId w:val="37"/>
        </w:numPr>
        <w:ind w:left="426"/>
        <w:rPr>
          <w:lang w:eastAsia="pl-PL"/>
        </w:rPr>
      </w:pPr>
      <w:r w:rsidRPr="001045DC">
        <w:rPr>
          <w:lang w:eastAsia="pl-PL"/>
        </w:rPr>
        <w:lastRenderedPageBreak/>
        <w:t xml:space="preserve">ze strony niektórych przedstawicieli departamentów sektorowych UMWW </w:t>
      </w:r>
      <w:r w:rsidR="00C168E8" w:rsidRPr="001045DC">
        <w:rPr>
          <w:lang w:eastAsia="pl-PL"/>
        </w:rPr>
        <w:t xml:space="preserve">sygnalizowana była potrzeba bliższej współpracy z DF UMWW w zakresie </w:t>
      </w:r>
      <w:r w:rsidR="008436A7" w:rsidRPr="001045DC">
        <w:rPr>
          <w:lang w:eastAsia="pl-PL"/>
        </w:rPr>
        <w:t>informacji dotyczącej</w:t>
      </w:r>
      <w:r w:rsidR="00C168E8" w:rsidRPr="001045DC">
        <w:rPr>
          <w:lang w:eastAsia="pl-PL"/>
        </w:rPr>
        <w:t xml:space="preserve"> planów finansowych, informowania w sposób jak najbardziej przystępny i przejrzysty o zawartości WPF SWW, tj. o możliwościach i ograniczeniach finansowych SWW;</w:t>
      </w:r>
    </w:p>
    <w:p w14:paraId="204E2806" w14:textId="4DC5982C" w:rsidR="00421A25" w:rsidRPr="00421A25" w:rsidRDefault="00D634A4">
      <w:pPr>
        <w:pStyle w:val="Akapitzlist"/>
        <w:numPr>
          <w:ilvl w:val="0"/>
          <w:numId w:val="37"/>
        </w:numPr>
        <w:ind w:left="426"/>
        <w:rPr>
          <w:lang w:eastAsia="pl-PL"/>
        </w:rPr>
      </w:pPr>
      <w:r w:rsidRPr="001045DC">
        <w:rPr>
          <w:szCs w:val="22"/>
          <w:lang w:eastAsia="pl-PL"/>
        </w:rPr>
        <w:t xml:space="preserve">ze względu na trwające na szczeblu centralnym prace dotyczące identyfikowania prorozwojowych </w:t>
      </w:r>
      <w:r w:rsidR="00E14F2D" w:rsidRPr="001045DC">
        <w:rPr>
          <w:szCs w:val="22"/>
          <w:lang w:eastAsia="pl-PL"/>
        </w:rPr>
        <w:t>wydatków publicznych użyteczne</w:t>
      </w:r>
      <w:r w:rsidRPr="001045DC">
        <w:rPr>
          <w:szCs w:val="22"/>
          <w:lang w:eastAsia="pl-PL"/>
        </w:rPr>
        <w:t xml:space="preserve"> byłoby</w:t>
      </w:r>
      <w:r w:rsidR="00421A25" w:rsidRPr="001045DC">
        <w:rPr>
          <w:szCs w:val="22"/>
          <w:lang w:eastAsia="pl-PL"/>
        </w:rPr>
        <w:t xml:space="preserve"> </w:t>
      </w:r>
      <w:r w:rsidRPr="001045DC">
        <w:rPr>
          <w:szCs w:val="22"/>
          <w:lang w:eastAsia="pl-PL"/>
        </w:rPr>
        <w:t xml:space="preserve">opracowanie </w:t>
      </w:r>
      <w:r w:rsidR="00421A25" w:rsidRPr="001045DC">
        <w:rPr>
          <w:szCs w:val="22"/>
          <w:lang w:eastAsia="pl-PL"/>
        </w:rPr>
        <w:t>sprawdzonego systemu przenoszenia klasyfikacji budżetowej na klasyfikację wydatków rozwojowych</w:t>
      </w:r>
      <w:r w:rsidR="00421A25" w:rsidRPr="001045DC">
        <w:rPr>
          <w:lang w:eastAsia="pl-PL"/>
        </w:rPr>
        <w:t>.</w:t>
      </w:r>
      <w:r w:rsidR="00421A25">
        <w:br w:type="page"/>
      </w:r>
    </w:p>
    <w:p w14:paraId="71622733" w14:textId="77777777" w:rsidR="00CD4FD1" w:rsidRDefault="00382166" w:rsidP="00382166">
      <w:pPr>
        <w:pStyle w:val="Nagwek1"/>
      </w:pPr>
      <w:bookmarkStart w:id="140" w:name="_Toc5699466"/>
      <w:r>
        <w:lastRenderedPageBreak/>
        <w:t>Wymiar terytorialny polityki rozwoju – zagadnienie szczególne</w:t>
      </w:r>
      <w:bookmarkEnd w:id="140"/>
    </w:p>
    <w:p w14:paraId="5D86B222" w14:textId="7E1FC9AE" w:rsidR="00382166" w:rsidRPr="00382166" w:rsidRDefault="00382166" w:rsidP="00382166">
      <w:pPr>
        <w:rPr>
          <w:lang w:eastAsia="pl-PL"/>
        </w:rPr>
      </w:pPr>
      <w:r>
        <w:rPr>
          <w:lang w:eastAsia="pl-PL"/>
        </w:rPr>
        <w:t xml:space="preserve">Ze względu na fakt, iż zauważalne trendy krajowe i unijne pozwalają sformułować tezę o wzroście znaczenia wymiaru terytorialnego wszelkich polityk rozwoju, zagadnienie to postanowiono omówić w odrębnym rozdziale. Wymiar terytorialny jest obecny w samym dokumencie SRWW 2020 i odnoszą się do niego konkretne cele, zatem mógłby stanowić część poprzedniego rozdziału. Jednocześnie znaczna część interwencji Samorządu Województwa była poddana przyjętym kierunkom terytorializacji, co mogłoby </w:t>
      </w:r>
      <w:r w:rsidR="2CD63631" w:rsidRPr="2CD63631">
        <w:rPr>
          <w:lang w:eastAsia="pl-PL"/>
        </w:rPr>
        <w:t>zostać</w:t>
      </w:r>
      <w:r>
        <w:rPr>
          <w:lang w:eastAsia="pl-PL"/>
        </w:rPr>
        <w:t xml:space="preserve"> ujęte w rozdziale następnym. Wydaje się, że kompleksowe podejście do tego zagadnienia w jednej części ułatwi odbiór, a przede wszystkim zbliży do podkreślenia wagi tego problemu w przyszłym planowaniu strategicznym.</w:t>
      </w:r>
    </w:p>
    <w:p w14:paraId="136C9DB1" w14:textId="77777777" w:rsidR="00421A25" w:rsidRDefault="00421A25" w:rsidP="00421A25">
      <w:pPr>
        <w:pStyle w:val="Nagwek2"/>
      </w:pPr>
      <w:bookmarkStart w:id="141" w:name="_Toc536653121"/>
      <w:bookmarkStart w:id="142" w:name="_Toc1904793"/>
      <w:bookmarkStart w:id="143" w:name="_Toc5699467"/>
      <w:r>
        <w:t>Zakres terytorializacji w kontekście paradygmatu rozwoju</w:t>
      </w:r>
      <w:bookmarkEnd w:id="141"/>
      <w:bookmarkEnd w:id="142"/>
      <w:bookmarkEnd w:id="143"/>
    </w:p>
    <w:p w14:paraId="48EA52E3" w14:textId="77777777" w:rsidR="00421A25" w:rsidRPr="002C2855" w:rsidRDefault="00421A25" w:rsidP="00BF08D5">
      <w:pPr>
        <w:ind w:left="4536"/>
        <w:jc w:val="left"/>
        <w:rPr>
          <w:b/>
          <w:i/>
          <w:color w:val="001E50"/>
        </w:rPr>
      </w:pPr>
      <w:r w:rsidRPr="002C2855">
        <w:rPr>
          <w:b/>
          <w:i/>
          <w:color w:val="001E50"/>
        </w:rPr>
        <w:t>Terytorializacja polityki rozwoju jest przyszłością – przynajmniej na jakiś czas…</w:t>
      </w:r>
    </w:p>
    <w:p w14:paraId="607AA228" w14:textId="77777777" w:rsidR="00421A25" w:rsidRDefault="00421A25" w:rsidP="00421A25">
      <w:pPr>
        <w:shd w:val="clear" w:color="auto" w:fill="FFE599"/>
        <w:rPr>
          <w:lang w:eastAsia="pl-PL"/>
        </w:rPr>
      </w:pPr>
      <w:r>
        <w:rPr>
          <w:szCs w:val="22"/>
          <w:lang w:eastAsia="pl-PL"/>
        </w:rPr>
        <w:t>C</w:t>
      </w:r>
      <w:r w:rsidRPr="00017572">
        <w:rPr>
          <w:szCs w:val="22"/>
          <w:lang w:eastAsia="pl-PL"/>
        </w:rPr>
        <w:t xml:space="preserve">zęść z celów strategicznych </w:t>
      </w:r>
      <w:r>
        <w:rPr>
          <w:szCs w:val="22"/>
          <w:lang w:eastAsia="pl-PL"/>
        </w:rPr>
        <w:t xml:space="preserve">w SRWW 2020 </w:t>
      </w:r>
      <w:r w:rsidRPr="00017572">
        <w:rPr>
          <w:szCs w:val="22"/>
          <w:lang w:eastAsia="pl-PL"/>
        </w:rPr>
        <w:t>adresowana jest w szczególności do określonych terytoriów, zarówno tych, które są motorami rozwoju (</w:t>
      </w:r>
      <w:r>
        <w:rPr>
          <w:szCs w:val="22"/>
          <w:lang w:eastAsia="pl-PL"/>
        </w:rPr>
        <w:t>metropolia</w:t>
      </w:r>
      <w:r w:rsidRPr="00017572">
        <w:rPr>
          <w:szCs w:val="22"/>
          <w:lang w:eastAsia="pl-PL"/>
        </w:rPr>
        <w:t xml:space="preserve"> poznańska, subregionalne ośrodki wzrostu), jak i tych, które wymagają wsparcia ze względu na różnorodne słabości.</w:t>
      </w:r>
      <w:r>
        <w:rPr>
          <w:szCs w:val="22"/>
          <w:lang w:eastAsia="pl-PL"/>
        </w:rPr>
        <w:t xml:space="preserve"> Podejście to było spójne z kierunkami polityki regionalnej zaprezentowanymi w KSRR2020, ale wymaga reorientacji, gdy myślimy o projekcie KSRR.</w:t>
      </w:r>
    </w:p>
    <w:tbl>
      <w:tblPr>
        <w:tblStyle w:val="Tabela-Siatka"/>
        <w:tblpPr w:leftFromText="141" w:rightFromText="141" w:vertAnchor="text" w:horzAnchor="margin" w:tblpXSpec="right" w:tblpY="2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ykres 12. PKB w przeliczeniu na 1 mieszkańca w podziale na podregiony województwa wielkopolskiego"/>
        <w:tblDescription w:val="Wykres przedstawia PKB w przeliczeniu na 1 mieszkańca według podregionów województwa wielkopolskiego (kaliskiego, leszczyńskiego, poznańskiego, konińskiego, pilskiego i miasta Poznań)."/>
      </w:tblPr>
      <w:tblGrid>
        <w:gridCol w:w="5670"/>
      </w:tblGrid>
      <w:tr w:rsidR="00831FBC" w14:paraId="6A085D14" w14:textId="77777777" w:rsidTr="69901DB0">
        <w:tc>
          <w:tcPr>
            <w:tcW w:w="5670" w:type="dxa"/>
          </w:tcPr>
          <w:p w14:paraId="5BABD49C" w14:textId="53566906" w:rsidR="00831FBC" w:rsidRPr="00831FBC" w:rsidRDefault="00831FBC" w:rsidP="00831FBC">
            <w:pPr>
              <w:pStyle w:val="Legenda"/>
              <w:rPr>
                <w:color w:val="000000" w:themeColor="text1"/>
                <w:szCs w:val="22"/>
              </w:rPr>
            </w:pPr>
            <w:bookmarkStart w:id="144" w:name="_Ref1422894"/>
            <w:bookmarkStart w:id="145" w:name="_Toc5699524"/>
            <w:r w:rsidRPr="00D84060">
              <w:rPr>
                <w:color w:val="000000" w:themeColor="text1"/>
              </w:rPr>
              <w:t xml:space="preserve">Wykres </w:t>
            </w:r>
            <w:r w:rsidRPr="1FA2818E">
              <w:fldChar w:fldCharType="begin"/>
            </w:r>
            <w:r w:rsidRPr="00D84060">
              <w:rPr>
                <w:color w:val="000000" w:themeColor="text1"/>
              </w:rPr>
              <w:instrText xml:space="preserve"> SEQ Wykres \* ARABIC </w:instrText>
            </w:r>
            <w:r w:rsidRPr="1FA2818E">
              <w:rPr>
                <w:color w:val="000000" w:themeColor="text1"/>
              </w:rPr>
              <w:fldChar w:fldCharType="separate"/>
            </w:r>
            <w:r w:rsidR="007F4FA2">
              <w:rPr>
                <w:noProof/>
                <w:color w:val="000000" w:themeColor="text1"/>
              </w:rPr>
              <w:t>13</w:t>
            </w:r>
            <w:r w:rsidRPr="1FA2818E">
              <w:fldChar w:fldCharType="end"/>
            </w:r>
            <w:bookmarkEnd w:id="144"/>
            <w:r w:rsidRPr="00D84060">
              <w:rPr>
                <w:color w:val="000000" w:themeColor="text1"/>
              </w:rPr>
              <w:t xml:space="preserve">. PKB w </w:t>
            </w:r>
            <w:r w:rsidRPr="00AD022E">
              <w:rPr>
                <w:color w:val="000000" w:themeColor="text1"/>
              </w:rPr>
              <w:t>przeliczeniu na 1 mieszkańca w podziale na podregiony województwa wielkopolskiego</w:t>
            </w:r>
            <w:bookmarkEnd w:id="145"/>
          </w:p>
        </w:tc>
      </w:tr>
      <w:tr w:rsidR="00831FBC" w14:paraId="1F6A1C1F" w14:textId="77777777" w:rsidTr="69901DB0">
        <w:tc>
          <w:tcPr>
            <w:tcW w:w="5670" w:type="dxa"/>
          </w:tcPr>
          <w:p w14:paraId="5DE7C47F" w14:textId="77777777" w:rsidR="00831FBC" w:rsidRDefault="00831FBC" w:rsidP="00831FBC">
            <w:pPr>
              <w:rPr>
                <w:szCs w:val="22"/>
              </w:rPr>
            </w:pPr>
            <w:r>
              <w:rPr>
                <w:noProof/>
                <w:lang w:eastAsia="pl-PL"/>
              </w:rPr>
              <w:drawing>
                <wp:inline distT="0" distB="0" distL="0" distR="0" wp14:anchorId="2BE166B1" wp14:editId="6C4CDDB8">
                  <wp:extent cx="3368040" cy="3100070"/>
                  <wp:effectExtent l="0" t="0" r="3810" b="5080"/>
                  <wp:docPr id="1410683458" name="Wykres 1410683458" descr="Wykres liniowy przedstawia wskaźnik PKB na 1 mieszkańca w układzie podregionów województwa wielkopolskiego w latach 2006-2016. We wszystkich podregionach widoczny jest pozytywny trend, ale zróżnicowanie między nimi zwiększyło się. " title="PKB w przeliczeniu na 1 mieszkańca w podziale na podregiony województwa wielkopolsk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831FBC" w14:paraId="6C6D4B32" w14:textId="77777777" w:rsidTr="69901DB0">
        <w:tc>
          <w:tcPr>
            <w:tcW w:w="5670" w:type="dxa"/>
          </w:tcPr>
          <w:p w14:paraId="44C59EE3" w14:textId="77777777" w:rsidR="00831FBC" w:rsidRPr="00831FBC" w:rsidRDefault="00831FBC" w:rsidP="00831FBC">
            <w:pPr>
              <w:rPr>
                <w:sz w:val="16"/>
                <w:szCs w:val="16"/>
              </w:rPr>
            </w:pPr>
            <w:r w:rsidRPr="00624AA4">
              <w:rPr>
                <w:sz w:val="16"/>
                <w:szCs w:val="16"/>
                <w:lang w:eastAsia="pl-PL"/>
              </w:rPr>
              <w:t xml:space="preserve">Źródło: </w:t>
            </w:r>
            <w:r>
              <w:rPr>
                <w:sz w:val="16"/>
                <w:szCs w:val="16"/>
                <w:lang w:eastAsia="pl-PL"/>
              </w:rPr>
              <w:t>o</w:t>
            </w:r>
            <w:r w:rsidRPr="00624AA4">
              <w:rPr>
                <w:sz w:val="16"/>
                <w:szCs w:val="16"/>
                <w:lang w:eastAsia="pl-PL"/>
              </w:rPr>
              <w:t>pracowanie własne na podstawie BDL GUS</w:t>
            </w:r>
            <w:r>
              <w:rPr>
                <w:sz w:val="16"/>
                <w:szCs w:val="16"/>
                <w:lang w:eastAsia="pl-PL"/>
              </w:rPr>
              <w:t>.</w:t>
            </w:r>
          </w:p>
        </w:tc>
      </w:tr>
    </w:tbl>
    <w:p w14:paraId="37EAAA1C" w14:textId="58190374" w:rsidR="00421A25" w:rsidRDefault="00421A25" w:rsidP="00421A25">
      <w:pPr>
        <w:rPr>
          <w:szCs w:val="22"/>
        </w:rPr>
      </w:pPr>
      <w:r>
        <w:rPr>
          <w:rFonts w:eastAsia="Calibri"/>
          <w:szCs w:val="18"/>
        </w:rPr>
        <w:t xml:space="preserve">W projekcie KSRR wyraźnie zaakcentowano odejście od </w:t>
      </w:r>
      <w:r w:rsidRPr="00ED2C54">
        <w:rPr>
          <w:szCs w:val="22"/>
        </w:rPr>
        <w:t>modelu polaryzacyjno-dyfuzyjnego</w:t>
      </w:r>
      <w:r>
        <w:rPr>
          <w:szCs w:val="22"/>
        </w:rPr>
        <w:t xml:space="preserve"> na rzecz zrównoważonego rozwoju. Model polaryzacyjno-dyfuzyjny oznaczał</w:t>
      </w:r>
      <w:r w:rsidRPr="00ED2C54">
        <w:rPr>
          <w:szCs w:val="22"/>
        </w:rPr>
        <w:t xml:space="preserve"> </w:t>
      </w:r>
      <w:r>
        <w:rPr>
          <w:szCs w:val="22"/>
        </w:rPr>
        <w:t>koncentrację</w:t>
      </w:r>
      <w:r w:rsidRPr="00ED2C54">
        <w:rPr>
          <w:szCs w:val="22"/>
        </w:rPr>
        <w:t xml:space="preserve"> działań w</w:t>
      </w:r>
      <w:r w:rsidR="000B321A">
        <w:rPr>
          <w:szCs w:val="22"/>
        </w:rPr>
        <w:t xml:space="preserve"> największych ośrodkach miejskich</w:t>
      </w:r>
      <w:r w:rsidRPr="00ED2C54">
        <w:rPr>
          <w:szCs w:val="22"/>
        </w:rPr>
        <w:t>, wychodząc z założenia, że nadawać będą one impulsy rozwojowe na pozostałe obszary – mniej rozwinięte.</w:t>
      </w:r>
      <w:r w:rsidR="000B321A">
        <w:rPr>
          <w:szCs w:val="22"/>
        </w:rPr>
        <w:t xml:space="preserve"> Jednocześnie podkreślono, że</w:t>
      </w:r>
      <w:r w:rsidRPr="00ED2C54">
        <w:rPr>
          <w:szCs w:val="22"/>
        </w:rPr>
        <w:t xml:space="preserve"> </w:t>
      </w:r>
      <w:r w:rsidR="000B321A">
        <w:rPr>
          <w:szCs w:val="22"/>
        </w:rPr>
        <w:t>z</w:t>
      </w:r>
      <w:r w:rsidRPr="00ED2C54">
        <w:rPr>
          <w:szCs w:val="22"/>
        </w:rPr>
        <w:t>asięg tych impulsów był na tyle słaby, że ten model polityki przyczynił się do jeszcze większego zróżnicowania wewnątrz regionów</w:t>
      </w:r>
      <w:r w:rsidR="000B321A">
        <w:rPr>
          <w:szCs w:val="22"/>
        </w:rPr>
        <w:t xml:space="preserve"> </w:t>
      </w:r>
      <w:r w:rsidR="000B321A">
        <w:t>(</w:t>
      </w:r>
      <w:r w:rsidR="000B321A" w:rsidRPr="00465E17">
        <w:rPr>
          <w:i/>
        </w:rPr>
        <w:t>Krajowa Strategia</w:t>
      </w:r>
      <w:r w:rsidR="000B321A">
        <w:t>…, 2018)</w:t>
      </w:r>
      <w:r w:rsidRPr="00ED2C54">
        <w:rPr>
          <w:szCs w:val="22"/>
        </w:rPr>
        <w:t xml:space="preserve">. </w:t>
      </w:r>
    </w:p>
    <w:p w14:paraId="408CD235" w14:textId="4FCB5DC5" w:rsidR="00421A25" w:rsidRDefault="00421A25" w:rsidP="00421A25">
      <w:pPr>
        <w:rPr>
          <w:szCs w:val="22"/>
        </w:rPr>
      </w:pPr>
      <w:r w:rsidRPr="00AD022E">
        <w:rPr>
          <w:szCs w:val="22"/>
        </w:rPr>
        <w:t xml:space="preserve">Zmiana ta mierzona wskaźnikiem PKB per capita widoczna jest także w Wielkopolsce. Choć we wszystkich </w:t>
      </w:r>
      <w:r>
        <w:rPr>
          <w:szCs w:val="22"/>
        </w:rPr>
        <w:t>pod</w:t>
      </w:r>
      <w:r w:rsidRPr="00AD022E">
        <w:rPr>
          <w:szCs w:val="22"/>
        </w:rPr>
        <w:t>regionach widoczny jest pozytywny trend, zróżnicowanie między nimi zwiększyło się</w:t>
      </w:r>
      <w:r>
        <w:rPr>
          <w:szCs w:val="22"/>
        </w:rPr>
        <w:t xml:space="preserve"> (</w:t>
      </w:r>
      <w:r>
        <w:rPr>
          <w:szCs w:val="22"/>
        </w:rPr>
        <w:fldChar w:fldCharType="begin"/>
      </w:r>
      <w:r>
        <w:rPr>
          <w:szCs w:val="22"/>
        </w:rPr>
        <w:instrText xml:space="preserve"> REF _Ref1422894 \h </w:instrText>
      </w:r>
      <w:r>
        <w:rPr>
          <w:szCs w:val="22"/>
        </w:rPr>
      </w:r>
      <w:r>
        <w:rPr>
          <w:szCs w:val="22"/>
        </w:rPr>
        <w:fldChar w:fldCharType="separate"/>
      </w:r>
      <w:r w:rsidR="007F4FA2" w:rsidRPr="00D84060">
        <w:t xml:space="preserve">Wykres </w:t>
      </w:r>
      <w:r w:rsidR="007F4FA2">
        <w:rPr>
          <w:noProof/>
        </w:rPr>
        <w:t>13</w:t>
      </w:r>
      <w:r>
        <w:rPr>
          <w:szCs w:val="22"/>
        </w:rPr>
        <w:fldChar w:fldCharType="end"/>
      </w:r>
      <w:r>
        <w:rPr>
          <w:szCs w:val="22"/>
        </w:rPr>
        <w:t>)</w:t>
      </w:r>
      <w:r w:rsidRPr="00AD022E">
        <w:rPr>
          <w:szCs w:val="22"/>
        </w:rPr>
        <w:t xml:space="preserve">. Jednocześnie należy zaznaczyć, że zdaniem autorów </w:t>
      </w:r>
      <w:r w:rsidRPr="00AD022E">
        <w:rPr>
          <w:szCs w:val="22"/>
        </w:rPr>
        <w:lastRenderedPageBreak/>
        <w:t>niekoniecznie wynika to</w:t>
      </w:r>
      <w:r w:rsidR="00293645">
        <w:rPr>
          <w:szCs w:val="22"/>
        </w:rPr>
        <w:t xml:space="preserve"> jedynie</w:t>
      </w:r>
      <w:r w:rsidRPr="00AD022E">
        <w:rPr>
          <w:szCs w:val="22"/>
        </w:rPr>
        <w:t xml:space="preserve"> z przyjętego w poprzedni</w:t>
      </w:r>
      <w:r>
        <w:rPr>
          <w:szCs w:val="22"/>
        </w:rPr>
        <w:t>ej perspektywie modelu rozwoju</w:t>
      </w:r>
      <w:r w:rsidR="00293645">
        <w:rPr>
          <w:szCs w:val="22"/>
        </w:rPr>
        <w:t xml:space="preserve"> (należy pamiętać, że w regionie zidentyfikowano szereg zjawisk, które także wpłynęły na zmiany rozwojowe w poszczególnych obszarach np. inwestycje zagraniczne, restrukturyzacja gospodarki, depopulacja i in</w:t>
      </w:r>
      <w:r w:rsidR="00A93EC5">
        <w:rPr>
          <w:szCs w:val="22"/>
        </w:rPr>
        <w:t>.</w:t>
      </w:r>
      <w:r w:rsidR="00293645">
        <w:rPr>
          <w:szCs w:val="22"/>
        </w:rPr>
        <w:t>)</w:t>
      </w:r>
      <w:r>
        <w:rPr>
          <w:szCs w:val="22"/>
        </w:rPr>
        <w:t xml:space="preserve"> i</w:t>
      </w:r>
      <w:r>
        <w:t xml:space="preserve"> podkr</w:t>
      </w:r>
      <w:r w:rsidRPr="00AD022E">
        <w:rPr>
          <w:szCs w:val="22"/>
        </w:rPr>
        <w:t xml:space="preserve">eślić, że </w:t>
      </w:r>
      <w:r>
        <w:rPr>
          <w:szCs w:val="22"/>
        </w:rPr>
        <w:t>rozwój</w:t>
      </w:r>
      <w:r w:rsidRPr="00AD022E">
        <w:rPr>
          <w:szCs w:val="22"/>
        </w:rPr>
        <w:t xml:space="preserve"> polaryzacyjno-dyfuzyjny, choć wymaga znacznie dłuższej perspektywy czasowej </w:t>
      </w:r>
      <w:r>
        <w:rPr>
          <w:szCs w:val="22"/>
        </w:rPr>
        <w:t>dla osiągniecia</w:t>
      </w:r>
      <w:r w:rsidRPr="00AD022E">
        <w:rPr>
          <w:szCs w:val="22"/>
        </w:rPr>
        <w:t xml:space="preserve"> pozytywnych zmian, jest właściwy.</w:t>
      </w:r>
      <w:r w:rsidR="00A82A3B">
        <w:rPr>
          <w:szCs w:val="22"/>
        </w:rPr>
        <w:t xml:space="preserve"> </w:t>
      </w:r>
    </w:p>
    <w:p w14:paraId="75691384" w14:textId="77777777" w:rsidR="00421A25" w:rsidRDefault="00421A25" w:rsidP="00421A25">
      <w:pPr>
        <w:rPr>
          <w:szCs w:val="22"/>
        </w:rPr>
      </w:pPr>
      <w:r w:rsidRPr="00ED2C54">
        <w:rPr>
          <w:szCs w:val="22"/>
        </w:rPr>
        <w:t xml:space="preserve">W </w:t>
      </w:r>
      <w:r>
        <w:rPr>
          <w:szCs w:val="22"/>
        </w:rPr>
        <w:t>planowanym nowym</w:t>
      </w:r>
      <w:r w:rsidRPr="00ED2C54">
        <w:rPr>
          <w:szCs w:val="22"/>
        </w:rPr>
        <w:t xml:space="preserve"> modelu kluczowe będzie zmniejszenie tych z</w:t>
      </w:r>
      <w:r>
        <w:rPr>
          <w:szCs w:val="22"/>
        </w:rPr>
        <w:t>różnicowań wewnątrzregionalnych</w:t>
      </w:r>
      <w:r w:rsidRPr="00ED2C54">
        <w:rPr>
          <w:szCs w:val="22"/>
        </w:rPr>
        <w:t xml:space="preserve"> m.in. poprzez wsparcie słabszych obszarów (nie tylko nadanie im impulsów rozwojowych</w:t>
      </w:r>
      <w:r>
        <w:rPr>
          <w:szCs w:val="22"/>
        </w:rPr>
        <w:t>,</w:t>
      </w:r>
      <w:r w:rsidRPr="00ED2C54">
        <w:rPr>
          <w:szCs w:val="22"/>
        </w:rPr>
        <w:t xml:space="preserve"> ale także wsparcie potencjału do ich absorpcji</w:t>
      </w:r>
      <w:r>
        <w:rPr>
          <w:szCs w:val="22"/>
        </w:rPr>
        <w:t>)</w:t>
      </w:r>
      <w:r w:rsidRPr="00ED2C54">
        <w:rPr>
          <w:szCs w:val="22"/>
        </w:rPr>
        <w:t>.</w:t>
      </w:r>
      <w:r>
        <w:rPr>
          <w:szCs w:val="22"/>
        </w:rPr>
        <w:t xml:space="preserve"> W KSRR</w:t>
      </w:r>
      <w:r>
        <w:rPr>
          <w:rFonts w:eastAsia="Calibri"/>
          <w:szCs w:val="18"/>
        </w:rPr>
        <w:t xml:space="preserve"> </w:t>
      </w:r>
      <w:r>
        <w:rPr>
          <w:szCs w:val="22"/>
        </w:rPr>
        <w:t>w</w:t>
      </w:r>
      <w:r w:rsidRPr="00ED2C54">
        <w:rPr>
          <w:szCs w:val="22"/>
        </w:rPr>
        <w:t xml:space="preserve">yznaczono dwa rodzaje </w:t>
      </w:r>
      <w:r>
        <w:rPr>
          <w:szCs w:val="22"/>
        </w:rPr>
        <w:t>obszarów:</w:t>
      </w:r>
    </w:p>
    <w:p w14:paraId="5B1EAE1B" w14:textId="77777777" w:rsidR="00421A25" w:rsidRPr="0086761E" w:rsidRDefault="00421A25" w:rsidP="003B060D">
      <w:pPr>
        <w:pStyle w:val="Akapitzlist"/>
        <w:numPr>
          <w:ilvl w:val="0"/>
          <w:numId w:val="33"/>
        </w:numPr>
        <w:spacing w:after="0"/>
        <w:rPr>
          <w:b/>
        </w:rPr>
      </w:pPr>
      <w:r w:rsidRPr="2CD63631">
        <w:rPr>
          <w:b/>
        </w:rPr>
        <w:t xml:space="preserve">OSI obligatoryjne </w:t>
      </w:r>
      <w:r>
        <w:t>tj. obszary zagrożone marginalizacją i miasta średnie tracące funkcje społeczno-gospodarcze – wspierane na poziomie krajowym i regionalnym (przy wykorzystaniu specjalnie ukierunkowanych na te obszary instrumentów) oraz</w:t>
      </w:r>
      <w:r w:rsidRPr="2CD63631">
        <w:rPr>
          <w:b/>
        </w:rPr>
        <w:t xml:space="preserve"> </w:t>
      </w:r>
    </w:p>
    <w:p w14:paraId="430A2517" w14:textId="77777777" w:rsidR="00421A25" w:rsidRPr="0086761E" w:rsidRDefault="00421A25">
      <w:pPr>
        <w:pStyle w:val="Akapitzlist"/>
        <w:numPr>
          <w:ilvl w:val="0"/>
          <w:numId w:val="33"/>
        </w:numPr>
        <w:rPr>
          <w:b/>
        </w:rPr>
      </w:pPr>
      <w:r w:rsidRPr="2CD63631">
        <w:rPr>
          <w:b/>
        </w:rPr>
        <w:t xml:space="preserve">OSI fakultatywne </w:t>
      </w:r>
      <w:r>
        <w:t xml:space="preserve">(Polska wschodnia, Śląsk i inne wytypowane na szczeblu lokalnym i regionalnym obszary). </w:t>
      </w:r>
    </w:p>
    <w:p w14:paraId="773DB0AE" w14:textId="05C8124A" w:rsidR="00421A25" w:rsidRPr="00D127BD" w:rsidRDefault="00421A25" w:rsidP="00421A25">
      <w:r w:rsidRPr="00ED2C54">
        <w:rPr>
          <w:szCs w:val="22"/>
        </w:rPr>
        <w:t>Pozostałe terytoria</w:t>
      </w:r>
      <w:r>
        <w:rPr>
          <w:szCs w:val="22"/>
        </w:rPr>
        <w:t>,</w:t>
      </w:r>
      <w:r w:rsidRPr="00ED2C54">
        <w:rPr>
          <w:szCs w:val="22"/>
        </w:rPr>
        <w:t xml:space="preserve"> nie wpisujące się w żadne z powyższych </w:t>
      </w:r>
      <w:r>
        <w:rPr>
          <w:szCs w:val="22"/>
        </w:rPr>
        <w:t xml:space="preserve">OSI, </w:t>
      </w:r>
      <w:r w:rsidRPr="00ED2C54">
        <w:rPr>
          <w:szCs w:val="22"/>
        </w:rPr>
        <w:t>także będą wspierane poprzez realizację działań horyzontalnych</w:t>
      </w:r>
      <w:r>
        <w:rPr>
          <w:szCs w:val="22"/>
        </w:rPr>
        <w:t xml:space="preserve">, </w:t>
      </w:r>
      <w:r w:rsidRPr="00ED2C54">
        <w:rPr>
          <w:szCs w:val="22"/>
        </w:rPr>
        <w:t xml:space="preserve">które przyczynić się mają m. in. do </w:t>
      </w:r>
      <w:r w:rsidRPr="00421A25">
        <w:rPr>
          <w:szCs w:val="22"/>
        </w:rPr>
        <w:t>(…)</w:t>
      </w:r>
      <w:r w:rsidRPr="00ED2C54">
        <w:rPr>
          <w:i/>
          <w:szCs w:val="22"/>
        </w:rPr>
        <w:t xml:space="preserve"> wzrostu konkurencyjności polskich regionów, poprzez identyfikowanie i wykorzystywan</w:t>
      </w:r>
      <w:r>
        <w:rPr>
          <w:i/>
          <w:szCs w:val="22"/>
        </w:rPr>
        <w:t xml:space="preserve">ie potencjałów terytorialnych </w:t>
      </w:r>
      <w:r w:rsidRPr="00E468EB">
        <w:rPr>
          <w:szCs w:val="22"/>
        </w:rPr>
        <w:t>(</w:t>
      </w:r>
      <w:r>
        <w:rPr>
          <w:i/>
          <w:szCs w:val="22"/>
        </w:rPr>
        <w:t>KSRR 2018</w:t>
      </w:r>
      <w:r w:rsidRPr="00E468EB">
        <w:rPr>
          <w:szCs w:val="22"/>
        </w:rPr>
        <w:t>, s.38)</w:t>
      </w:r>
      <w:r w:rsidRPr="00ED2C54">
        <w:rPr>
          <w:szCs w:val="22"/>
        </w:rPr>
        <w:t xml:space="preserve">. </w:t>
      </w:r>
      <w:r>
        <w:rPr>
          <w:szCs w:val="22"/>
        </w:rPr>
        <w:t>D</w:t>
      </w:r>
      <w:r w:rsidRPr="00ED2C54">
        <w:rPr>
          <w:szCs w:val="22"/>
        </w:rPr>
        <w:t xml:space="preserve">ziałania te będą miały </w:t>
      </w:r>
      <w:r>
        <w:rPr>
          <w:szCs w:val="22"/>
        </w:rPr>
        <w:t>jednak</w:t>
      </w:r>
      <w:r w:rsidRPr="00ED2C54">
        <w:rPr>
          <w:szCs w:val="22"/>
        </w:rPr>
        <w:t xml:space="preserve"> bardziej wybiórczy charakter i skupiać się będą na kluczowych przewagach</w:t>
      </w:r>
      <w:r>
        <w:rPr>
          <w:szCs w:val="22"/>
        </w:rPr>
        <w:t>. I</w:t>
      </w:r>
      <w:r w:rsidRPr="00ED2C54">
        <w:rPr>
          <w:szCs w:val="22"/>
        </w:rPr>
        <w:t xml:space="preserve">stotne w tym kontekście było wytypowanie przez </w:t>
      </w:r>
      <w:r>
        <w:rPr>
          <w:szCs w:val="22"/>
        </w:rPr>
        <w:t>samorządy</w:t>
      </w:r>
      <w:r w:rsidRPr="00ED2C54">
        <w:rPr>
          <w:szCs w:val="22"/>
        </w:rPr>
        <w:t xml:space="preserve"> inteligentnych specjalizacji regionalnych</w:t>
      </w:r>
      <w:r>
        <w:rPr>
          <w:szCs w:val="22"/>
        </w:rPr>
        <w:t>.</w:t>
      </w:r>
    </w:p>
    <w:p w14:paraId="14AFEE70" w14:textId="77777777" w:rsidR="00421A25" w:rsidRPr="0086761E" w:rsidRDefault="00421A25" w:rsidP="00421A25">
      <w:pPr>
        <w:rPr>
          <w:rFonts w:eastAsia="Calibri"/>
        </w:rPr>
      </w:pPr>
      <w:r w:rsidRPr="0086761E">
        <w:rPr>
          <w:rFonts w:eastAsia="Calibri"/>
        </w:rPr>
        <w:t>W Wielkopols</w:t>
      </w:r>
      <w:r>
        <w:rPr>
          <w:rFonts w:eastAsia="Calibri"/>
        </w:rPr>
        <w:t>ce</w:t>
      </w:r>
      <w:r w:rsidRPr="0086761E">
        <w:rPr>
          <w:rFonts w:eastAsia="Calibri"/>
        </w:rPr>
        <w:t xml:space="preserve"> zidentyfikowano ni</w:t>
      </w:r>
      <w:r>
        <w:rPr>
          <w:rFonts w:eastAsia="Calibri"/>
        </w:rPr>
        <w:t>eliczną grupę obszarów wpisującą</w:t>
      </w:r>
      <w:r w:rsidRPr="0086761E">
        <w:rPr>
          <w:rFonts w:eastAsia="Calibri"/>
        </w:rPr>
        <w:t xml:space="preserve"> się w OSI obligatoryjne. Przede wszystkim wskazano 7 miast jako obszary tracące funkcje społeczno-gospodarczą</w:t>
      </w:r>
      <w:r w:rsidRPr="0086761E">
        <w:t xml:space="preserve"> </w:t>
      </w:r>
      <w:r>
        <w:t>(</w:t>
      </w:r>
      <w:r w:rsidRPr="0086761E">
        <w:rPr>
          <w:rFonts w:eastAsia="Calibri"/>
        </w:rPr>
        <w:t>Konin, Koło, Złotów, Turek, Piła, Gniezno, Pleszew</w:t>
      </w:r>
      <w:r>
        <w:rPr>
          <w:rFonts w:eastAsia="Calibri"/>
        </w:rPr>
        <w:t>). Obszary zagrożone marginalizacją, przede wszystkim społeczną, wyznaczone zostały we wschodniej części subregionu konińskiego, w północnej części subregionu pilskiego i także w jego południowo-zachodniej części (tutaj prócz marginalizacji społecznej wskazano także obszar zagrożony marginalizacją ekonomiczną). Warto podkreślić, że z poziomu krajowego wyznaczono w tych częściach województwa tylko pojedyncze gminy, co nie odzwierciedla rzeczywistych potrzeb i zakresu interwencji w omawianych częściach województwa.</w:t>
      </w:r>
    </w:p>
    <w:p w14:paraId="3C5AEF77" w14:textId="64B5EE14" w:rsidR="00831FBC" w:rsidRDefault="00421A25" w:rsidP="00421A25">
      <w:pPr>
        <w:rPr>
          <w:lang w:eastAsia="pl-PL"/>
        </w:rPr>
      </w:pPr>
      <w:r w:rsidRPr="00972C50">
        <w:rPr>
          <w:lang w:eastAsia="pl-PL"/>
        </w:rPr>
        <w:t xml:space="preserve">Obecnie wyznaczone obszary interwencji </w:t>
      </w:r>
      <w:r>
        <w:rPr>
          <w:lang w:eastAsia="pl-PL"/>
        </w:rPr>
        <w:t>SRWW 2020</w:t>
      </w:r>
      <w:r w:rsidRPr="00972C50">
        <w:rPr>
          <w:lang w:eastAsia="pl-PL"/>
        </w:rPr>
        <w:t xml:space="preserve"> </w:t>
      </w:r>
      <w:r>
        <w:rPr>
          <w:lang w:eastAsia="pl-PL"/>
        </w:rPr>
        <w:t>odwołują się do wciąż obowiązującego KSRR i Koncepcji Przestrzennego Zagospodarowania Kraju, co tłumaczy dużą liczbę OSI. Biorąc pod uwagę fakt, iż projekt zaktualizowanej KSRR ogranicza znacząco liczbę OSI, a ponadto mają być zlikwidowane plany zagospodarowania województw, można sformułować kilka tez dotyczących kształtu OSI w aktualizowanej SRWW 2020 (o tym poniżej). W pierwszej kolejności przeprowadzono analizę dotychczasowego podejścia do terytorializacji w aktualnej SRWW 2020, przy czym podkreślenia wymaga fakt, że nie jest to jeszcze definitywna ocena konieczności zastosowania lub odstąpienia od danego obszaru wsparcia (</w:t>
      </w:r>
      <w:r>
        <w:rPr>
          <w:lang w:eastAsia="pl-PL"/>
        </w:rPr>
        <w:fldChar w:fldCharType="begin"/>
      </w:r>
      <w:r>
        <w:rPr>
          <w:lang w:eastAsia="pl-PL"/>
        </w:rPr>
        <w:instrText xml:space="preserve"> REF _Ref536617043 \h </w:instrText>
      </w:r>
      <w:r>
        <w:rPr>
          <w:lang w:eastAsia="pl-PL"/>
        </w:rPr>
      </w:r>
      <w:r>
        <w:rPr>
          <w:lang w:eastAsia="pl-PL"/>
        </w:rPr>
        <w:fldChar w:fldCharType="separate"/>
      </w:r>
      <w:r w:rsidR="007F4FA2" w:rsidRPr="00F236F2">
        <w:t xml:space="preserve">Tabela </w:t>
      </w:r>
      <w:r w:rsidR="007F4FA2">
        <w:rPr>
          <w:noProof/>
        </w:rPr>
        <w:t>13</w:t>
      </w:r>
      <w:r>
        <w:rPr>
          <w:lang w:eastAsia="pl-PL"/>
        </w:rPr>
        <w:fldChar w:fldCharType="end"/>
      </w:r>
      <w:r>
        <w:rPr>
          <w:lang w:eastAsia="pl-PL"/>
        </w:rPr>
        <w:t>).</w:t>
      </w:r>
    </w:p>
    <w:p w14:paraId="07A18B97" w14:textId="77777777" w:rsidR="00831FBC" w:rsidRDefault="00831FBC">
      <w:pPr>
        <w:spacing w:after="0" w:line="240" w:lineRule="auto"/>
        <w:jc w:val="left"/>
        <w:rPr>
          <w:lang w:eastAsia="pl-PL"/>
        </w:rPr>
      </w:pPr>
      <w:r>
        <w:rPr>
          <w:lang w:eastAsia="pl-PL"/>
        </w:rPr>
        <w:br w:type="page"/>
      </w:r>
    </w:p>
    <w:p w14:paraId="5B74CDC9" w14:textId="77777777" w:rsidR="00421A25" w:rsidRDefault="00421A25" w:rsidP="00421A25">
      <w:pPr>
        <w:rPr>
          <w:lang w:eastAsia="pl-PL"/>
        </w:rPr>
      </w:pPr>
    </w:p>
    <w:p w14:paraId="2B077F1F" w14:textId="3AF6F035" w:rsidR="00421A25" w:rsidRPr="00F236F2" w:rsidRDefault="00421A25" w:rsidP="00421A25">
      <w:pPr>
        <w:pStyle w:val="Legenda"/>
        <w:rPr>
          <w:color w:val="000000" w:themeColor="text1"/>
        </w:rPr>
      </w:pPr>
      <w:bookmarkStart w:id="146" w:name="_Ref536617043"/>
      <w:bookmarkStart w:id="147" w:name="_Toc5699546"/>
      <w:r w:rsidRPr="00F236F2">
        <w:rPr>
          <w:color w:val="000000" w:themeColor="text1"/>
        </w:rPr>
        <w:t xml:space="preserve">Tabela </w:t>
      </w:r>
      <w:r w:rsidRPr="1FA2818E">
        <w:fldChar w:fldCharType="begin"/>
      </w:r>
      <w:r w:rsidRPr="00F236F2">
        <w:rPr>
          <w:noProof/>
          <w:color w:val="000000" w:themeColor="text1"/>
        </w:rPr>
        <w:instrText xml:space="preserve"> SEQ Tabela \* ARABIC </w:instrText>
      </w:r>
      <w:r w:rsidRPr="1FA2818E">
        <w:rPr>
          <w:noProof/>
          <w:color w:val="000000" w:themeColor="text1"/>
        </w:rPr>
        <w:fldChar w:fldCharType="separate"/>
      </w:r>
      <w:r w:rsidR="007F4FA2">
        <w:rPr>
          <w:noProof/>
          <w:color w:val="000000" w:themeColor="text1"/>
        </w:rPr>
        <w:t>13</w:t>
      </w:r>
      <w:r w:rsidRPr="1FA2818E">
        <w:fldChar w:fldCharType="end"/>
      </w:r>
      <w:bookmarkEnd w:id="146"/>
      <w:r w:rsidRPr="00F236F2">
        <w:rPr>
          <w:color w:val="000000" w:themeColor="text1"/>
        </w:rPr>
        <w:t>. Ocena terytorializacji celów SRWW 2020</w:t>
      </w:r>
      <w:bookmarkEnd w:id="147"/>
      <w:r w:rsidRPr="00F236F2">
        <w:rPr>
          <w:color w:val="000000" w:themeColor="text1"/>
        </w:rPr>
        <w:t xml:space="preserve"> </w:t>
      </w:r>
    </w:p>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ela 12. Ocena terytorializacji celów SRWW 2020 "/>
        <w:tblDescription w:val="Tabela przedstawia obszary wsparcia zdelimitowane na potrzeby wdrażania celów Strategii, a także komenatrze do nich, w tym m.in. czy są odpowiednio wznaczone, jakie zmiany należy uwzględnić w nowej strategii rozwoju województwa w zakresie terytorializacji, które obszary należy pominąć, a na które położyć większy nacisk."/>
      </w:tblPr>
      <w:tblGrid>
        <w:gridCol w:w="1418"/>
        <w:gridCol w:w="2105"/>
        <w:gridCol w:w="5549"/>
      </w:tblGrid>
      <w:tr w:rsidR="00421A25" w:rsidRPr="00EB1427" w14:paraId="1EECAF9F" w14:textId="77777777" w:rsidTr="00624AA4">
        <w:trPr>
          <w:tblHeader/>
        </w:trPr>
        <w:tc>
          <w:tcPr>
            <w:tcW w:w="1418" w:type="dxa"/>
            <w:tcBorders>
              <w:bottom w:val="single" w:sz="2" w:space="0" w:color="F6BB00"/>
            </w:tcBorders>
            <w:shd w:val="clear" w:color="auto" w:fill="F6BB00"/>
          </w:tcPr>
          <w:p w14:paraId="59A49FB4" w14:textId="77777777" w:rsidR="00421A25" w:rsidRDefault="00421A25" w:rsidP="000B3274">
            <w:pPr>
              <w:spacing w:after="0" w:line="240" w:lineRule="auto"/>
              <w:jc w:val="center"/>
              <w:rPr>
                <w:b/>
                <w:sz w:val="18"/>
                <w:szCs w:val="18"/>
                <w:lang w:eastAsia="pl-PL"/>
              </w:rPr>
            </w:pPr>
            <w:r>
              <w:rPr>
                <w:b/>
                <w:sz w:val="18"/>
                <w:szCs w:val="18"/>
                <w:lang w:eastAsia="pl-PL"/>
              </w:rPr>
              <w:t>Obszar wsparcia</w:t>
            </w:r>
          </w:p>
        </w:tc>
        <w:tc>
          <w:tcPr>
            <w:tcW w:w="2105" w:type="dxa"/>
            <w:tcBorders>
              <w:bottom w:val="single" w:sz="2" w:space="0" w:color="F6BB00"/>
            </w:tcBorders>
            <w:shd w:val="clear" w:color="auto" w:fill="F6BB00"/>
          </w:tcPr>
          <w:p w14:paraId="1B8F9542" w14:textId="77777777" w:rsidR="00421A25" w:rsidRDefault="00421A25" w:rsidP="000B3274">
            <w:pPr>
              <w:spacing w:after="0" w:line="240" w:lineRule="auto"/>
              <w:jc w:val="center"/>
              <w:rPr>
                <w:b/>
                <w:sz w:val="18"/>
                <w:szCs w:val="18"/>
                <w:lang w:eastAsia="pl-PL"/>
              </w:rPr>
            </w:pPr>
            <w:r>
              <w:rPr>
                <w:b/>
                <w:sz w:val="18"/>
                <w:szCs w:val="18"/>
                <w:lang w:eastAsia="pl-PL"/>
              </w:rPr>
              <w:t>Zakres terytorialny</w:t>
            </w:r>
          </w:p>
        </w:tc>
        <w:tc>
          <w:tcPr>
            <w:tcW w:w="5549" w:type="dxa"/>
            <w:tcBorders>
              <w:bottom w:val="single" w:sz="2" w:space="0" w:color="F6BB00"/>
            </w:tcBorders>
            <w:shd w:val="clear" w:color="auto" w:fill="F6BB00"/>
          </w:tcPr>
          <w:p w14:paraId="6E5DC8C9" w14:textId="77777777" w:rsidR="00421A25" w:rsidRDefault="00421A25" w:rsidP="000B3274">
            <w:pPr>
              <w:spacing w:after="0" w:line="240" w:lineRule="auto"/>
              <w:jc w:val="center"/>
              <w:rPr>
                <w:b/>
                <w:sz w:val="18"/>
                <w:szCs w:val="18"/>
                <w:lang w:eastAsia="pl-PL"/>
              </w:rPr>
            </w:pPr>
            <w:r>
              <w:rPr>
                <w:b/>
                <w:sz w:val="18"/>
                <w:szCs w:val="18"/>
                <w:lang w:eastAsia="pl-PL"/>
              </w:rPr>
              <w:t>Uwagi</w:t>
            </w:r>
          </w:p>
        </w:tc>
      </w:tr>
      <w:tr w:rsidR="00421A25" w:rsidRPr="00EB1427" w14:paraId="6FFBC223" w14:textId="77777777" w:rsidTr="00624AA4">
        <w:tc>
          <w:tcPr>
            <w:tcW w:w="1418" w:type="dxa"/>
            <w:tcBorders>
              <w:top w:val="single" w:sz="2" w:space="0" w:color="F6BB00"/>
              <w:bottom w:val="single" w:sz="4" w:space="0" w:color="F6BB00"/>
            </w:tcBorders>
            <w:vAlign w:val="center"/>
          </w:tcPr>
          <w:p w14:paraId="791A301D" w14:textId="77777777" w:rsidR="00421A25" w:rsidRPr="00EB1427" w:rsidRDefault="00421A25" w:rsidP="000B3274">
            <w:pPr>
              <w:spacing w:after="0" w:line="240" w:lineRule="auto"/>
              <w:jc w:val="left"/>
              <w:rPr>
                <w:sz w:val="18"/>
                <w:szCs w:val="18"/>
                <w:lang w:eastAsia="pl-PL"/>
              </w:rPr>
            </w:pPr>
            <w:r w:rsidRPr="004D03B2">
              <w:rPr>
                <w:sz w:val="18"/>
                <w:szCs w:val="18"/>
                <w:lang w:eastAsia="pl-PL"/>
              </w:rPr>
              <w:t>Szczególne preferencje na obszarach o najniższej dostępności transportowej do ośrodka wojewódzkiego</w:t>
            </w:r>
          </w:p>
        </w:tc>
        <w:tc>
          <w:tcPr>
            <w:tcW w:w="2105" w:type="dxa"/>
            <w:tcBorders>
              <w:top w:val="single" w:sz="2" w:space="0" w:color="F6BB00"/>
              <w:bottom w:val="single" w:sz="4" w:space="0" w:color="F6BB00"/>
            </w:tcBorders>
            <w:vAlign w:val="center"/>
          </w:tcPr>
          <w:p w14:paraId="7CB4C211" w14:textId="77777777" w:rsidR="00421A25" w:rsidRPr="00942877" w:rsidRDefault="00421A25" w:rsidP="000B3274">
            <w:pPr>
              <w:spacing w:after="0" w:line="240" w:lineRule="auto"/>
              <w:jc w:val="left"/>
              <w:rPr>
                <w:sz w:val="18"/>
                <w:szCs w:val="18"/>
                <w:lang w:eastAsia="pl-PL"/>
              </w:rPr>
            </w:pPr>
            <w:r>
              <w:rPr>
                <w:noProof/>
                <w:sz w:val="18"/>
                <w:szCs w:val="18"/>
                <w:lang w:eastAsia="pl-PL"/>
              </w:rPr>
              <w:drawing>
                <wp:inline distT="0" distB="0" distL="0" distR="0" wp14:anchorId="4521012F" wp14:editId="1E37406B">
                  <wp:extent cx="900000" cy="1118969"/>
                  <wp:effectExtent l="0" t="0" r="0" b="508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00000" cy="1118969"/>
                          </a:xfrm>
                          <a:prstGeom prst="rect">
                            <a:avLst/>
                          </a:prstGeom>
                          <a:noFill/>
                        </pic:spPr>
                      </pic:pic>
                    </a:graphicData>
                  </a:graphic>
                </wp:inline>
              </w:drawing>
            </w:r>
          </w:p>
        </w:tc>
        <w:tc>
          <w:tcPr>
            <w:tcW w:w="5549" w:type="dxa"/>
            <w:tcBorders>
              <w:top w:val="single" w:sz="2" w:space="0" w:color="F6BB00"/>
              <w:bottom w:val="single" w:sz="4" w:space="0" w:color="F6BB00"/>
            </w:tcBorders>
            <w:vAlign w:val="center"/>
          </w:tcPr>
          <w:p w14:paraId="3D85F7FE" w14:textId="77777777" w:rsidR="00421A25" w:rsidRDefault="00421A25" w:rsidP="00624AA4">
            <w:pPr>
              <w:spacing w:before="40" w:after="40" w:line="240" w:lineRule="auto"/>
              <w:rPr>
                <w:sz w:val="18"/>
                <w:szCs w:val="18"/>
                <w:lang w:eastAsia="pl-PL"/>
              </w:rPr>
            </w:pPr>
            <w:r>
              <w:rPr>
                <w:sz w:val="18"/>
                <w:szCs w:val="18"/>
                <w:lang w:eastAsia="pl-PL"/>
              </w:rPr>
              <w:t>Wyznaczone obszary i zaadresowane do nich cele są właściwe, jednak obiektywnie obszary położone dalej od danego ośrodka będą zazwyczaj miały dłuższy czas dojazdu (w tym wypadku samochodem).</w:t>
            </w:r>
          </w:p>
          <w:p w14:paraId="5787A1D1" w14:textId="77777777" w:rsidR="00421A25" w:rsidRDefault="00421A25" w:rsidP="00624AA4">
            <w:pPr>
              <w:spacing w:before="40" w:after="40" w:line="240" w:lineRule="auto"/>
              <w:rPr>
                <w:sz w:val="18"/>
                <w:szCs w:val="18"/>
                <w:lang w:eastAsia="pl-PL"/>
              </w:rPr>
            </w:pPr>
            <w:r>
              <w:rPr>
                <w:sz w:val="18"/>
                <w:szCs w:val="18"/>
                <w:lang w:eastAsia="pl-PL"/>
              </w:rPr>
              <w:t>Dostępność transportowa do ośrodka wojewódzkiego mierzona czasem dojazdu samochodem budzi pewne wątpliwości:</w:t>
            </w:r>
          </w:p>
          <w:p w14:paraId="0957A0E7" w14:textId="77777777" w:rsidR="00421A25" w:rsidRDefault="00421A25" w:rsidP="003B060D">
            <w:pPr>
              <w:pStyle w:val="Akapitzlist"/>
              <w:numPr>
                <w:ilvl w:val="0"/>
                <w:numId w:val="34"/>
              </w:numPr>
              <w:spacing w:before="40" w:after="40" w:line="240" w:lineRule="auto"/>
              <w:ind w:left="338" w:hanging="283"/>
              <w:rPr>
                <w:sz w:val="18"/>
                <w:szCs w:val="18"/>
                <w:lang w:eastAsia="pl-PL"/>
              </w:rPr>
            </w:pPr>
            <w:r>
              <w:rPr>
                <w:sz w:val="18"/>
                <w:szCs w:val="18"/>
                <w:lang w:eastAsia="pl-PL"/>
              </w:rPr>
              <w:t>lepsze byłoby wskazanie złożonej dostępności, uwzględniającej czas dojazdu samochodem oraz komunikacją zbiorową;</w:t>
            </w:r>
          </w:p>
          <w:p w14:paraId="01C46675" w14:textId="77777777" w:rsidR="00421A25" w:rsidRDefault="00421A25">
            <w:pPr>
              <w:pStyle w:val="Akapitzlist"/>
              <w:numPr>
                <w:ilvl w:val="0"/>
                <w:numId w:val="34"/>
              </w:numPr>
              <w:spacing w:before="40" w:after="40" w:line="240" w:lineRule="auto"/>
              <w:ind w:left="338" w:hanging="283"/>
              <w:rPr>
                <w:sz w:val="18"/>
                <w:szCs w:val="18"/>
                <w:lang w:eastAsia="pl-PL"/>
              </w:rPr>
            </w:pPr>
            <w:r>
              <w:rPr>
                <w:sz w:val="18"/>
                <w:szCs w:val="18"/>
                <w:lang w:eastAsia="pl-PL"/>
              </w:rPr>
              <w:t>często, z punktu widzenia mieszkańców nie czas dojazdu jest najważniejszy, a częstotliwość połączeń transportu zbiorowego;</w:t>
            </w:r>
          </w:p>
          <w:p w14:paraId="669B543E" w14:textId="77777777" w:rsidR="00421A25" w:rsidRPr="002564A2" w:rsidRDefault="00421A25">
            <w:pPr>
              <w:pStyle w:val="Akapitzlist"/>
              <w:numPr>
                <w:ilvl w:val="0"/>
                <w:numId w:val="34"/>
              </w:numPr>
              <w:spacing w:before="40" w:after="40" w:line="240" w:lineRule="auto"/>
              <w:ind w:left="338" w:hanging="283"/>
              <w:rPr>
                <w:sz w:val="18"/>
                <w:szCs w:val="18"/>
                <w:lang w:eastAsia="pl-PL"/>
              </w:rPr>
            </w:pPr>
            <w:r>
              <w:rPr>
                <w:sz w:val="18"/>
                <w:szCs w:val="18"/>
                <w:lang w:eastAsia="pl-PL"/>
              </w:rPr>
              <w:t xml:space="preserve">mieszkańcy i przedsiębiorcy obszarów peryferyjnych częściej oczekują lepszych połączeń w skali subregionu, niż w relacji ze stolicą województwa, zatem warto pomyśleć o mierzeniu również dostępności do np. ośrodków powiatowych. </w:t>
            </w:r>
          </w:p>
        </w:tc>
      </w:tr>
      <w:tr w:rsidR="00421A25" w:rsidRPr="00EB1427" w14:paraId="24C99D7B" w14:textId="77777777" w:rsidTr="00624AA4">
        <w:tc>
          <w:tcPr>
            <w:tcW w:w="1418" w:type="dxa"/>
            <w:tcBorders>
              <w:top w:val="single" w:sz="4" w:space="0" w:color="F6BB00"/>
              <w:bottom w:val="single" w:sz="4" w:space="0" w:color="F6BB00"/>
            </w:tcBorders>
            <w:vAlign w:val="center"/>
          </w:tcPr>
          <w:p w14:paraId="2853B3F9" w14:textId="77777777" w:rsidR="00421A25" w:rsidRPr="00EB1427" w:rsidRDefault="00421A25" w:rsidP="000B3274">
            <w:pPr>
              <w:spacing w:after="0" w:line="240" w:lineRule="auto"/>
              <w:jc w:val="left"/>
              <w:rPr>
                <w:sz w:val="18"/>
                <w:szCs w:val="18"/>
                <w:lang w:eastAsia="pl-PL"/>
              </w:rPr>
            </w:pPr>
            <w:r w:rsidRPr="004D03B2">
              <w:rPr>
                <w:sz w:val="18"/>
                <w:szCs w:val="18"/>
                <w:lang w:eastAsia="pl-PL"/>
              </w:rPr>
              <w:t>Szczególne preferencje na obszarach cennych przyrodniczo</w:t>
            </w:r>
          </w:p>
        </w:tc>
        <w:tc>
          <w:tcPr>
            <w:tcW w:w="2105" w:type="dxa"/>
            <w:tcBorders>
              <w:top w:val="single" w:sz="4" w:space="0" w:color="F6BB00"/>
              <w:bottom w:val="single" w:sz="4" w:space="0" w:color="F6BB00"/>
            </w:tcBorders>
            <w:vAlign w:val="center"/>
          </w:tcPr>
          <w:p w14:paraId="2E2C29A8" w14:textId="77777777" w:rsidR="00421A25" w:rsidRPr="00942877" w:rsidRDefault="00421A25" w:rsidP="000B3274">
            <w:pPr>
              <w:spacing w:after="0" w:line="240" w:lineRule="auto"/>
              <w:jc w:val="left"/>
              <w:rPr>
                <w:sz w:val="18"/>
                <w:szCs w:val="18"/>
                <w:lang w:eastAsia="pl-PL"/>
              </w:rPr>
            </w:pPr>
            <w:r>
              <w:rPr>
                <w:noProof/>
                <w:sz w:val="18"/>
                <w:szCs w:val="18"/>
                <w:lang w:eastAsia="pl-PL"/>
              </w:rPr>
              <w:drawing>
                <wp:inline distT="0" distB="0" distL="0" distR="0" wp14:anchorId="422960CA" wp14:editId="4872EDEA">
                  <wp:extent cx="900000" cy="1089759"/>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0000" cy="1089759"/>
                          </a:xfrm>
                          <a:prstGeom prst="rect">
                            <a:avLst/>
                          </a:prstGeom>
                          <a:noFill/>
                        </pic:spPr>
                      </pic:pic>
                    </a:graphicData>
                  </a:graphic>
                </wp:inline>
              </w:drawing>
            </w:r>
          </w:p>
        </w:tc>
        <w:tc>
          <w:tcPr>
            <w:tcW w:w="5549" w:type="dxa"/>
            <w:tcBorders>
              <w:top w:val="single" w:sz="4" w:space="0" w:color="F6BB00"/>
              <w:bottom w:val="single" w:sz="4" w:space="0" w:color="F6BB00"/>
            </w:tcBorders>
            <w:vAlign w:val="center"/>
          </w:tcPr>
          <w:p w14:paraId="6F46CF78" w14:textId="77777777" w:rsidR="00421A25" w:rsidRDefault="00421A25" w:rsidP="00E31913">
            <w:pPr>
              <w:spacing w:before="40" w:after="40" w:line="240" w:lineRule="auto"/>
              <w:rPr>
                <w:sz w:val="18"/>
                <w:szCs w:val="18"/>
                <w:lang w:eastAsia="pl-PL"/>
              </w:rPr>
            </w:pPr>
            <w:r>
              <w:rPr>
                <w:sz w:val="18"/>
                <w:szCs w:val="18"/>
                <w:lang w:eastAsia="pl-PL"/>
              </w:rPr>
              <w:t xml:space="preserve">Czy zasadne jest wyznaczanie obszaru, który obejmuje terytorium całego województwa? </w:t>
            </w:r>
          </w:p>
          <w:p w14:paraId="0A922CB4" w14:textId="77777777" w:rsidR="00421A25" w:rsidRPr="00942877" w:rsidRDefault="00421A25" w:rsidP="00E31913">
            <w:pPr>
              <w:spacing w:before="40" w:after="40" w:line="240" w:lineRule="auto"/>
              <w:rPr>
                <w:sz w:val="18"/>
                <w:szCs w:val="18"/>
                <w:lang w:eastAsia="pl-PL"/>
              </w:rPr>
            </w:pPr>
            <w:r>
              <w:rPr>
                <w:sz w:val="18"/>
                <w:szCs w:val="18"/>
                <w:lang w:eastAsia="pl-PL"/>
              </w:rPr>
              <w:t xml:space="preserve">Delimitacja obszaru jest związana z wyznaczonymi w KPZK obszarami funkcjonalnymi. Kryteria delimitacji uwzględniające szereg powiązań powierzchniowych, węzłowych i liniowych być może przyczyniły się do tego, że nie zidentyfikowano gmin, które do ww. struktur nie należą. Zagadnienia środowiskowe są jednak niezwykle istotne i należy je właściwie zaakcentować w dokumencie. Być może powinny stanowić cel horyzontalny – w tym przypadku nie koncentrując się jednak tylko na obszarach cennych przyrodniczo, ale szerszym ujęciu tematu. </w:t>
            </w:r>
          </w:p>
        </w:tc>
      </w:tr>
      <w:tr w:rsidR="00421A25" w:rsidRPr="00EB1427" w14:paraId="2C3C98C0" w14:textId="77777777" w:rsidTr="00624AA4">
        <w:tc>
          <w:tcPr>
            <w:tcW w:w="1418" w:type="dxa"/>
            <w:tcBorders>
              <w:top w:val="single" w:sz="4" w:space="0" w:color="F6BB00"/>
              <w:bottom w:val="single" w:sz="4" w:space="0" w:color="F6BB00"/>
            </w:tcBorders>
            <w:vAlign w:val="center"/>
          </w:tcPr>
          <w:p w14:paraId="65AB31FA" w14:textId="77777777" w:rsidR="00421A25" w:rsidRPr="00EB1427" w:rsidRDefault="00421A25" w:rsidP="000B3274">
            <w:pPr>
              <w:spacing w:after="0" w:line="240" w:lineRule="auto"/>
              <w:jc w:val="left"/>
              <w:rPr>
                <w:sz w:val="18"/>
                <w:szCs w:val="18"/>
                <w:lang w:eastAsia="pl-PL"/>
              </w:rPr>
            </w:pPr>
            <w:r w:rsidRPr="004D03B2">
              <w:rPr>
                <w:sz w:val="18"/>
                <w:szCs w:val="18"/>
                <w:lang w:eastAsia="pl-PL"/>
              </w:rPr>
              <w:t>Szczególne preferencje na obszarach cennych krajobrazowo</w:t>
            </w:r>
          </w:p>
        </w:tc>
        <w:tc>
          <w:tcPr>
            <w:tcW w:w="2105" w:type="dxa"/>
            <w:tcBorders>
              <w:top w:val="single" w:sz="4" w:space="0" w:color="F6BB00"/>
              <w:bottom w:val="single" w:sz="4" w:space="0" w:color="F6BB00"/>
            </w:tcBorders>
            <w:vAlign w:val="center"/>
          </w:tcPr>
          <w:p w14:paraId="73A929CB" w14:textId="77777777" w:rsidR="00421A25" w:rsidRPr="00942877" w:rsidRDefault="00421A25" w:rsidP="000B3274">
            <w:pPr>
              <w:spacing w:after="0" w:line="240" w:lineRule="auto"/>
              <w:jc w:val="left"/>
              <w:rPr>
                <w:sz w:val="18"/>
                <w:szCs w:val="18"/>
                <w:lang w:eastAsia="pl-PL"/>
              </w:rPr>
            </w:pPr>
            <w:r>
              <w:rPr>
                <w:noProof/>
                <w:sz w:val="18"/>
                <w:szCs w:val="18"/>
                <w:lang w:eastAsia="pl-PL"/>
              </w:rPr>
              <w:drawing>
                <wp:inline distT="0" distB="0" distL="0" distR="0" wp14:anchorId="7C1DFD40" wp14:editId="258978E3">
                  <wp:extent cx="900000" cy="1070193"/>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00000" cy="1070193"/>
                          </a:xfrm>
                          <a:prstGeom prst="rect">
                            <a:avLst/>
                          </a:prstGeom>
                          <a:noFill/>
                        </pic:spPr>
                      </pic:pic>
                    </a:graphicData>
                  </a:graphic>
                </wp:inline>
              </w:drawing>
            </w:r>
          </w:p>
        </w:tc>
        <w:tc>
          <w:tcPr>
            <w:tcW w:w="5549" w:type="dxa"/>
            <w:tcBorders>
              <w:top w:val="single" w:sz="4" w:space="0" w:color="F6BB00"/>
              <w:bottom w:val="single" w:sz="4" w:space="0" w:color="F6BB00"/>
            </w:tcBorders>
            <w:vAlign w:val="center"/>
          </w:tcPr>
          <w:p w14:paraId="3BB5591E" w14:textId="77777777" w:rsidR="00421A25" w:rsidRDefault="00421A25" w:rsidP="00E31913">
            <w:pPr>
              <w:spacing w:before="40" w:after="40" w:line="240" w:lineRule="auto"/>
              <w:rPr>
                <w:sz w:val="18"/>
                <w:szCs w:val="18"/>
                <w:lang w:eastAsia="pl-PL"/>
              </w:rPr>
            </w:pPr>
            <w:r>
              <w:rPr>
                <w:sz w:val="18"/>
                <w:szCs w:val="18"/>
                <w:lang w:eastAsia="pl-PL"/>
              </w:rPr>
              <w:t>Geneza obszaru także powiązana jest z obszarami funkcjonalnymi zdefiniowanymi w KPZK. Ochrona krajobrazu jak wynika z zasięgu zdelimitowanego obszaru i ze względu na jej istotne znaczenie powinna przyjąć charakter horyzontalny.</w:t>
            </w:r>
          </w:p>
          <w:p w14:paraId="37289DDB" w14:textId="77777777" w:rsidR="00421A25" w:rsidRPr="00942877" w:rsidRDefault="00421A25" w:rsidP="00E31913">
            <w:pPr>
              <w:spacing w:before="40" w:after="40" w:line="240" w:lineRule="auto"/>
              <w:rPr>
                <w:sz w:val="18"/>
                <w:szCs w:val="18"/>
                <w:lang w:eastAsia="pl-PL"/>
              </w:rPr>
            </w:pPr>
            <w:r>
              <w:rPr>
                <w:sz w:val="18"/>
                <w:szCs w:val="18"/>
                <w:lang w:eastAsia="pl-PL"/>
              </w:rPr>
              <w:t xml:space="preserve">Jednocześnie w związku z planowanymi w najbliższym czasie audytami krajobrazowymi (w wyniku których zostaną delimitowane obszary priorytetowe) wyznaczanie takiego obszaru – do czasu przeprowadzenia audytu – jest niepożądane. </w:t>
            </w:r>
          </w:p>
        </w:tc>
      </w:tr>
      <w:tr w:rsidR="00421A25" w:rsidRPr="00EB1427" w14:paraId="693B8F41" w14:textId="77777777" w:rsidTr="00624AA4">
        <w:tc>
          <w:tcPr>
            <w:tcW w:w="1418" w:type="dxa"/>
            <w:tcBorders>
              <w:top w:val="single" w:sz="4" w:space="0" w:color="F6BB00"/>
              <w:bottom w:val="single" w:sz="4" w:space="0" w:color="F6BB00"/>
            </w:tcBorders>
            <w:vAlign w:val="center"/>
          </w:tcPr>
          <w:p w14:paraId="2BBCCE73" w14:textId="77777777" w:rsidR="00421A25" w:rsidRDefault="00421A25" w:rsidP="000B3274">
            <w:pPr>
              <w:spacing w:after="0" w:line="240" w:lineRule="auto"/>
              <w:jc w:val="left"/>
              <w:rPr>
                <w:sz w:val="18"/>
                <w:szCs w:val="18"/>
                <w:lang w:eastAsia="pl-PL"/>
              </w:rPr>
            </w:pPr>
            <w:r w:rsidRPr="004D03B2">
              <w:rPr>
                <w:sz w:val="18"/>
                <w:szCs w:val="18"/>
                <w:lang w:eastAsia="pl-PL"/>
              </w:rPr>
              <w:t>Preferencje na obszarach deficytu wody oraz na obszarach szczególnego zagrożenia powodziowego</w:t>
            </w:r>
          </w:p>
          <w:p w14:paraId="0548DD4F" w14:textId="77777777" w:rsidR="00421A25" w:rsidRPr="00EB1427" w:rsidRDefault="00421A25" w:rsidP="000B3274">
            <w:pPr>
              <w:spacing w:after="0" w:line="240" w:lineRule="auto"/>
              <w:jc w:val="left"/>
              <w:rPr>
                <w:sz w:val="18"/>
                <w:szCs w:val="18"/>
                <w:lang w:eastAsia="pl-PL"/>
              </w:rPr>
            </w:pPr>
          </w:p>
        </w:tc>
        <w:tc>
          <w:tcPr>
            <w:tcW w:w="2105" w:type="dxa"/>
            <w:tcBorders>
              <w:top w:val="single" w:sz="4" w:space="0" w:color="F6BB00"/>
              <w:bottom w:val="single" w:sz="4" w:space="0" w:color="F6BB00"/>
            </w:tcBorders>
          </w:tcPr>
          <w:p w14:paraId="575ED6C5" w14:textId="77777777" w:rsidR="00421A25" w:rsidRDefault="00421A25" w:rsidP="000B3274">
            <w:pPr>
              <w:spacing w:after="0" w:line="240" w:lineRule="auto"/>
              <w:jc w:val="left"/>
              <w:rPr>
                <w:sz w:val="18"/>
                <w:szCs w:val="18"/>
                <w:lang w:eastAsia="pl-PL"/>
              </w:rPr>
            </w:pPr>
            <w:r>
              <w:rPr>
                <w:noProof/>
                <w:sz w:val="18"/>
                <w:szCs w:val="18"/>
                <w:lang w:eastAsia="pl-PL"/>
              </w:rPr>
              <w:drawing>
                <wp:inline distT="0" distB="0" distL="0" distR="0" wp14:anchorId="25EF6107" wp14:editId="6B6A04BC">
                  <wp:extent cx="900000" cy="1085294"/>
                  <wp:effectExtent l="0" t="0" r="0" b="63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00000" cy="1085294"/>
                          </a:xfrm>
                          <a:prstGeom prst="rect">
                            <a:avLst/>
                          </a:prstGeom>
                          <a:noFill/>
                        </pic:spPr>
                      </pic:pic>
                    </a:graphicData>
                  </a:graphic>
                </wp:inline>
              </w:drawing>
            </w:r>
          </w:p>
          <w:p w14:paraId="6C6230CF" w14:textId="77777777" w:rsidR="00421A25" w:rsidRDefault="00421A25" w:rsidP="000B3274">
            <w:pPr>
              <w:spacing w:after="0" w:line="240" w:lineRule="auto"/>
              <w:jc w:val="left"/>
              <w:rPr>
                <w:sz w:val="18"/>
                <w:szCs w:val="18"/>
                <w:lang w:eastAsia="pl-PL"/>
              </w:rPr>
            </w:pPr>
          </w:p>
          <w:p w14:paraId="0DF76EF6" w14:textId="77777777" w:rsidR="00421A25" w:rsidRDefault="00421A25" w:rsidP="000B3274">
            <w:pPr>
              <w:spacing w:after="0" w:line="240" w:lineRule="auto"/>
              <w:jc w:val="left"/>
              <w:rPr>
                <w:sz w:val="18"/>
                <w:szCs w:val="18"/>
                <w:lang w:eastAsia="pl-PL"/>
              </w:rPr>
            </w:pPr>
            <w:r>
              <w:rPr>
                <w:noProof/>
                <w:lang w:eastAsia="pl-PL"/>
              </w:rPr>
              <w:drawing>
                <wp:inline distT="0" distB="0" distL="0" distR="0" wp14:anchorId="5D448D2B" wp14:editId="29E8819D">
                  <wp:extent cx="897386" cy="1302481"/>
                  <wp:effectExtent l="0" t="0" r="0" b="0"/>
                  <wp:docPr id="29" name="Picture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D8DCE0F-A376-425F-ACBB-9B0DEC0F67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D8DCE0F-A376-425F-ACBB-9B0DEC0F6778}"/>
                              </a:ext>
                            </a:extLst>
                          </pic:cNvPr>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897386" cy="1302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8688D49" w14:textId="77777777" w:rsidR="00421A25" w:rsidRPr="00942877" w:rsidRDefault="00421A25" w:rsidP="000B3274">
            <w:pPr>
              <w:spacing w:after="0" w:line="240" w:lineRule="auto"/>
              <w:jc w:val="left"/>
              <w:rPr>
                <w:sz w:val="18"/>
                <w:szCs w:val="18"/>
                <w:lang w:eastAsia="pl-PL"/>
              </w:rPr>
            </w:pPr>
          </w:p>
        </w:tc>
        <w:tc>
          <w:tcPr>
            <w:tcW w:w="5549" w:type="dxa"/>
            <w:tcBorders>
              <w:top w:val="single" w:sz="4" w:space="0" w:color="F6BB00"/>
              <w:bottom w:val="single" w:sz="4" w:space="0" w:color="F6BB00"/>
            </w:tcBorders>
            <w:vAlign w:val="center"/>
          </w:tcPr>
          <w:p w14:paraId="0E011306" w14:textId="77777777" w:rsidR="00421A25" w:rsidRDefault="00421A25" w:rsidP="00E31913">
            <w:pPr>
              <w:spacing w:before="40" w:after="40" w:line="240" w:lineRule="auto"/>
              <w:rPr>
                <w:sz w:val="18"/>
                <w:szCs w:val="18"/>
                <w:lang w:eastAsia="pl-PL"/>
              </w:rPr>
            </w:pPr>
            <w:r>
              <w:rPr>
                <w:sz w:val="18"/>
                <w:szCs w:val="18"/>
                <w:lang w:eastAsia="pl-PL"/>
              </w:rPr>
              <w:t xml:space="preserve">Obszary ochrony i kształtowania zasobów wodnych – nasuwa się pytanie czy zasadne jest wyznaczanie obszaru, który obejmuje terytorium całego województwa? Problem suszy, obniżenia poziomu wód gruntowych i stepowienia jest podkreślany w licznych wypowiedziach specjalistów z zakresu środowiska, ale również energetyki i turystyki. Jest to problem o szerokim znaczeniu społeczno-gospodarczym, nie tylko środowiskowym. </w:t>
            </w:r>
          </w:p>
          <w:p w14:paraId="5A437710" w14:textId="18CA6998" w:rsidR="00421A25" w:rsidRPr="00942877" w:rsidRDefault="00421A25" w:rsidP="00E31913">
            <w:pPr>
              <w:spacing w:before="40" w:after="40" w:line="240" w:lineRule="auto"/>
              <w:rPr>
                <w:sz w:val="18"/>
                <w:szCs w:val="18"/>
                <w:lang w:eastAsia="pl-PL"/>
              </w:rPr>
            </w:pPr>
            <w:r>
              <w:rPr>
                <w:sz w:val="18"/>
                <w:szCs w:val="18"/>
                <w:lang w:eastAsia="pl-PL"/>
              </w:rPr>
              <w:t xml:space="preserve">Ważne jest zatem rozważenie horyzontalnego, </w:t>
            </w:r>
            <w:r w:rsidR="2CD63631" w:rsidRPr="2CD63631">
              <w:rPr>
                <w:sz w:val="18"/>
                <w:szCs w:val="18"/>
                <w:lang w:eastAsia="pl-PL"/>
              </w:rPr>
              <w:t>nieterytorialnego</w:t>
            </w:r>
            <w:r>
              <w:rPr>
                <w:sz w:val="18"/>
                <w:szCs w:val="18"/>
                <w:lang w:eastAsia="pl-PL"/>
              </w:rPr>
              <w:t xml:space="preserve"> podejścia do tego zagadnienia.</w:t>
            </w:r>
          </w:p>
        </w:tc>
      </w:tr>
      <w:tr w:rsidR="00421A25" w:rsidRPr="00EB1427" w14:paraId="01DB04E3" w14:textId="77777777" w:rsidTr="00624AA4">
        <w:tc>
          <w:tcPr>
            <w:tcW w:w="1418" w:type="dxa"/>
            <w:tcBorders>
              <w:top w:val="single" w:sz="4" w:space="0" w:color="F6BB00"/>
              <w:bottom w:val="single" w:sz="4" w:space="0" w:color="F6BB00"/>
            </w:tcBorders>
            <w:vAlign w:val="center"/>
          </w:tcPr>
          <w:p w14:paraId="2CF3A6C7" w14:textId="77777777" w:rsidR="00421A25" w:rsidRPr="00EB1427" w:rsidRDefault="00421A25" w:rsidP="000B3274">
            <w:pPr>
              <w:spacing w:after="0" w:line="240" w:lineRule="auto"/>
              <w:jc w:val="left"/>
              <w:rPr>
                <w:sz w:val="18"/>
                <w:szCs w:val="18"/>
                <w:lang w:eastAsia="pl-PL"/>
              </w:rPr>
            </w:pPr>
            <w:r w:rsidRPr="004D03B2">
              <w:rPr>
                <w:sz w:val="18"/>
                <w:szCs w:val="18"/>
                <w:lang w:eastAsia="pl-PL"/>
              </w:rPr>
              <w:lastRenderedPageBreak/>
              <w:t>Preferencje dla obszarów wiejskich o wysokiej kulturze rolnej</w:t>
            </w:r>
          </w:p>
        </w:tc>
        <w:tc>
          <w:tcPr>
            <w:tcW w:w="2105" w:type="dxa"/>
            <w:tcBorders>
              <w:top w:val="single" w:sz="4" w:space="0" w:color="F6BB00"/>
              <w:bottom w:val="single" w:sz="4" w:space="0" w:color="F6BB00"/>
            </w:tcBorders>
            <w:vAlign w:val="center"/>
          </w:tcPr>
          <w:p w14:paraId="1A51E4EE" w14:textId="77777777" w:rsidR="00421A25" w:rsidRPr="00942877" w:rsidRDefault="00421A25" w:rsidP="000B3274">
            <w:pPr>
              <w:spacing w:after="0" w:line="240" w:lineRule="auto"/>
              <w:jc w:val="left"/>
              <w:rPr>
                <w:sz w:val="18"/>
                <w:szCs w:val="18"/>
                <w:lang w:eastAsia="pl-PL"/>
              </w:rPr>
            </w:pPr>
            <w:r>
              <w:rPr>
                <w:noProof/>
                <w:sz w:val="18"/>
                <w:szCs w:val="18"/>
                <w:lang w:eastAsia="pl-PL"/>
              </w:rPr>
              <w:drawing>
                <wp:inline distT="0" distB="0" distL="0" distR="0" wp14:anchorId="57C13974" wp14:editId="2AC5F3AE">
                  <wp:extent cx="900000" cy="1125753"/>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00000" cy="1125753"/>
                          </a:xfrm>
                          <a:prstGeom prst="rect">
                            <a:avLst/>
                          </a:prstGeom>
                          <a:noFill/>
                        </pic:spPr>
                      </pic:pic>
                    </a:graphicData>
                  </a:graphic>
                </wp:inline>
              </w:drawing>
            </w:r>
          </w:p>
        </w:tc>
        <w:tc>
          <w:tcPr>
            <w:tcW w:w="5549" w:type="dxa"/>
            <w:tcBorders>
              <w:top w:val="single" w:sz="4" w:space="0" w:color="F6BB00"/>
              <w:bottom w:val="single" w:sz="4" w:space="0" w:color="F6BB00"/>
            </w:tcBorders>
            <w:vAlign w:val="center"/>
          </w:tcPr>
          <w:p w14:paraId="52C8409F" w14:textId="6E272408" w:rsidR="00421A25" w:rsidRDefault="00421A25" w:rsidP="00E31913">
            <w:pPr>
              <w:spacing w:before="40" w:after="40" w:line="240" w:lineRule="auto"/>
              <w:rPr>
                <w:sz w:val="18"/>
                <w:szCs w:val="18"/>
                <w:lang w:eastAsia="pl-PL"/>
              </w:rPr>
            </w:pPr>
            <w:r>
              <w:rPr>
                <w:sz w:val="18"/>
                <w:szCs w:val="18"/>
                <w:lang w:eastAsia="pl-PL"/>
              </w:rPr>
              <w:t>Region Wielkopolski ma charakter rolniczy, w związku z czym omawiane zagadnienie jest szczególnie istotne z punktu rozwoju województwa. Wydzielenie wsparcia dla rolnictwa jako odrębnego celu (poza ogólnie ujętym wsparciem obszarów wiejskich) wydaje się więc zasadne.</w:t>
            </w:r>
          </w:p>
          <w:p w14:paraId="6763FC82" w14:textId="77777777" w:rsidR="00421A25" w:rsidRPr="00942877" w:rsidRDefault="00421A25" w:rsidP="00E31913">
            <w:pPr>
              <w:spacing w:before="40" w:after="40" w:line="240" w:lineRule="auto"/>
              <w:rPr>
                <w:sz w:val="18"/>
                <w:szCs w:val="18"/>
                <w:lang w:eastAsia="pl-PL"/>
              </w:rPr>
            </w:pPr>
            <w:r>
              <w:rPr>
                <w:sz w:val="18"/>
                <w:szCs w:val="18"/>
                <w:lang w:eastAsia="pl-PL"/>
              </w:rPr>
              <w:t xml:space="preserve">W pierwszej kolejności nasuwa się więc wniosek, że cel ten powinien mieć charakter horyzontalny. Jednocześnie mając świadomość, że obszary wiejskie (szczególnie te położone w obszarach funkcjonalnych większych miast) często zmieniają swój charakter, można również przyjąć założenie, że należy to wsparcie w pierwszej kolejności ukierunkować na obszary stricte rolnicze jak np. wyznaczony w projekcie planu zagospodarowania przestrzennego województwa wielkopolskiego </w:t>
            </w:r>
            <w:r w:rsidRPr="002525AF">
              <w:rPr>
                <w:sz w:val="18"/>
                <w:szCs w:val="18"/>
                <w:lang w:eastAsia="pl-PL"/>
              </w:rPr>
              <w:t>południowo-zachodni</w:t>
            </w:r>
            <w:r w:rsidR="00624AA4">
              <w:rPr>
                <w:sz w:val="18"/>
                <w:szCs w:val="18"/>
                <w:lang w:eastAsia="pl-PL"/>
              </w:rPr>
              <w:t xml:space="preserve"> obszar funkcjonalny. </w:t>
            </w:r>
          </w:p>
        </w:tc>
      </w:tr>
      <w:tr w:rsidR="00421A25" w:rsidRPr="00EB1427" w14:paraId="5AF87F41" w14:textId="77777777" w:rsidTr="00624AA4">
        <w:tc>
          <w:tcPr>
            <w:tcW w:w="1418" w:type="dxa"/>
            <w:tcBorders>
              <w:top w:val="single" w:sz="4" w:space="0" w:color="F6BB00"/>
              <w:bottom w:val="single" w:sz="4" w:space="0" w:color="F6BB00"/>
            </w:tcBorders>
            <w:vAlign w:val="center"/>
          </w:tcPr>
          <w:p w14:paraId="4A571D08" w14:textId="77777777" w:rsidR="00421A25" w:rsidRPr="00EB1427" w:rsidRDefault="00421A25" w:rsidP="000B3274">
            <w:pPr>
              <w:spacing w:after="0" w:line="240" w:lineRule="auto"/>
              <w:jc w:val="left"/>
              <w:rPr>
                <w:sz w:val="18"/>
                <w:szCs w:val="18"/>
                <w:lang w:eastAsia="pl-PL"/>
              </w:rPr>
            </w:pPr>
            <w:r w:rsidRPr="004D03B2">
              <w:rPr>
                <w:sz w:val="18"/>
                <w:szCs w:val="18"/>
                <w:lang w:eastAsia="pl-PL"/>
              </w:rPr>
              <w:t>Poznański Obszar Metropolitalny</w:t>
            </w:r>
          </w:p>
        </w:tc>
        <w:tc>
          <w:tcPr>
            <w:tcW w:w="2105" w:type="dxa"/>
            <w:tcBorders>
              <w:top w:val="single" w:sz="4" w:space="0" w:color="F6BB00"/>
              <w:bottom w:val="single" w:sz="4" w:space="0" w:color="F6BB00"/>
            </w:tcBorders>
            <w:vAlign w:val="center"/>
          </w:tcPr>
          <w:p w14:paraId="0B0187F7" w14:textId="77777777" w:rsidR="00421A25" w:rsidRPr="00942877" w:rsidRDefault="00421A25" w:rsidP="000B3274">
            <w:pPr>
              <w:spacing w:after="0" w:line="240" w:lineRule="auto"/>
              <w:jc w:val="left"/>
              <w:rPr>
                <w:sz w:val="18"/>
                <w:szCs w:val="18"/>
                <w:lang w:eastAsia="pl-PL"/>
              </w:rPr>
            </w:pPr>
            <w:r>
              <w:rPr>
                <w:noProof/>
                <w:sz w:val="18"/>
                <w:szCs w:val="18"/>
                <w:lang w:eastAsia="pl-PL"/>
              </w:rPr>
              <w:drawing>
                <wp:inline distT="0" distB="0" distL="0" distR="0" wp14:anchorId="07221A34" wp14:editId="4253F503">
                  <wp:extent cx="900000" cy="1112459"/>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00000" cy="1112459"/>
                          </a:xfrm>
                          <a:prstGeom prst="rect">
                            <a:avLst/>
                          </a:prstGeom>
                          <a:noFill/>
                        </pic:spPr>
                      </pic:pic>
                    </a:graphicData>
                  </a:graphic>
                </wp:inline>
              </w:drawing>
            </w:r>
          </w:p>
        </w:tc>
        <w:tc>
          <w:tcPr>
            <w:tcW w:w="5549" w:type="dxa"/>
            <w:tcBorders>
              <w:top w:val="single" w:sz="4" w:space="0" w:color="F6BB00"/>
              <w:bottom w:val="single" w:sz="4" w:space="0" w:color="F6BB00"/>
            </w:tcBorders>
            <w:vAlign w:val="center"/>
          </w:tcPr>
          <w:p w14:paraId="54C9C0DB" w14:textId="77777777" w:rsidR="00421A25" w:rsidRPr="00942877" w:rsidRDefault="00421A25" w:rsidP="00E31913">
            <w:pPr>
              <w:spacing w:before="40" w:after="40" w:line="240" w:lineRule="auto"/>
              <w:rPr>
                <w:sz w:val="18"/>
                <w:szCs w:val="18"/>
                <w:lang w:eastAsia="pl-PL"/>
              </w:rPr>
            </w:pPr>
            <w:r>
              <w:rPr>
                <w:sz w:val="18"/>
                <w:szCs w:val="18"/>
                <w:lang w:eastAsia="pl-PL"/>
              </w:rPr>
              <w:t>Pomimo ukierunkowania nowej polityki regionalnej (KSRR 2030) na obszary zmarginalizowane i tracące funkcje społeczno-gospodarcze, Samorząd Województwa powinien być zainteresowany dynamicznym rozwojem aglomeracji poznańskiej, jako głównego motoru wzrostu w regionie – szczególnie, że właśnie w tym ośrodku jest największy potencjał do rozwijania działalności innowacyjnej i generalnie opartej na wiedzy (cel konkurencyjność w SOR i projekcie KSRR).</w:t>
            </w:r>
          </w:p>
        </w:tc>
      </w:tr>
      <w:tr w:rsidR="00421A25" w:rsidRPr="00EB1427" w14:paraId="6498F7D4" w14:textId="77777777" w:rsidTr="00624AA4">
        <w:tc>
          <w:tcPr>
            <w:tcW w:w="1418" w:type="dxa"/>
            <w:tcBorders>
              <w:top w:val="single" w:sz="4" w:space="0" w:color="F6BB00"/>
              <w:bottom w:val="single" w:sz="4" w:space="0" w:color="F6BB00"/>
            </w:tcBorders>
            <w:vAlign w:val="center"/>
          </w:tcPr>
          <w:p w14:paraId="0A36B775" w14:textId="77777777" w:rsidR="00421A25" w:rsidRPr="00EB1427" w:rsidRDefault="00421A25" w:rsidP="000B3274">
            <w:pPr>
              <w:spacing w:after="0" w:line="240" w:lineRule="auto"/>
              <w:jc w:val="left"/>
              <w:rPr>
                <w:sz w:val="18"/>
                <w:szCs w:val="18"/>
                <w:lang w:eastAsia="pl-PL"/>
              </w:rPr>
            </w:pPr>
            <w:r w:rsidRPr="004D03B2">
              <w:rPr>
                <w:sz w:val="18"/>
                <w:szCs w:val="18"/>
                <w:lang w:eastAsia="pl-PL"/>
              </w:rPr>
              <w:t>Ośrodek regionalny</w:t>
            </w:r>
          </w:p>
        </w:tc>
        <w:tc>
          <w:tcPr>
            <w:tcW w:w="2105" w:type="dxa"/>
            <w:tcBorders>
              <w:top w:val="single" w:sz="4" w:space="0" w:color="F6BB00"/>
              <w:bottom w:val="single" w:sz="4" w:space="0" w:color="F6BB00"/>
            </w:tcBorders>
            <w:vAlign w:val="center"/>
          </w:tcPr>
          <w:p w14:paraId="7028CAFC" w14:textId="77777777" w:rsidR="00421A25" w:rsidRPr="00942877" w:rsidRDefault="00421A25" w:rsidP="000B3274">
            <w:pPr>
              <w:spacing w:after="0" w:line="240" w:lineRule="auto"/>
              <w:jc w:val="left"/>
              <w:rPr>
                <w:sz w:val="18"/>
                <w:szCs w:val="18"/>
                <w:lang w:eastAsia="pl-PL"/>
              </w:rPr>
            </w:pPr>
            <w:r>
              <w:rPr>
                <w:noProof/>
                <w:sz w:val="18"/>
                <w:szCs w:val="18"/>
                <w:lang w:eastAsia="pl-PL"/>
              </w:rPr>
              <w:drawing>
                <wp:inline distT="0" distB="0" distL="0" distR="0" wp14:anchorId="29EB4FCE" wp14:editId="436151E6">
                  <wp:extent cx="900000" cy="1095779"/>
                  <wp:effectExtent l="0" t="0" r="0"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00000" cy="1095779"/>
                          </a:xfrm>
                          <a:prstGeom prst="rect">
                            <a:avLst/>
                          </a:prstGeom>
                          <a:noFill/>
                        </pic:spPr>
                      </pic:pic>
                    </a:graphicData>
                  </a:graphic>
                </wp:inline>
              </w:drawing>
            </w:r>
          </w:p>
        </w:tc>
        <w:tc>
          <w:tcPr>
            <w:tcW w:w="5549" w:type="dxa"/>
            <w:tcBorders>
              <w:top w:val="single" w:sz="4" w:space="0" w:color="F6BB00"/>
              <w:bottom w:val="single" w:sz="4" w:space="0" w:color="F6BB00"/>
            </w:tcBorders>
            <w:vAlign w:val="center"/>
          </w:tcPr>
          <w:p w14:paraId="68000A53" w14:textId="6037587A" w:rsidR="00421A25" w:rsidRPr="00942877" w:rsidRDefault="00421A25" w:rsidP="0072324D">
            <w:pPr>
              <w:spacing w:before="40" w:after="40" w:line="240" w:lineRule="auto"/>
              <w:rPr>
                <w:sz w:val="18"/>
                <w:szCs w:val="18"/>
                <w:lang w:eastAsia="pl-PL"/>
              </w:rPr>
            </w:pPr>
            <w:r>
              <w:rPr>
                <w:sz w:val="18"/>
                <w:szCs w:val="18"/>
                <w:lang w:eastAsia="pl-PL"/>
              </w:rPr>
              <w:t>Pomimo ukierunkowania nowej polityki regionalnej (KSRR 2030) na obszary zmarginalizowane i tracące funkcje społeczno-gospodarcze, Samorząd w dalszym ciągu powinien wspierać rozwój najbardziej konkurencyjnych ośrodków i ich obszarów funkcjonalnych.</w:t>
            </w:r>
            <w:r w:rsidR="00B82E30">
              <w:rPr>
                <w:sz w:val="18"/>
                <w:szCs w:val="18"/>
                <w:lang w:eastAsia="pl-PL"/>
              </w:rPr>
              <w:t xml:space="preserve"> </w:t>
            </w:r>
            <w:r w:rsidR="0056576C">
              <w:rPr>
                <w:sz w:val="18"/>
                <w:szCs w:val="18"/>
                <w:lang w:eastAsia="pl-PL"/>
              </w:rPr>
              <w:t>Ag</w:t>
            </w:r>
            <w:r w:rsidR="00B82E30">
              <w:rPr>
                <w:sz w:val="18"/>
                <w:szCs w:val="18"/>
                <w:lang w:eastAsia="pl-PL"/>
              </w:rPr>
              <w:t>lomeracja kalisko-ostrowska jest</w:t>
            </w:r>
            <w:r w:rsidR="0056576C">
              <w:rPr>
                <w:sz w:val="18"/>
                <w:szCs w:val="18"/>
                <w:lang w:eastAsia="pl-PL"/>
              </w:rPr>
              <w:t xml:space="preserve"> istotny</w:t>
            </w:r>
            <w:r w:rsidR="00B82E30">
              <w:rPr>
                <w:sz w:val="18"/>
                <w:szCs w:val="18"/>
                <w:lang w:eastAsia="pl-PL"/>
              </w:rPr>
              <w:t>m ośrod</w:t>
            </w:r>
            <w:r w:rsidR="0056576C">
              <w:rPr>
                <w:sz w:val="18"/>
                <w:szCs w:val="18"/>
                <w:lang w:eastAsia="pl-PL"/>
              </w:rPr>
              <w:t>k</w:t>
            </w:r>
            <w:r w:rsidR="00B82E30">
              <w:rPr>
                <w:sz w:val="18"/>
                <w:szCs w:val="18"/>
                <w:lang w:eastAsia="pl-PL"/>
              </w:rPr>
              <w:t>iem</w:t>
            </w:r>
            <w:r w:rsidR="0056576C">
              <w:rPr>
                <w:sz w:val="18"/>
                <w:szCs w:val="18"/>
                <w:lang w:eastAsia="pl-PL"/>
              </w:rPr>
              <w:t xml:space="preserve"> kreowania </w:t>
            </w:r>
            <w:r w:rsidR="00B82E30">
              <w:rPr>
                <w:sz w:val="18"/>
                <w:szCs w:val="18"/>
                <w:lang w:eastAsia="pl-PL"/>
              </w:rPr>
              <w:t>wzrostu gospodarczego w regionie</w:t>
            </w:r>
            <w:r w:rsidR="0072324D">
              <w:rPr>
                <w:sz w:val="18"/>
                <w:szCs w:val="18"/>
                <w:lang w:eastAsia="pl-PL"/>
              </w:rPr>
              <w:t>.</w:t>
            </w:r>
            <w:r w:rsidR="00D51015">
              <w:rPr>
                <w:sz w:val="18"/>
                <w:szCs w:val="18"/>
                <w:lang w:eastAsia="pl-PL"/>
              </w:rPr>
              <w:t xml:space="preserve"> Samorząd Województwa powinien być zainteresowany dynamicznym rozwojem obszaru także ze względu na rozwijającą się na jego obszarze działalność innowacyjną – istotną z punktu widzenia SOR i KSRR.</w:t>
            </w:r>
          </w:p>
        </w:tc>
      </w:tr>
      <w:tr w:rsidR="00421A25" w:rsidRPr="00EB1427" w14:paraId="5FFE425E" w14:textId="77777777" w:rsidTr="00624AA4">
        <w:tc>
          <w:tcPr>
            <w:tcW w:w="1418" w:type="dxa"/>
            <w:tcBorders>
              <w:top w:val="single" w:sz="4" w:space="0" w:color="F6BB00"/>
              <w:bottom w:val="single" w:sz="4" w:space="0" w:color="F6BB00"/>
            </w:tcBorders>
            <w:vAlign w:val="center"/>
          </w:tcPr>
          <w:p w14:paraId="5B686C83" w14:textId="77777777" w:rsidR="00421A25" w:rsidRPr="00EB1427" w:rsidRDefault="00421A25" w:rsidP="000B3274">
            <w:pPr>
              <w:spacing w:after="0" w:line="240" w:lineRule="auto"/>
              <w:jc w:val="left"/>
              <w:rPr>
                <w:sz w:val="18"/>
                <w:szCs w:val="18"/>
                <w:lang w:eastAsia="pl-PL"/>
              </w:rPr>
            </w:pPr>
            <w:r w:rsidRPr="004D03B2">
              <w:rPr>
                <w:sz w:val="18"/>
                <w:szCs w:val="18"/>
                <w:lang w:eastAsia="pl-PL"/>
              </w:rPr>
              <w:t>Ośrodki subregionalne</w:t>
            </w:r>
          </w:p>
        </w:tc>
        <w:tc>
          <w:tcPr>
            <w:tcW w:w="2105" w:type="dxa"/>
            <w:tcBorders>
              <w:top w:val="single" w:sz="4" w:space="0" w:color="F6BB00"/>
              <w:bottom w:val="single" w:sz="4" w:space="0" w:color="F6BB00"/>
            </w:tcBorders>
            <w:vAlign w:val="center"/>
          </w:tcPr>
          <w:p w14:paraId="5017B807" w14:textId="77777777" w:rsidR="00421A25" w:rsidRPr="00942877" w:rsidRDefault="00421A25" w:rsidP="000B3274">
            <w:pPr>
              <w:spacing w:after="0" w:line="240" w:lineRule="auto"/>
              <w:jc w:val="left"/>
              <w:rPr>
                <w:sz w:val="18"/>
                <w:szCs w:val="18"/>
                <w:lang w:eastAsia="pl-PL"/>
              </w:rPr>
            </w:pPr>
            <w:r>
              <w:rPr>
                <w:noProof/>
                <w:sz w:val="18"/>
                <w:szCs w:val="18"/>
                <w:lang w:eastAsia="pl-PL"/>
              </w:rPr>
              <w:drawing>
                <wp:inline distT="0" distB="0" distL="0" distR="0" wp14:anchorId="078FCA03" wp14:editId="32458652">
                  <wp:extent cx="900000" cy="11430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00000" cy="1143000"/>
                          </a:xfrm>
                          <a:prstGeom prst="rect">
                            <a:avLst/>
                          </a:prstGeom>
                          <a:noFill/>
                        </pic:spPr>
                      </pic:pic>
                    </a:graphicData>
                  </a:graphic>
                </wp:inline>
              </w:drawing>
            </w:r>
          </w:p>
        </w:tc>
        <w:tc>
          <w:tcPr>
            <w:tcW w:w="5549" w:type="dxa"/>
            <w:tcBorders>
              <w:top w:val="single" w:sz="4" w:space="0" w:color="F6BB00"/>
              <w:bottom w:val="single" w:sz="4" w:space="0" w:color="F6BB00"/>
            </w:tcBorders>
            <w:vAlign w:val="center"/>
          </w:tcPr>
          <w:p w14:paraId="38FBC799" w14:textId="77777777" w:rsidR="00421A25" w:rsidRDefault="00421A25" w:rsidP="00E31913">
            <w:pPr>
              <w:spacing w:before="40" w:after="40" w:line="240" w:lineRule="auto"/>
              <w:rPr>
                <w:sz w:val="18"/>
                <w:szCs w:val="18"/>
                <w:lang w:eastAsia="pl-PL"/>
              </w:rPr>
            </w:pPr>
            <w:r>
              <w:rPr>
                <w:sz w:val="18"/>
                <w:szCs w:val="18"/>
                <w:lang w:eastAsia="pl-PL"/>
              </w:rPr>
              <w:t>Zgodnie z zapisami KSRR 2030 należy zwrócić szczególnie uwagę na miasta tracące funkcje społeczno-gospodarcze. W związku z tym, że są to OSI obligatoryjne i należy je umieścić w Strategii, wskazane jest rozróżnienie ośrodków subregionalnych wpisujących się w OSI krajowe i OSI regionalne, bowiem mechanizmy wsparcia dla tych obszarów też będą różne.</w:t>
            </w:r>
          </w:p>
          <w:p w14:paraId="2E25175E" w14:textId="4C54FC89" w:rsidR="00421A25" w:rsidRPr="00942877" w:rsidRDefault="00421A25" w:rsidP="00E31913">
            <w:pPr>
              <w:spacing w:before="40" w:after="40" w:line="240" w:lineRule="auto"/>
              <w:rPr>
                <w:sz w:val="18"/>
                <w:szCs w:val="18"/>
                <w:lang w:eastAsia="pl-PL"/>
              </w:rPr>
            </w:pPr>
            <w:r>
              <w:rPr>
                <w:sz w:val="18"/>
                <w:szCs w:val="18"/>
                <w:lang w:eastAsia="pl-PL"/>
              </w:rPr>
              <w:t>Pomimo ukierunkowania nowej polityki regionalnej na obszary zmarginalizowane i tracące funkcje społeczno-gospodarcze, Samorząd w dalszym ciągu powinien wspierać rozwój najbardziej konkurencyjnych ośrodków subregionalnych</w:t>
            </w:r>
            <w:r w:rsidR="00A55441">
              <w:rPr>
                <w:sz w:val="18"/>
                <w:szCs w:val="18"/>
                <w:lang w:eastAsia="pl-PL"/>
              </w:rPr>
              <w:t xml:space="preserve"> – w tym przypadku także Leszno, które nie zostało wskazane w KSRR jako miasto tracące funkcje społeczno-gospodarcze.</w:t>
            </w:r>
          </w:p>
        </w:tc>
      </w:tr>
      <w:tr w:rsidR="00421A25" w:rsidRPr="00EB1427" w14:paraId="0DBD94D5" w14:textId="77777777" w:rsidTr="00624AA4">
        <w:tc>
          <w:tcPr>
            <w:tcW w:w="1418" w:type="dxa"/>
            <w:tcBorders>
              <w:top w:val="single" w:sz="4" w:space="0" w:color="F6BB00"/>
              <w:bottom w:val="single" w:sz="4" w:space="0" w:color="F6BB00"/>
            </w:tcBorders>
            <w:vAlign w:val="center"/>
          </w:tcPr>
          <w:p w14:paraId="38450C75" w14:textId="77777777" w:rsidR="00421A25" w:rsidRPr="00EB1427" w:rsidRDefault="00421A25" w:rsidP="000B3274">
            <w:pPr>
              <w:spacing w:after="0" w:line="240" w:lineRule="auto"/>
              <w:jc w:val="left"/>
              <w:rPr>
                <w:sz w:val="18"/>
                <w:szCs w:val="18"/>
                <w:lang w:eastAsia="pl-PL"/>
              </w:rPr>
            </w:pPr>
            <w:r w:rsidRPr="004D03B2">
              <w:rPr>
                <w:sz w:val="18"/>
                <w:szCs w:val="18"/>
                <w:lang w:eastAsia="pl-PL"/>
              </w:rPr>
              <w:t>Ośrodki lokalne</w:t>
            </w:r>
          </w:p>
        </w:tc>
        <w:tc>
          <w:tcPr>
            <w:tcW w:w="2105" w:type="dxa"/>
            <w:tcBorders>
              <w:top w:val="single" w:sz="4" w:space="0" w:color="F6BB00"/>
              <w:bottom w:val="single" w:sz="4" w:space="0" w:color="F6BB00"/>
            </w:tcBorders>
            <w:vAlign w:val="center"/>
          </w:tcPr>
          <w:p w14:paraId="4BFBA517" w14:textId="77777777" w:rsidR="00421A25" w:rsidRPr="00942877" w:rsidRDefault="00421A25" w:rsidP="000B3274">
            <w:pPr>
              <w:spacing w:after="0" w:line="240" w:lineRule="auto"/>
              <w:jc w:val="left"/>
              <w:rPr>
                <w:sz w:val="18"/>
                <w:szCs w:val="18"/>
                <w:lang w:eastAsia="pl-PL"/>
              </w:rPr>
            </w:pPr>
            <w:r>
              <w:rPr>
                <w:noProof/>
                <w:sz w:val="18"/>
                <w:szCs w:val="18"/>
                <w:lang w:eastAsia="pl-PL"/>
              </w:rPr>
              <w:drawing>
                <wp:inline distT="0" distB="0" distL="0" distR="0" wp14:anchorId="303EB83B" wp14:editId="712E6B00">
                  <wp:extent cx="900000" cy="1118273"/>
                  <wp:effectExtent l="0" t="0" r="0" b="571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00000" cy="1118273"/>
                          </a:xfrm>
                          <a:prstGeom prst="rect">
                            <a:avLst/>
                          </a:prstGeom>
                          <a:noFill/>
                        </pic:spPr>
                      </pic:pic>
                    </a:graphicData>
                  </a:graphic>
                </wp:inline>
              </w:drawing>
            </w:r>
          </w:p>
        </w:tc>
        <w:tc>
          <w:tcPr>
            <w:tcW w:w="5549" w:type="dxa"/>
            <w:tcBorders>
              <w:top w:val="single" w:sz="4" w:space="0" w:color="F6BB00"/>
              <w:bottom w:val="single" w:sz="4" w:space="0" w:color="F6BB00"/>
            </w:tcBorders>
            <w:vAlign w:val="center"/>
          </w:tcPr>
          <w:p w14:paraId="0FF9533A" w14:textId="77777777" w:rsidR="00421A25" w:rsidRDefault="00421A25" w:rsidP="00E31913">
            <w:pPr>
              <w:spacing w:before="40" w:after="40" w:line="240" w:lineRule="auto"/>
              <w:rPr>
                <w:sz w:val="18"/>
                <w:szCs w:val="18"/>
                <w:lang w:eastAsia="pl-PL"/>
              </w:rPr>
            </w:pPr>
            <w:r>
              <w:rPr>
                <w:sz w:val="18"/>
                <w:szCs w:val="18"/>
                <w:lang w:eastAsia="pl-PL"/>
              </w:rPr>
              <w:t>Wskazanie wszystkich miast, które nie były wymienione wcześniej w „miejskich” OSI budzi wątpliwości dotyczące charakteru wsparcia konkretnych miast, a może i ich obszarów funkcjonalnych.</w:t>
            </w:r>
          </w:p>
          <w:p w14:paraId="6AFA92D0" w14:textId="77777777" w:rsidR="00421A25" w:rsidRDefault="00421A25" w:rsidP="00E31913">
            <w:pPr>
              <w:spacing w:before="40" w:after="40" w:line="240" w:lineRule="auto"/>
              <w:rPr>
                <w:sz w:val="18"/>
                <w:szCs w:val="18"/>
                <w:lang w:eastAsia="pl-PL"/>
              </w:rPr>
            </w:pPr>
            <w:r>
              <w:rPr>
                <w:sz w:val="18"/>
                <w:szCs w:val="18"/>
                <w:lang w:eastAsia="pl-PL"/>
              </w:rPr>
              <w:t>Część miast znajdzie się w obligatoryjnym OSI z KSRR 2030 (miasta tracące funkcje społeczno-gospodarcze).</w:t>
            </w:r>
          </w:p>
          <w:p w14:paraId="29DF1EFD" w14:textId="77777777" w:rsidR="00421A25" w:rsidRDefault="00421A25" w:rsidP="00E31913">
            <w:pPr>
              <w:spacing w:before="40" w:after="40" w:line="240" w:lineRule="auto"/>
              <w:rPr>
                <w:sz w:val="18"/>
                <w:szCs w:val="18"/>
                <w:lang w:eastAsia="pl-PL"/>
              </w:rPr>
            </w:pPr>
            <w:r>
              <w:rPr>
                <w:sz w:val="18"/>
                <w:szCs w:val="18"/>
                <w:lang w:eastAsia="pl-PL"/>
              </w:rPr>
              <w:t>Powstaje zatem problem wyróżnienia takiego OSI regionalnego w kontekście:</w:t>
            </w:r>
          </w:p>
          <w:p w14:paraId="6FB49943" w14:textId="1F52F95A" w:rsidR="00421A25" w:rsidRDefault="00421A25" w:rsidP="00E31913">
            <w:pPr>
              <w:spacing w:before="40" w:after="40" w:line="240" w:lineRule="auto"/>
              <w:rPr>
                <w:sz w:val="18"/>
                <w:szCs w:val="18"/>
                <w:lang w:eastAsia="pl-PL"/>
              </w:rPr>
            </w:pPr>
            <w:r>
              <w:rPr>
                <w:sz w:val="18"/>
                <w:szCs w:val="18"/>
                <w:lang w:eastAsia="pl-PL"/>
              </w:rPr>
              <w:t xml:space="preserve">- </w:t>
            </w:r>
            <w:r w:rsidR="2CD63631" w:rsidRPr="2CD63631">
              <w:rPr>
                <w:sz w:val="18"/>
                <w:szCs w:val="18"/>
                <w:lang w:eastAsia="pl-PL"/>
              </w:rPr>
              <w:t>pokrywania</w:t>
            </w:r>
            <w:r>
              <w:rPr>
                <w:sz w:val="18"/>
                <w:szCs w:val="18"/>
                <w:lang w:eastAsia="pl-PL"/>
              </w:rPr>
              <w:t xml:space="preserve"> się OSI regionalnego i krajowego (ew. dodatkowa premia dla tych miast, które zostały wyróżnione w obu przypadkach) oraz</w:t>
            </w:r>
          </w:p>
          <w:p w14:paraId="7E6898DF" w14:textId="318ACDCC" w:rsidR="00421A25" w:rsidRPr="00942877" w:rsidRDefault="00421A25" w:rsidP="00356C68">
            <w:pPr>
              <w:spacing w:before="40" w:after="40" w:line="240" w:lineRule="auto"/>
              <w:rPr>
                <w:sz w:val="18"/>
                <w:szCs w:val="18"/>
                <w:lang w:eastAsia="pl-PL"/>
              </w:rPr>
            </w:pPr>
            <w:r>
              <w:rPr>
                <w:sz w:val="18"/>
                <w:szCs w:val="18"/>
                <w:lang w:eastAsia="pl-PL"/>
              </w:rPr>
              <w:t>- wskazania określonych celów dla ośrodków miejskich</w:t>
            </w:r>
          </w:p>
        </w:tc>
      </w:tr>
      <w:tr w:rsidR="00421A25" w:rsidRPr="00EB1427" w14:paraId="008CE580" w14:textId="77777777" w:rsidTr="00624AA4">
        <w:tc>
          <w:tcPr>
            <w:tcW w:w="1418" w:type="dxa"/>
            <w:tcBorders>
              <w:top w:val="single" w:sz="4" w:space="0" w:color="F6BB00"/>
              <w:bottom w:val="single" w:sz="4" w:space="0" w:color="F6BB00"/>
            </w:tcBorders>
            <w:vAlign w:val="center"/>
          </w:tcPr>
          <w:p w14:paraId="3D035F8F" w14:textId="77777777" w:rsidR="00421A25" w:rsidRPr="00EB1427" w:rsidRDefault="00421A25" w:rsidP="000B3274">
            <w:pPr>
              <w:spacing w:after="0" w:line="240" w:lineRule="auto"/>
              <w:jc w:val="left"/>
              <w:rPr>
                <w:sz w:val="18"/>
                <w:szCs w:val="18"/>
                <w:lang w:eastAsia="pl-PL"/>
              </w:rPr>
            </w:pPr>
            <w:r w:rsidRPr="004D03B2">
              <w:rPr>
                <w:sz w:val="18"/>
                <w:szCs w:val="18"/>
                <w:lang w:eastAsia="pl-PL"/>
              </w:rPr>
              <w:t>Preferencje dla obszarów wiejskich wymagających wsparcia procesów rozwojowych</w:t>
            </w:r>
          </w:p>
        </w:tc>
        <w:tc>
          <w:tcPr>
            <w:tcW w:w="2105" w:type="dxa"/>
            <w:tcBorders>
              <w:top w:val="single" w:sz="4" w:space="0" w:color="F6BB00"/>
              <w:bottom w:val="single" w:sz="4" w:space="0" w:color="F6BB00"/>
            </w:tcBorders>
          </w:tcPr>
          <w:p w14:paraId="4575C2EC" w14:textId="77777777" w:rsidR="00421A25" w:rsidRDefault="00421A25" w:rsidP="000B3274">
            <w:pPr>
              <w:spacing w:after="0" w:line="240" w:lineRule="auto"/>
              <w:jc w:val="left"/>
              <w:rPr>
                <w:sz w:val="18"/>
                <w:szCs w:val="18"/>
                <w:lang w:eastAsia="pl-PL"/>
              </w:rPr>
            </w:pPr>
            <w:r>
              <w:rPr>
                <w:noProof/>
                <w:sz w:val="18"/>
                <w:szCs w:val="18"/>
                <w:lang w:eastAsia="pl-PL"/>
              </w:rPr>
              <w:drawing>
                <wp:inline distT="0" distB="0" distL="0" distR="0" wp14:anchorId="1CCBC85A" wp14:editId="50D1E728">
                  <wp:extent cx="900000" cy="1134915"/>
                  <wp:effectExtent l="0" t="0" r="0" b="825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00000" cy="1134915"/>
                          </a:xfrm>
                          <a:prstGeom prst="rect">
                            <a:avLst/>
                          </a:prstGeom>
                          <a:noFill/>
                        </pic:spPr>
                      </pic:pic>
                    </a:graphicData>
                  </a:graphic>
                </wp:inline>
              </w:drawing>
            </w:r>
          </w:p>
          <w:p w14:paraId="51C3A6A2" w14:textId="77777777" w:rsidR="00421A25" w:rsidRPr="00942877" w:rsidRDefault="00421A25" w:rsidP="000B3274">
            <w:pPr>
              <w:spacing w:after="0" w:line="240" w:lineRule="auto"/>
              <w:jc w:val="left"/>
              <w:rPr>
                <w:sz w:val="18"/>
                <w:szCs w:val="18"/>
                <w:lang w:eastAsia="pl-PL"/>
              </w:rPr>
            </w:pPr>
            <w:r>
              <w:rPr>
                <w:noProof/>
                <w:sz w:val="18"/>
                <w:szCs w:val="18"/>
                <w:lang w:eastAsia="pl-PL"/>
              </w:rPr>
              <w:lastRenderedPageBreak/>
              <w:drawing>
                <wp:inline distT="0" distB="0" distL="0" distR="0" wp14:anchorId="1F9DC7CB" wp14:editId="03067D8F">
                  <wp:extent cx="900000" cy="1105883"/>
                  <wp:effectExtent l="0" t="0" r="0" b="0"/>
                  <wp:docPr id="1410683456" name="Obraz 141068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0000" cy="1105883"/>
                          </a:xfrm>
                          <a:prstGeom prst="rect">
                            <a:avLst/>
                          </a:prstGeom>
                          <a:noFill/>
                        </pic:spPr>
                      </pic:pic>
                    </a:graphicData>
                  </a:graphic>
                </wp:inline>
              </w:drawing>
            </w:r>
          </w:p>
        </w:tc>
        <w:tc>
          <w:tcPr>
            <w:tcW w:w="5549" w:type="dxa"/>
            <w:tcBorders>
              <w:top w:val="single" w:sz="4" w:space="0" w:color="F6BB00"/>
              <w:bottom w:val="single" w:sz="4" w:space="0" w:color="F6BB00"/>
            </w:tcBorders>
            <w:vAlign w:val="center"/>
          </w:tcPr>
          <w:p w14:paraId="59DC78F4" w14:textId="77777777" w:rsidR="00421A25" w:rsidRDefault="00421A25" w:rsidP="00E31913">
            <w:pPr>
              <w:spacing w:before="40" w:after="40" w:line="240" w:lineRule="auto"/>
              <w:rPr>
                <w:sz w:val="18"/>
                <w:szCs w:val="18"/>
                <w:lang w:eastAsia="pl-PL"/>
              </w:rPr>
            </w:pPr>
            <w:r>
              <w:rPr>
                <w:sz w:val="18"/>
                <w:szCs w:val="18"/>
                <w:lang w:eastAsia="pl-PL"/>
              </w:rPr>
              <w:lastRenderedPageBreak/>
              <w:t xml:space="preserve">Zarówno cel 5.2 jak i 6.10 adresowane są do obu obszarów. Należy podkreślić, że „obszary wiejskie” odnoszą się praktycznie do gmin wiejskich, które często zmieniają swój charakter i cała grupa gmin wiejskich jest mocno zróżnicowana. </w:t>
            </w:r>
          </w:p>
          <w:p w14:paraId="7A191C40" w14:textId="77777777" w:rsidR="00421A25" w:rsidRDefault="00421A25" w:rsidP="00E31913">
            <w:pPr>
              <w:spacing w:before="40" w:after="40" w:line="240" w:lineRule="auto"/>
              <w:rPr>
                <w:sz w:val="18"/>
                <w:szCs w:val="18"/>
                <w:lang w:eastAsia="pl-PL"/>
              </w:rPr>
            </w:pPr>
            <w:r>
              <w:rPr>
                <w:sz w:val="18"/>
                <w:szCs w:val="18"/>
                <w:lang w:eastAsia="pl-PL"/>
              </w:rPr>
              <w:t>Nasuwa się wniosek, że obszary wiejskie uczestniczące w procesach rozwojowych są częścią obszarów funkcjonalnych głównych ośrodków miejskich.</w:t>
            </w:r>
          </w:p>
          <w:p w14:paraId="305DCDDE" w14:textId="77777777" w:rsidR="00421A25" w:rsidRDefault="00421A25" w:rsidP="00E31913">
            <w:pPr>
              <w:spacing w:before="40" w:after="40" w:line="240" w:lineRule="auto"/>
              <w:rPr>
                <w:sz w:val="18"/>
                <w:szCs w:val="18"/>
                <w:lang w:eastAsia="pl-PL"/>
              </w:rPr>
            </w:pPr>
            <w:r>
              <w:rPr>
                <w:sz w:val="18"/>
                <w:szCs w:val="18"/>
                <w:lang w:eastAsia="pl-PL"/>
              </w:rPr>
              <w:lastRenderedPageBreak/>
              <w:t>Podczas badań jakościowych z jednej strony zasugerowano wydzielenie rozwoju obszarów wiejskich, jako oddzielnego celu strategicznego, w ramach którego dokona się większego uszczegółowienia zróżnicowań tych obszarów, z drugiej wskazano, że zaprojektowane powinno być wsparcie, które będzie adresowane do jak największej liczby gmin wiejskich.</w:t>
            </w:r>
          </w:p>
          <w:p w14:paraId="19AF98FD" w14:textId="77777777" w:rsidR="00421A25" w:rsidRPr="00942877" w:rsidRDefault="00421A25" w:rsidP="00E31913">
            <w:pPr>
              <w:spacing w:before="40" w:after="40" w:line="240" w:lineRule="auto"/>
              <w:rPr>
                <w:sz w:val="18"/>
                <w:szCs w:val="18"/>
                <w:lang w:eastAsia="pl-PL"/>
              </w:rPr>
            </w:pPr>
            <w:r>
              <w:rPr>
                <w:sz w:val="18"/>
                <w:szCs w:val="18"/>
                <w:lang w:eastAsia="pl-PL"/>
              </w:rPr>
              <w:t>Jednak ew. OSI gminy wiejskie „poza obszarami funkcjonalnymi miast” powinno zostać poddane pogłębionej analizie również pod kątem wewnętrznego zróżnicowania takich gmin.</w:t>
            </w:r>
          </w:p>
        </w:tc>
      </w:tr>
      <w:tr w:rsidR="00421A25" w:rsidRPr="00EB1427" w14:paraId="75D60611" w14:textId="77777777" w:rsidTr="00624AA4">
        <w:tc>
          <w:tcPr>
            <w:tcW w:w="1418" w:type="dxa"/>
            <w:tcBorders>
              <w:top w:val="single" w:sz="4" w:space="0" w:color="F6BB00"/>
              <w:bottom w:val="single" w:sz="4" w:space="0" w:color="F6BB00"/>
            </w:tcBorders>
            <w:vAlign w:val="center"/>
          </w:tcPr>
          <w:p w14:paraId="384D0CD5" w14:textId="77777777" w:rsidR="00421A25" w:rsidRPr="00EB1427" w:rsidRDefault="00421A25" w:rsidP="000B3274">
            <w:pPr>
              <w:spacing w:after="0" w:line="240" w:lineRule="auto"/>
              <w:jc w:val="left"/>
              <w:rPr>
                <w:sz w:val="18"/>
                <w:szCs w:val="18"/>
                <w:lang w:eastAsia="pl-PL"/>
              </w:rPr>
            </w:pPr>
            <w:r w:rsidRPr="004D03B2">
              <w:rPr>
                <w:sz w:val="18"/>
                <w:szCs w:val="18"/>
                <w:lang w:eastAsia="pl-PL"/>
              </w:rPr>
              <w:lastRenderedPageBreak/>
              <w:t>Obszary o najniższym poziomie rozwoju</w:t>
            </w:r>
          </w:p>
        </w:tc>
        <w:tc>
          <w:tcPr>
            <w:tcW w:w="2105" w:type="dxa"/>
            <w:tcBorders>
              <w:top w:val="single" w:sz="4" w:space="0" w:color="F6BB00"/>
              <w:bottom w:val="single" w:sz="4" w:space="0" w:color="F6BB00"/>
            </w:tcBorders>
            <w:vAlign w:val="center"/>
          </w:tcPr>
          <w:p w14:paraId="7EF21D18" w14:textId="77777777" w:rsidR="00421A25" w:rsidRPr="00942877" w:rsidRDefault="00421A25" w:rsidP="000B3274">
            <w:pPr>
              <w:spacing w:after="0" w:line="240" w:lineRule="auto"/>
              <w:jc w:val="left"/>
              <w:rPr>
                <w:sz w:val="18"/>
                <w:szCs w:val="18"/>
                <w:lang w:eastAsia="pl-PL"/>
              </w:rPr>
            </w:pPr>
            <w:r>
              <w:rPr>
                <w:noProof/>
                <w:sz w:val="18"/>
                <w:szCs w:val="18"/>
                <w:lang w:eastAsia="pl-PL"/>
              </w:rPr>
              <w:drawing>
                <wp:inline distT="0" distB="0" distL="0" distR="0" wp14:anchorId="2B0B7D04" wp14:editId="72C7C06B">
                  <wp:extent cx="900000" cy="1107237"/>
                  <wp:effectExtent l="0" t="0" r="0" b="0"/>
                  <wp:docPr id="1410683460" name="Obraz 141068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00000" cy="1107237"/>
                          </a:xfrm>
                          <a:prstGeom prst="rect">
                            <a:avLst/>
                          </a:prstGeom>
                          <a:noFill/>
                        </pic:spPr>
                      </pic:pic>
                    </a:graphicData>
                  </a:graphic>
                </wp:inline>
              </w:drawing>
            </w:r>
          </w:p>
        </w:tc>
        <w:tc>
          <w:tcPr>
            <w:tcW w:w="5549" w:type="dxa"/>
            <w:tcBorders>
              <w:top w:val="single" w:sz="4" w:space="0" w:color="F6BB00"/>
              <w:bottom w:val="single" w:sz="4" w:space="0" w:color="F6BB00"/>
            </w:tcBorders>
            <w:vAlign w:val="center"/>
          </w:tcPr>
          <w:p w14:paraId="29532598" w14:textId="7044A525" w:rsidR="00421A25" w:rsidRPr="00942877" w:rsidRDefault="00421A25" w:rsidP="009E7FBD">
            <w:pPr>
              <w:spacing w:before="40" w:after="40" w:line="240" w:lineRule="auto"/>
              <w:rPr>
                <w:sz w:val="18"/>
                <w:szCs w:val="18"/>
                <w:lang w:eastAsia="pl-PL"/>
              </w:rPr>
            </w:pPr>
            <w:r>
              <w:rPr>
                <w:sz w:val="18"/>
                <w:szCs w:val="18"/>
                <w:lang w:eastAsia="pl-PL"/>
              </w:rPr>
              <w:t xml:space="preserve">Wyznaczone obszary i zaadresowane do nich cele są właściwe. Należy przeprowadzić powtórną </w:t>
            </w:r>
            <w:r w:rsidR="2CD63631" w:rsidRPr="2CD63631">
              <w:rPr>
                <w:sz w:val="18"/>
                <w:szCs w:val="18"/>
                <w:lang w:eastAsia="pl-PL"/>
              </w:rPr>
              <w:t>delimitację – zweryfikować</w:t>
            </w:r>
            <w:r>
              <w:rPr>
                <w:sz w:val="18"/>
                <w:szCs w:val="18"/>
                <w:lang w:eastAsia="pl-PL"/>
              </w:rPr>
              <w:t xml:space="preserve"> czy zrealizowane w ostatnich latach przedsięwzięcia przyczyniły się do zmian. Ponadto należy uwzględnić to, że w</w:t>
            </w:r>
            <w:r w:rsidRPr="00575D5C">
              <w:rPr>
                <w:sz w:val="18"/>
                <w:szCs w:val="18"/>
                <w:lang w:eastAsia="pl-PL"/>
              </w:rPr>
              <w:t xml:space="preserve"> poszczególnych obszarach tematycznych zmiany zachodzą szybciej lub wolniej. Zakładając, że Strategia i programy wdrożeniowe mają perspektywę co najmniej kilkuletnią może się okazać, że już po 2 latach zakres terytorializacji jest nieaktualny</w:t>
            </w:r>
            <w:r>
              <w:rPr>
                <w:sz w:val="18"/>
                <w:szCs w:val="18"/>
                <w:lang w:eastAsia="pl-PL"/>
              </w:rPr>
              <w:t>. W tym przypadku rekomendujemy monitorowanie zmian w poszczególnych obszarach w celu aktualizacji delimitacji i/lub prowadzenie jej w</w:t>
            </w:r>
            <w:r w:rsidRPr="00E31913">
              <w:rPr>
                <w:sz w:val="18"/>
                <w:szCs w:val="18"/>
                <w:lang w:eastAsia="pl-PL"/>
              </w:rPr>
              <w:t xml:space="preserve"> ujęciu prospektywnym, czyli delimitacji danego obszaru na podstawie prognoz.</w:t>
            </w:r>
          </w:p>
        </w:tc>
      </w:tr>
      <w:tr w:rsidR="00421A25" w:rsidRPr="00EB1427" w14:paraId="05AE8045" w14:textId="77777777" w:rsidTr="00624AA4">
        <w:tc>
          <w:tcPr>
            <w:tcW w:w="1418" w:type="dxa"/>
            <w:tcBorders>
              <w:top w:val="single" w:sz="4" w:space="0" w:color="F6BB00"/>
              <w:bottom w:val="single" w:sz="4" w:space="0" w:color="F6BB00"/>
            </w:tcBorders>
            <w:vAlign w:val="center"/>
          </w:tcPr>
          <w:p w14:paraId="2EB3AFD1" w14:textId="77777777" w:rsidR="00421A25" w:rsidRPr="00EB1427" w:rsidRDefault="00421A25" w:rsidP="000B3274">
            <w:pPr>
              <w:spacing w:after="0" w:line="240" w:lineRule="auto"/>
              <w:jc w:val="left"/>
              <w:rPr>
                <w:sz w:val="18"/>
                <w:szCs w:val="18"/>
                <w:lang w:eastAsia="pl-PL"/>
              </w:rPr>
            </w:pPr>
            <w:r w:rsidRPr="004D03B2">
              <w:rPr>
                <w:sz w:val="18"/>
                <w:szCs w:val="18"/>
                <w:lang w:eastAsia="pl-PL"/>
              </w:rPr>
              <w:t>Obszary wymagające restrukturyzacji i rewitalizacji</w:t>
            </w:r>
          </w:p>
        </w:tc>
        <w:tc>
          <w:tcPr>
            <w:tcW w:w="2105" w:type="dxa"/>
            <w:tcBorders>
              <w:top w:val="single" w:sz="4" w:space="0" w:color="F6BB00"/>
              <w:bottom w:val="single" w:sz="4" w:space="0" w:color="F6BB00"/>
            </w:tcBorders>
            <w:vAlign w:val="center"/>
          </w:tcPr>
          <w:p w14:paraId="3E6C9F4C" w14:textId="77777777" w:rsidR="00421A25" w:rsidRPr="00942877" w:rsidRDefault="00421A25" w:rsidP="000B3274">
            <w:pPr>
              <w:spacing w:after="0" w:line="240" w:lineRule="auto"/>
              <w:jc w:val="left"/>
              <w:rPr>
                <w:sz w:val="18"/>
                <w:szCs w:val="18"/>
                <w:lang w:eastAsia="pl-PL"/>
              </w:rPr>
            </w:pPr>
            <w:r>
              <w:rPr>
                <w:noProof/>
                <w:sz w:val="18"/>
                <w:szCs w:val="18"/>
                <w:lang w:eastAsia="pl-PL"/>
              </w:rPr>
              <w:drawing>
                <wp:inline distT="0" distB="0" distL="0" distR="0" wp14:anchorId="742DC207" wp14:editId="1A797BCF">
                  <wp:extent cx="900000" cy="1104000"/>
                  <wp:effectExtent l="0" t="0" r="0" b="1270"/>
                  <wp:docPr id="1410683464" name="Obraz 141068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0000" cy="1104000"/>
                          </a:xfrm>
                          <a:prstGeom prst="rect">
                            <a:avLst/>
                          </a:prstGeom>
                          <a:noFill/>
                        </pic:spPr>
                      </pic:pic>
                    </a:graphicData>
                  </a:graphic>
                </wp:inline>
              </w:drawing>
            </w:r>
          </w:p>
        </w:tc>
        <w:tc>
          <w:tcPr>
            <w:tcW w:w="5549" w:type="dxa"/>
            <w:tcBorders>
              <w:top w:val="single" w:sz="4" w:space="0" w:color="F6BB00"/>
              <w:bottom w:val="single" w:sz="4" w:space="0" w:color="F6BB00"/>
            </w:tcBorders>
            <w:vAlign w:val="center"/>
          </w:tcPr>
          <w:p w14:paraId="6827ED31" w14:textId="77777777" w:rsidR="00421A25" w:rsidRDefault="00421A25" w:rsidP="00E31913">
            <w:pPr>
              <w:spacing w:before="40" w:after="40" w:line="240" w:lineRule="auto"/>
              <w:rPr>
                <w:sz w:val="18"/>
                <w:szCs w:val="18"/>
                <w:lang w:eastAsia="pl-PL"/>
              </w:rPr>
            </w:pPr>
            <w:r>
              <w:rPr>
                <w:sz w:val="18"/>
                <w:szCs w:val="18"/>
                <w:lang w:eastAsia="pl-PL"/>
              </w:rPr>
              <w:t xml:space="preserve">Należy zaznaczyć, że obszar ten zależny jest od sektora paliwowo-energetycznego. Obecny zapis SRWW 2020 </w:t>
            </w:r>
            <w:r w:rsidRPr="00E31913">
              <w:rPr>
                <w:sz w:val="18"/>
                <w:szCs w:val="18"/>
                <w:lang w:eastAsia="pl-PL"/>
              </w:rPr>
              <w:t xml:space="preserve">miasta i obszary tracące funkcje społeczno-gospodarcze </w:t>
            </w:r>
            <w:r>
              <w:rPr>
                <w:sz w:val="18"/>
                <w:szCs w:val="18"/>
                <w:lang w:eastAsia="pl-PL"/>
              </w:rPr>
              <w:t>wprowadza odbiorcę w błąd, że tereny takie występują tylko we wschodniej części regionu.</w:t>
            </w:r>
          </w:p>
          <w:p w14:paraId="5EC34EAF" w14:textId="77777777" w:rsidR="00421A25" w:rsidRPr="00942877" w:rsidRDefault="00421A25" w:rsidP="00E31913">
            <w:pPr>
              <w:spacing w:before="40" w:after="40" w:line="240" w:lineRule="auto"/>
              <w:rPr>
                <w:sz w:val="18"/>
                <w:szCs w:val="18"/>
                <w:lang w:eastAsia="pl-PL"/>
              </w:rPr>
            </w:pPr>
            <w:r>
              <w:rPr>
                <w:sz w:val="18"/>
                <w:szCs w:val="18"/>
                <w:lang w:eastAsia="pl-PL"/>
              </w:rPr>
              <w:t xml:space="preserve">Mając na uwadze zapisy nowej KSRR należy zwrócić uwagę, że przy aktualizacji SRWW 2020 trzeba uwzględnić OSI </w:t>
            </w:r>
            <w:r w:rsidRPr="00E31913">
              <w:rPr>
                <w:sz w:val="18"/>
                <w:szCs w:val="18"/>
                <w:lang w:eastAsia="pl-PL"/>
              </w:rPr>
              <w:t>miasta tracące funkcje społeczno-gospodarcze</w:t>
            </w:r>
            <w:r>
              <w:rPr>
                <w:sz w:val="18"/>
                <w:szCs w:val="18"/>
                <w:lang w:eastAsia="pl-PL"/>
              </w:rPr>
              <w:t xml:space="preserve"> – wskazane w nim 7 ośrodków miejskich z regionu. </w:t>
            </w:r>
          </w:p>
        </w:tc>
      </w:tr>
      <w:tr w:rsidR="00421A25" w:rsidRPr="00EB1427" w14:paraId="4F4C62B5" w14:textId="77777777" w:rsidTr="00624AA4">
        <w:tc>
          <w:tcPr>
            <w:tcW w:w="1418" w:type="dxa"/>
            <w:tcBorders>
              <w:top w:val="single" w:sz="4" w:space="0" w:color="F6BB00"/>
              <w:bottom w:val="single" w:sz="4" w:space="0" w:color="F6BB00"/>
            </w:tcBorders>
            <w:vAlign w:val="center"/>
          </w:tcPr>
          <w:p w14:paraId="127B91BD" w14:textId="77777777" w:rsidR="00421A25" w:rsidRPr="00AB5EAA" w:rsidRDefault="00421A25" w:rsidP="000B3274">
            <w:pPr>
              <w:spacing w:after="0" w:line="240" w:lineRule="auto"/>
              <w:jc w:val="left"/>
              <w:rPr>
                <w:sz w:val="18"/>
                <w:szCs w:val="18"/>
                <w:lang w:eastAsia="pl-PL"/>
              </w:rPr>
            </w:pPr>
            <w:r w:rsidRPr="004D03B2">
              <w:rPr>
                <w:sz w:val="18"/>
                <w:szCs w:val="18"/>
                <w:lang w:eastAsia="pl-PL"/>
              </w:rPr>
              <w:t>Preferencje dla obszarów o najniższej dostępności do usług</w:t>
            </w:r>
          </w:p>
        </w:tc>
        <w:tc>
          <w:tcPr>
            <w:tcW w:w="2105" w:type="dxa"/>
            <w:tcBorders>
              <w:top w:val="single" w:sz="4" w:space="0" w:color="F6BB00"/>
              <w:bottom w:val="single" w:sz="4" w:space="0" w:color="F6BB00"/>
            </w:tcBorders>
            <w:vAlign w:val="center"/>
          </w:tcPr>
          <w:p w14:paraId="2992BBC1" w14:textId="77777777" w:rsidR="00421A25" w:rsidRPr="00942877" w:rsidRDefault="00421A25" w:rsidP="000B3274">
            <w:pPr>
              <w:spacing w:after="0" w:line="240" w:lineRule="auto"/>
              <w:jc w:val="left"/>
              <w:rPr>
                <w:sz w:val="18"/>
                <w:szCs w:val="18"/>
                <w:lang w:eastAsia="pl-PL"/>
              </w:rPr>
            </w:pPr>
            <w:r>
              <w:rPr>
                <w:noProof/>
                <w:sz w:val="18"/>
                <w:szCs w:val="18"/>
                <w:lang w:eastAsia="pl-PL"/>
              </w:rPr>
              <w:drawing>
                <wp:inline distT="0" distB="0" distL="0" distR="0" wp14:anchorId="418F7204" wp14:editId="3715D7AC">
                  <wp:extent cx="900000" cy="1082353"/>
                  <wp:effectExtent l="0" t="0" r="0" b="3810"/>
                  <wp:docPr id="1410683465" name="Obraz 141068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00000" cy="1082353"/>
                          </a:xfrm>
                          <a:prstGeom prst="rect">
                            <a:avLst/>
                          </a:prstGeom>
                          <a:noFill/>
                        </pic:spPr>
                      </pic:pic>
                    </a:graphicData>
                  </a:graphic>
                </wp:inline>
              </w:drawing>
            </w:r>
          </w:p>
        </w:tc>
        <w:tc>
          <w:tcPr>
            <w:tcW w:w="5549" w:type="dxa"/>
            <w:tcBorders>
              <w:top w:val="single" w:sz="4" w:space="0" w:color="F6BB00"/>
              <w:bottom w:val="single" w:sz="4" w:space="0" w:color="F6BB00"/>
            </w:tcBorders>
            <w:vAlign w:val="center"/>
          </w:tcPr>
          <w:p w14:paraId="7D39A883" w14:textId="2BE80D9E" w:rsidR="00421A25" w:rsidRDefault="00421A25" w:rsidP="00E31913">
            <w:pPr>
              <w:spacing w:before="40" w:after="40" w:line="240" w:lineRule="auto"/>
              <w:rPr>
                <w:sz w:val="18"/>
                <w:szCs w:val="18"/>
                <w:lang w:eastAsia="pl-PL"/>
              </w:rPr>
            </w:pPr>
            <w:r>
              <w:rPr>
                <w:sz w:val="18"/>
                <w:szCs w:val="18"/>
                <w:lang w:eastAsia="pl-PL"/>
              </w:rPr>
              <w:t xml:space="preserve">Wskazane jest uszczegółowienie obszaru – łączenie usług z zakresu kultury, zdrowia czy dostępności infrastruktury technicznej jednocześnie, zaburza m.in. realny popyt na usługi stricte społeczne np. </w:t>
            </w:r>
            <w:r w:rsidR="6F8073E8" w:rsidRPr="6F8073E8">
              <w:rPr>
                <w:sz w:val="18"/>
                <w:szCs w:val="18"/>
                <w:lang w:eastAsia="pl-PL"/>
              </w:rPr>
              <w:t xml:space="preserve">dostęp do żłobków </w:t>
            </w:r>
            <w:r>
              <w:rPr>
                <w:sz w:val="18"/>
                <w:szCs w:val="18"/>
                <w:lang w:eastAsia="pl-PL"/>
              </w:rPr>
              <w:t>w powiecie poznańskim</w:t>
            </w:r>
            <w:r w:rsidR="6F8073E8" w:rsidRPr="6F8073E8">
              <w:rPr>
                <w:sz w:val="18"/>
                <w:szCs w:val="18"/>
                <w:lang w:eastAsia="pl-PL"/>
              </w:rPr>
              <w:t>.</w:t>
            </w:r>
          </w:p>
          <w:p w14:paraId="28029BC8" w14:textId="77777777" w:rsidR="00421A25" w:rsidRDefault="00421A25" w:rsidP="00E31913">
            <w:pPr>
              <w:spacing w:before="40" w:after="40" w:line="240" w:lineRule="auto"/>
              <w:rPr>
                <w:sz w:val="18"/>
                <w:szCs w:val="18"/>
                <w:lang w:eastAsia="pl-PL"/>
              </w:rPr>
            </w:pPr>
            <w:r>
              <w:rPr>
                <w:sz w:val="18"/>
                <w:szCs w:val="18"/>
                <w:lang w:eastAsia="pl-PL"/>
              </w:rPr>
              <w:t>Podczas wywiadów IDI stwierdzono, że ciężko terytorializować działania w obszarze opieki zdrowotnej – samorządy też nie mają takich instrumentów, które pozwoliłyby na umiejscowienie zakładów opieki zdrowotnej w konkretnej gminie.</w:t>
            </w:r>
          </w:p>
          <w:p w14:paraId="071F1A9B" w14:textId="77777777" w:rsidR="00421A25" w:rsidRPr="00942877" w:rsidRDefault="00421A25" w:rsidP="00E31913">
            <w:pPr>
              <w:spacing w:before="40" w:after="40" w:line="240" w:lineRule="auto"/>
              <w:rPr>
                <w:sz w:val="18"/>
                <w:szCs w:val="18"/>
                <w:lang w:eastAsia="pl-PL"/>
              </w:rPr>
            </w:pPr>
            <w:r>
              <w:rPr>
                <w:sz w:val="18"/>
                <w:szCs w:val="18"/>
                <w:lang w:eastAsia="pl-PL"/>
              </w:rPr>
              <w:t>W związku z powyższym warto się zastanowić nad dobraniem innych kryteriów delimitacji dla takiego obszaru m.in. wykluczając te zagadnienia, których nie powinno się terytorializować.</w:t>
            </w:r>
          </w:p>
        </w:tc>
      </w:tr>
      <w:tr w:rsidR="00421A25" w:rsidRPr="00EB1427" w14:paraId="50593030" w14:textId="77777777" w:rsidTr="00624AA4">
        <w:tc>
          <w:tcPr>
            <w:tcW w:w="1418" w:type="dxa"/>
            <w:tcBorders>
              <w:top w:val="single" w:sz="4" w:space="0" w:color="F6BB00"/>
              <w:bottom w:val="single" w:sz="4" w:space="0" w:color="F6BB00"/>
            </w:tcBorders>
            <w:vAlign w:val="center"/>
          </w:tcPr>
          <w:p w14:paraId="40738EA6" w14:textId="77777777" w:rsidR="00421A25" w:rsidRPr="00AB5EAA" w:rsidRDefault="00421A25" w:rsidP="000B3274">
            <w:pPr>
              <w:spacing w:after="0" w:line="240" w:lineRule="auto"/>
              <w:jc w:val="left"/>
              <w:rPr>
                <w:sz w:val="18"/>
                <w:szCs w:val="18"/>
                <w:lang w:eastAsia="pl-PL"/>
              </w:rPr>
            </w:pPr>
            <w:r w:rsidRPr="004D03B2">
              <w:rPr>
                <w:sz w:val="18"/>
                <w:szCs w:val="18"/>
                <w:lang w:eastAsia="pl-PL"/>
              </w:rPr>
              <w:t>Preferencje dla obszarów o wyjątkowych walorach kulturowych</w:t>
            </w:r>
          </w:p>
        </w:tc>
        <w:tc>
          <w:tcPr>
            <w:tcW w:w="2105" w:type="dxa"/>
            <w:tcBorders>
              <w:top w:val="single" w:sz="4" w:space="0" w:color="F6BB00"/>
              <w:bottom w:val="single" w:sz="4" w:space="0" w:color="F6BB00"/>
            </w:tcBorders>
            <w:vAlign w:val="center"/>
          </w:tcPr>
          <w:p w14:paraId="2C34486D" w14:textId="77777777" w:rsidR="00421A25" w:rsidRPr="00942877" w:rsidRDefault="00421A25" w:rsidP="000B3274">
            <w:pPr>
              <w:spacing w:after="0" w:line="240" w:lineRule="auto"/>
              <w:jc w:val="left"/>
              <w:rPr>
                <w:sz w:val="18"/>
                <w:szCs w:val="18"/>
                <w:lang w:eastAsia="pl-PL"/>
              </w:rPr>
            </w:pPr>
            <w:r>
              <w:rPr>
                <w:noProof/>
                <w:sz w:val="18"/>
                <w:szCs w:val="18"/>
                <w:lang w:eastAsia="pl-PL"/>
              </w:rPr>
              <w:drawing>
                <wp:inline distT="0" distB="0" distL="0" distR="0" wp14:anchorId="5BFFC19E" wp14:editId="7DB3A5F5">
                  <wp:extent cx="900000" cy="1070193"/>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00000" cy="1070193"/>
                          </a:xfrm>
                          <a:prstGeom prst="rect">
                            <a:avLst/>
                          </a:prstGeom>
                          <a:noFill/>
                        </pic:spPr>
                      </pic:pic>
                    </a:graphicData>
                  </a:graphic>
                </wp:inline>
              </w:drawing>
            </w:r>
          </w:p>
        </w:tc>
        <w:tc>
          <w:tcPr>
            <w:tcW w:w="5549" w:type="dxa"/>
            <w:tcBorders>
              <w:top w:val="single" w:sz="4" w:space="0" w:color="F6BB00"/>
              <w:bottom w:val="single" w:sz="4" w:space="0" w:color="F6BB00"/>
            </w:tcBorders>
            <w:vAlign w:val="center"/>
          </w:tcPr>
          <w:p w14:paraId="6CCB5A6E" w14:textId="18404D37" w:rsidR="00421A25" w:rsidRPr="00942877" w:rsidRDefault="00421A25" w:rsidP="00E31913">
            <w:pPr>
              <w:spacing w:before="40" w:after="40" w:line="240" w:lineRule="auto"/>
              <w:rPr>
                <w:sz w:val="18"/>
                <w:szCs w:val="18"/>
                <w:lang w:eastAsia="pl-PL"/>
              </w:rPr>
            </w:pPr>
            <w:r>
              <w:rPr>
                <w:sz w:val="18"/>
                <w:szCs w:val="18"/>
                <w:lang w:eastAsia="pl-PL"/>
              </w:rPr>
              <w:t>Warto się zastanowić</w:t>
            </w:r>
            <w:r w:rsidR="6F8073E8" w:rsidRPr="6F8073E8">
              <w:rPr>
                <w:sz w:val="18"/>
                <w:szCs w:val="18"/>
                <w:lang w:eastAsia="pl-PL"/>
              </w:rPr>
              <w:t>,</w:t>
            </w:r>
            <w:r>
              <w:rPr>
                <w:sz w:val="18"/>
                <w:szCs w:val="18"/>
                <w:lang w:eastAsia="pl-PL"/>
              </w:rPr>
              <w:t xml:space="preserve"> czy jest sens wyznaczać obszar, który obejmuje prawie </w:t>
            </w:r>
            <w:r w:rsidR="6F8073E8" w:rsidRPr="6F8073E8">
              <w:rPr>
                <w:sz w:val="18"/>
                <w:szCs w:val="18"/>
                <w:lang w:eastAsia="pl-PL"/>
              </w:rPr>
              <w:t>cały</w:t>
            </w:r>
            <w:r>
              <w:rPr>
                <w:sz w:val="18"/>
                <w:szCs w:val="18"/>
                <w:lang w:eastAsia="pl-PL"/>
              </w:rPr>
              <w:t xml:space="preserve"> region. Geneza obszaru związana jest z obszarami funkcjonalnymi zdefiniowanymi w KPZK (które niebawem przestaną obowiązywać). O ile nie będzie takiego wymogu rekomenduje się usunięcie obszaru z listy wyznaczonych OSI, a w przypadku, gdy zajdzie taka potrzeba określenie kryteriów, które pozwolą na wyłonienie obszarów o znaczeniu ponadlokalnym i regionalnym (przy jednocześnie większym uwzględnieniu wojewódzkich instytucji kulturowych).</w:t>
            </w:r>
          </w:p>
        </w:tc>
      </w:tr>
    </w:tbl>
    <w:p w14:paraId="089A6F97" w14:textId="77777777" w:rsidR="00831FBC" w:rsidRDefault="00421A25" w:rsidP="00421A25">
      <w:pPr>
        <w:rPr>
          <w:sz w:val="14"/>
          <w:lang w:eastAsia="pl-PL"/>
        </w:rPr>
      </w:pPr>
      <w:r w:rsidRPr="001A1F76">
        <w:rPr>
          <w:sz w:val="14"/>
          <w:lang w:eastAsia="pl-PL"/>
        </w:rPr>
        <w:t xml:space="preserve">Źródło: Opracowanie własne na podstawie </w:t>
      </w:r>
      <w:r w:rsidR="00624AA4">
        <w:rPr>
          <w:sz w:val="14"/>
          <w:lang w:eastAsia="pl-PL"/>
        </w:rPr>
        <w:t>SRWW 2020.</w:t>
      </w:r>
    </w:p>
    <w:p w14:paraId="27B7B8A4" w14:textId="77777777" w:rsidR="00831FBC" w:rsidRDefault="00831FBC">
      <w:pPr>
        <w:spacing w:after="0" w:line="240" w:lineRule="auto"/>
        <w:jc w:val="left"/>
        <w:rPr>
          <w:sz w:val="14"/>
          <w:lang w:eastAsia="pl-PL"/>
        </w:rPr>
      </w:pPr>
      <w:r>
        <w:rPr>
          <w:sz w:val="14"/>
          <w:lang w:eastAsia="pl-PL"/>
        </w:rPr>
        <w:br w:type="page"/>
      </w:r>
    </w:p>
    <w:p w14:paraId="1E853C5C" w14:textId="77777777" w:rsidR="00421A25" w:rsidRDefault="00421A25" w:rsidP="002C2855">
      <w:pPr>
        <w:pStyle w:val="Nagwek2"/>
      </w:pPr>
      <w:bookmarkStart w:id="148" w:name="_Toc536653122"/>
      <w:bookmarkStart w:id="149" w:name="_Toc1904794"/>
      <w:bookmarkStart w:id="150" w:name="_Toc5699468"/>
      <w:r>
        <w:lastRenderedPageBreak/>
        <w:t>Terytorializacja strategii a realizacja programów</w:t>
      </w:r>
      <w:bookmarkEnd w:id="148"/>
      <w:bookmarkEnd w:id="149"/>
      <w:bookmarkEnd w:id="150"/>
    </w:p>
    <w:p w14:paraId="78694719" w14:textId="77777777" w:rsidR="00421A25" w:rsidRPr="00624AA4" w:rsidRDefault="00421A25" w:rsidP="00421A25">
      <w:pPr>
        <w:ind w:left="5528"/>
        <w:jc w:val="left"/>
        <w:rPr>
          <w:b/>
          <w:i/>
          <w:color w:val="001236"/>
        </w:rPr>
      </w:pPr>
      <w:r w:rsidRPr="00624AA4">
        <w:rPr>
          <w:b/>
          <w:i/>
          <w:color w:val="001236"/>
        </w:rPr>
        <w:t>Nie wszystkie obszary interwencji mają wyznaczone mechanizmy wsparcia…</w:t>
      </w:r>
    </w:p>
    <w:p w14:paraId="79D97454" w14:textId="77777777" w:rsidR="00421A25" w:rsidRDefault="00421A25" w:rsidP="002C2855">
      <w:pPr>
        <w:shd w:val="clear" w:color="auto" w:fill="FFE599"/>
      </w:pPr>
      <w:r>
        <w:t>Nie wszystkie cele SRWW 2020 są adresowane terytorialne. Część z nich obejmuje zasięgiem cały region. Są to tzw. cele horyzontalne. Adresowane terytorialnie cele mają dwa wymiary. Pierwszy z nich to cele, które dotyczą de facto działań na obszarze całego województwa, jednak wskazane są w ramach nich preferencje dla zdelimitowanych obszarów. Drugi wymiar dotyczy celów, które realizowane są stricte na wyznaczonych obszarach interwencji.</w:t>
      </w:r>
    </w:p>
    <w:p w14:paraId="2650AA3C" w14:textId="56FA6190" w:rsidR="00421A25" w:rsidRDefault="00421A25" w:rsidP="00421A25">
      <w:r>
        <w:t>Wyznaczony zakres terytorializacji wydaje się zasadny. Z jednej strony Strategia uwzględnia działania, których nie można ograniczyć jedynie do konkretnych obszarów, ale uwzględnia preferencje dla tych, na których widoczne jest największe zapotrzebowanie. Z drugiej strony są cele ukierunkowane jedynie na konkretne obszary i sam zakres działań określony w ramach nich wyklucza możliwość ich realizacji w innym miejscu</w:t>
      </w:r>
      <w:r w:rsidR="6F8073E8">
        <w:t>,</w:t>
      </w:r>
      <w:r>
        <w:t xml:space="preserve"> np. cele ukierunkowane na rozwój metropolii poznańskiej czy ośrodków subregionalnych.</w:t>
      </w:r>
    </w:p>
    <w:p w14:paraId="7F9F930A" w14:textId="2EA42E41" w:rsidR="00421A25" w:rsidRDefault="00421A25" w:rsidP="00421A25">
      <w:r>
        <w:t>Analizując narzędzia terytorializacji należy zwrócić uwagę, że pojawiają się takie obszary, dla których nie wskazano specjalnych instrumentów wsparcia np. obszary cenne przyrodniczo, obszary ochrony krajobrazów kulturowych, obszary ochrony i kształtowania zasobów wodnych i ośrodki lokalne (</w:t>
      </w:r>
      <w:r>
        <w:fldChar w:fldCharType="begin"/>
      </w:r>
      <w:r>
        <w:instrText xml:space="preserve"> REF _Ref536617170 \h </w:instrText>
      </w:r>
      <w:r>
        <w:fldChar w:fldCharType="separate"/>
      </w:r>
      <w:r w:rsidR="007F4FA2" w:rsidRPr="006B6A0F">
        <w:t xml:space="preserve">Tabela </w:t>
      </w:r>
      <w:r w:rsidR="007F4FA2">
        <w:rPr>
          <w:noProof/>
        </w:rPr>
        <w:t>14</w:t>
      </w:r>
      <w:r>
        <w:fldChar w:fldCharType="end"/>
      </w:r>
      <w:r>
        <w:t xml:space="preserve">). W przypadku trzech pierwszych wymienionych obszarów poddaje się pod wątpliwość zasadność ich terytorializacji, bowiem obejmują one cały region. </w:t>
      </w:r>
      <w:r w:rsidRPr="00EA3A8B">
        <w:rPr>
          <w:shd w:val="clear" w:color="auto" w:fill="FFFFFF" w:themeFill="background1"/>
        </w:rPr>
        <w:t>Jednocześnie</w:t>
      </w:r>
      <w:r>
        <w:rPr>
          <w:shd w:val="clear" w:color="auto" w:fill="FFFFFF" w:themeFill="background1"/>
        </w:rPr>
        <w:t>,</w:t>
      </w:r>
      <w:r w:rsidRPr="00EA3A8B">
        <w:rPr>
          <w:shd w:val="clear" w:color="auto" w:fill="FFFFFF" w:themeFill="background1"/>
        </w:rPr>
        <w:t xml:space="preserve"> przeprowadz</w:t>
      </w:r>
      <w:r>
        <w:rPr>
          <w:shd w:val="clear" w:color="auto" w:fill="FFFFFF" w:themeFill="background1"/>
        </w:rPr>
        <w:t>o</w:t>
      </w:r>
      <w:r w:rsidRPr="00EA3A8B">
        <w:rPr>
          <w:shd w:val="clear" w:color="auto" w:fill="FFFFFF" w:themeFill="background1"/>
        </w:rPr>
        <w:t>ne badania jakościowe pozwalają stwierdzić, że w kwestiach środowiskowych i kulturowych zróżnicowanie to jest</w:t>
      </w:r>
      <w:r>
        <w:rPr>
          <w:shd w:val="clear" w:color="auto" w:fill="FFFFFF" w:themeFill="background1"/>
        </w:rPr>
        <w:t xml:space="preserve"> bardziej</w:t>
      </w:r>
      <w:r w:rsidRPr="00EA3A8B">
        <w:rPr>
          <w:shd w:val="clear" w:color="auto" w:fill="FFFFFF" w:themeFill="background1"/>
        </w:rPr>
        <w:t xml:space="preserve"> widoczne</w:t>
      </w:r>
      <w:r>
        <w:rPr>
          <w:shd w:val="clear" w:color="auto" w:fill="FFFFFF" w:themeFill="background1"/>
        </w:rPr>
        <w:t xml:space="preserve"> niż obrazują mapy delimitacji</w:t>
      </w:r>
      <w:r w:rsidRPr="00EA3A8B">
        <w:rPr>
          <w:shd w:val="clear" w:color="auto" w:fill="FFFFFF" w:themeFill="background1"/>
        </w:rPr>
        <w:t>.</w:t>
      </w:r>
      <w:r>
        <w:rPr>
          <w:shd w:val="clear" w:color="auto" w:fill="FFFFFF" w:themeFill="background1"/>
        </w:rPr>
        <w:t xml:space="preserve"> Należy jednak pamiętać, że geneza delimitacji tych obszarów powiązana jest z obszarami funkcjonalnymi zdefiniowanymi w KPZK (który niebawem przestanie obowiązywać). Istotne jest zatem doprecyzowanie jakiego rodzaju zmiany ma wywołać realizacja Strategii w konkretnych częściach regionu. Wówczas bardziej precyzyjnie można by rozróżnić np. obszary cenne przyrodniczo w celu tematycznym związanym z jakością środowiska przyrodniczego, bądź też wskazać te pola interwencji jako horyzontalne.</w:t>
      </w:r>
    </w:p>
    <w:p w14:paraId="27D8DF45" w14:textId="77777777" w:rsidR="00421A25" w:rsidRDefault="00421A25" w:rsidP="00421A25">
      <w:r>
        <w:t>Ponadto w dokumencie wdrożeniowym do Strategii zdelimitowany został jeszcze jeden obszar, ochrony strategicznych złóż kopalin (dla celu 2.4.), który nie został uwzględniony w ramach Strategii i WRPO 2014+ (nie widziano zasadności jego stosowania ze względu na fakt, iż jego wyznaczenie miało na celu uregulowanie sposobu zagospodarowania terenów położonych na złożach).</w:t>
      </w:r>
    </w:p>
    <w:p w14:paraId="45FA1EA0" w14:textId="015B94DF" w:rsidR="00421A25" w:rsidRPr="006B6A0F" w:rsidRDefault="00421A25" w:rsidP="00421A25">
      <w:pPr>
        <w:pStyle w:val="Legenda"/>
        <w:rPr>
          <w:color w:val="000000" w:themeColor="text1"/>
        </w:rPr>
      </w:pPr>
      <w:bookmarkStart w:id="151" w:name="_Ref536617170"/>
      <w:bookmarkStart w:id="152" w:name="_Toc5699547"/>
      <w:r w:rsidRPr="006B6A0F">
        <w:rPr>
          <w:color w:val="000000" w:themeColor="text1"/>
        </w:rPr>
        <w:t xml:space="preserve">Tabela </w:t>
      </w:r>
      <w:r w:rsidRPr="1FA2818E">
        <w:fldChar w:fldCharType="begin"/>
      </w:r>
      <w:r w:rsidRPr="006B6A0F">
        <w:rPr>
          <w:color w:val="000000" w:themeColor="text1"/>
        </w:rPr>
        <w:instrText xml:space="preserve"> SEQ Tabela \* ARABIC </w:instrText>
      </w:r>
      <w:r w:rsidRPr="1FA2818E">
        <w:rPr>
          <w:color w:val="000000" w:themeColor="text1"/>
        </w:rPr>
        <w:fldChar w:fldCharType="separate"/>
      </w:r>
      <w:r w:rsidR="007F4FA2">
        <w:rPr>
          <w:noProof/>
          <w:color w:val="000000" w:themeColor="text1"/>
        </w:rPr>
        <w:t>14</w:t>
      </w:r>
      <w:r w:rsidRPr="1FA2818E">
        <w:fldChar w:fldCharType="end"/>
      </w:r>
      <w:bookmarkEnd w:id="151"/>
      <w:r w:rsidRPr="006B6A0F">
        <w:rPr>
          <w:color w:val="000000" w:themeColor="text1"/>
        </w:rPr>
        <w:t>. Zakres i instrumenty terytorializacji</w:t>
      </w:r>
      <w:bookmarkEnd w:id="152"/>
    </w:p>
    <w:tbl>
      <w:tblPr>
        <w:tblStyle w:val="Zwykatabela2"/>
        <w:tblW w:w="9072" w:type="dxa"/>
        <w:tblBorders>
          <w:top w:val="single" w:sz="4" w:space="0" w:color="FFC000" w:themeColor="accent4"/>
          <w:bottom w:val="single" w:sz="4" w:space="0" w:color="FFC000" w:themeColor="accent4"/>
          <w:insideH w:val="single" w:sz="4" w:space="0" w:color="FFC000" w:themeColor="accent4"/>
        </w:tblBorders>
        <w:tblLayout w:type="fixed"/>
        <w:tblLook w:val="04A0" w:firstRow="1" w:lastRow="0" w:firstColumn="1" w:lastColumn="0" w:noHBand="0" w:noVBand="1"/>
        <w:tblCaption w:val="Tabela 13. Zakres i instrumenty terytorializacji"/>
        <w:tblDescription w:val="Tabela przedstawia sterytorializowane cele operacyjne i przypisany do nich zakres interwencji (czy dotyczą preferencji dla wyznaczonych obszarów, czy też adresowane są wyłącznie do tych obszarów) oraz instrumenty terytorializacji (w ramach RPO i PROW)."/>
      </w:tblPr>
      <w:tblGrid>
        <w:gridCol w:w="6096"/>
        <w:gridCol w:w="1417"/>
        <w:gridCol w:w="1559"/>
      </w:tblGrid>
      <w:tr w:rsidR="00421A25" w:rsidRPr="007C66C4" w14:paraId="430C1A4F" w14:textId="77777777" w:rsidTr="7CCF450C">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6096" w:type="dxa"/>
            <w:tcBorders>
              <w:bottom w:val="single" w:sz="4" w:space="0" w:color="F6BB00"/>
            </w:tcBorders>
            <w:shd w:val="clear" w:color="auto" w:fill="F6BB00"/>
          </w:tcPr>
          <w:p w14:paraId="2775C1AF" w14:textId="77777777" w:rsidR="00421A25" w:rsidRPr="007C66C4" w:rsidRDefault="00421A25" w:rsidP="000B3274">
            <w:pPr>
              <w:jc w:val="left"/>
              <w:rPr>
                <w:rFonts w:eastAsiaTheme="minorHAnsi" w:cstheme="minorBidi"/>
                <w:sz w:val="18"/>
                <w:szCs w:val="18"/>
              </w:rPr>
            </w:pPr>
            <w:r w:rsidRPr="007C66C4">
              <w:rPr>
                <w:rFonts w:eastAsiaTheme="minorHAnsi" w:cstheme="minorBidi"/>
                <w:sz w:val="18"/>
                <w:szCs w:val="18"/>
              </w:rPr>
              <w:t>Cele operacyjne</w:t>
            </w:r>
          </w:p>
        </w:tc>
        <w:tc>
          <w:tcPr>
            <w:tcW w:w="1417" w:type="dxa"/>
            <w:tcBorders>
              <w:bottom w:val="single" w:sz="4" w:space="0" w:color="F6BB00"/>
            </w:tcBorders>
            <w:shd w:val="clear" w:color="auto" w:fill="F6BB00"/>
          </w:tcPr>
          <w:p w14:paraId="6B941D14" w14:textId="77777777" w:rsidR="00421A25" w:rsidRPr="007C66C4" w:rsidRDefault="00421A25" w:rsidP="000B3274">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heme="minorHAnsi" w:cstheme="minorBidi"/>
                <w:sz w:val="18"/>
                <w:szCs w:val="18"/>
              </w:rPr>
            </w:pPr>
            <w:r>
              <w:rPr>
                <w:rFonts w:eastAsiaTheme="minorHAnsi" w:cstheme="minorBidi"/>
                <w:sz w:val="18"/>
                <w:szCs w:val="18"/>
              </w:rPr>
              <w:t>Zakres terytorializacji*</w:t>
            </w:r>
          </w:p>
        </w:tc>
        <w:tc>
          <w:tcPr>
            <w:tcW w:w="1559" w:type="dxa"/>
            <w:tcBorders>
              <w:bottom w:val="single" w:sz="4" w:space="0" w:color="F6BB00"/>
            </w:tcBorders>
            <w:shd w:val="clear" w:color="auto" w:fill="F6BB00"/>
          </w:tcPr>
          <w:p w14:paraId="2C2C858C" w14:textId="77777777" w:rsidR="00421A25" w:rsidRPr="008F7EB8" w:rsidRDefault="00421A25" w:rsidP="000B327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Cs w:val="0"/>
                <w:sz w:val="18"/>
                <w:szCs w:val="18"/>
              </w:rPr>
            </w:pPr>
            <w:r w:rsidRPr="008F7EB8">
              <w:rPr>
                <w:rFonts w:eastAsiaTheme="minorHAnsi" w:cstheme="minorBidi"/>
                <w:bCs w:val="0"/>
                <w:sz w:val="18"/>
                <w:szCs w:val="18"/>
              </w:rPr>
              <w:t>Instrumenty</w:t>
            </w:r>
          </w:p>
        </w:tc>
      </w:tr>
      <w:tr w:rsidR="00421A25" w:rsidRPr="007C66C4" w14:paraId="28CA3AC0" w14:textId="77777777" w:rsidTr="7CCF450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F6BB00"/>
              <w:bottom w:val="single" w:sz="4" w:space="0" w:color="F6BB00"/>
            </w:tcBorders>
          </w:tcPr>
          <w:p w14:paraId="425A295B" w14:textId="77777777" w:rsidR="00421A25" w:rsidRPr="006066E7" w:rsidRDefault="00421A25" w:rsidP="000B3274">
            <w:pPr>
              <w:autoSpaceDE w:val="0"/>
              <w:autoSpaceDN w:val="0"/>
              <w:adjustRightInd w:val="0"/>
              <w:spacing w:after="0" w:line="240" w:lineRule="auto"/>
              <w:jc w:val="left"/>
              <w:rPr>
                <w:rFonts w:eastAsiaTheme="minorHAnsi" w:cs="Times New Roman"/>
                <w:b w:val="0"/>
                <w:sz w:val="18"/>
                <w:szCs w:val="18"/>
              </w:rPr>
            </w:pPr>
            <w:r w:rsidRPr="006066E7">
              <w:rPr>
                <w:rFonts w:eastAsiaTheme="minorHAnsi" w:cs="Times New Roman"/>
                <w:b w:val="0"/>
                <w:sz w:val="18"/>
                <w:szCs w:val="18"/>
              </w:rPr>
              <w:t xml:space="preserve">1.1. Zwiększenie spójności sieci drogowej </w:t>
            </w:r>
          </w:p>
        </w:tc>
        <w:tc>
          <w:tcPr>
            <w:tcW w:w="1417" w:type="dxa"/>
            <w:tcBorders>
              <w:top w:val="single" w:sz="4" w:space="0" w:color="F6BB00"/>
              <w:bottom w:val="single" w:sz="4" w:space="0" w:color="F6BB00"/>
            </w:tcBorders>
          </w:tcPr>
          <w:p w14:paraId="17F16E0A" w14:textId="77777777" w:rsidR="00421A25" w:rsidRPr="007C66C4" w:rsidRDefault="00421A25" w:rsidP="000B3274">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Arial"/>
                <w:sz w:val="18"/>
                <w:szCs w:val="18"/>
              </w:rPr>
            </w:pPr>
            <w:r w:rsidRPr="007C66C4">
              <w:rPr>
                <w:rFonts w:eastAsiaTheme="minorHAnsi" w:cstheme="minorBidi"/>
                <w:sz w:val="18"/>
                <w:szCs w:val="18"/>
              </w:rPr>
              <w:t>Preferencje</w:t>
            </w:r>
          </w:p>
        </w:tc>
        <w:tc>
          <w:tcPr>
            <w:tcW w:w="1559" w:type="dxa"/>
            <w:tcBorders>
              <w:top w:val="single" w:sz="4" w:space="0" w:color="F6BB00"/>
              <w:bottom w:val="single" w:sz="4" w:space="0" w:color="F6BB00"/>
            </w:tcBorders>
          </w:tcPr>
          <w:p w14:paraId="24173147" w14:textId="77777777" w:rsidR="00421A25" w:rsidRPr="007C66C4" w:rsidRDefault="00421A25" w:rsidP="000B3274">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sz w:val="18"/>
                <w:szCs w:val="18"/>
              </w:rPr>
            </w:pPr>
            <w:r>
              <w:rPr>
                <w:rFonts w:eastAsiaTheme="minorHAnsi" w:cs="Arial"/>
                <w:sz w:val="18"/>
                <w:szCs w:val="18"/>
              </w:rPr>
              <w:t>Preferencje RPO</w:t>
            </w:r>
          </w:p>
        </w:tc>
      </w:tr>
      <w:tr w:rsidR="00421A25" w:rsidRPr="007C66C4" w14:paraId="2992F09A" w14:textId="77777777" w:rsidTr="7CCF450C">
        <w:trPr>
          <w:trHeight w:val="255"/>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F6BB00"/>
              <w:bottom w:val="single" w:sz="4" w:space="0" w:color="F6BB00"/>
            </w:tcBorders>
          </w:tcPr>
          <w:p w14:paraId="713C95F0" w14:textId="77777777" w:rsidR="00421A25" w:rsidRPr="006066E7" w:rsidRDefault="00421A25" w:rsidP="000B3274">
            <w:pPr>
              <w:autoSpaceDE w:val="0"/>
              <w:autoSpaceDN w:val="0"/>
              <w:adjustRightInd w:val="0"/>
              <w:spacing w:after="0" w:line="240" w:lineRule="auto"/>
              <w:jc w:val="left"/>
              <w:rPr>
                <w:rFonts w:eastAsiaTheme="minorHAnsi" w:cs="Times New Roman"/>
                <w:b w:val="0"/>
                <w:sz w:val="18"/>
                <w:szCs w:val="18"/>
              </w:rPr>
            </w:pPr>
            <w:r w:rsidRPr="006066E7">
              <w:rPr>
                <w:rFonts w:eastAsiaTheme="minorHAnsi" w:cs="Times New Roman"/>
                <w:b w:val="0"/>
                <w:sz w:val="18"/>
                <w:szCs w:val="18"/>
              </w:rPr>
              <w:t>1.2. Wzrost różnorodności oraz upowszechnianie efektywnych form transportu</w:t>
            </w:r>
          </w:p>
        </w:tc>
        <w:tc>
          <w:tcPr>
            <w:tcW w:w="1417" w:type="dxa"/>
            <w:tcBorders>
              <w:top w:val="single" w:sz="4" w:space="0" w:color="F6BB00"/>
              <w:bottom w:val="single" w:sz="4" w:space="0" w:color="F6BB00"/>
            </w:tcBorders>
          </w:tcPr>
          <w:p w14:paraId="3C510F40" w14:textId="77777777" w:rsidR="00421A25" w:rsidRPr="007C66C4" w:rsidRDefault="00421A25" w:rsidP="000B3274">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Arial"/>
                <w:sz w:val="18"/>
                <w:szCs w:val="18"/>
              </w:rPr>
            </w:pPr>
            <w:r w:rsidRPr="007C66C4">
              <w:rPr>
                <w:rFonts w:eastAsiaTheme="minorHAnsi" w:cstheme="minorBidi"/>
                <w:sz w:val="18"/>
                <w:szCs w:val="18"/>
              </w:rPr>
              <w:t>Preferencje</w:t>
            </w:r>
          </w:p>
        </w:tc>
        <w:tc>
          <w:tcPr>
            <w:tcW w:w="1559" w:type="dxa"/>
            <w:tcBorders>
              <w:top w:val="single" w:sz="4" w:space="0" w:color="F6BB00"/>
              <w:bottom w:val="single" w:sz="4" w:space="0" w:color="F6BB00"/>
            </w:tcBorders>
          </w:tcPr>
          <w:p w14:paraId="0CC2D5DB" w14:textId="77777777" w:rsidR="00421A25" w:rsidRPr="007C66C4" w:rsidRDefault="00421A25" w:rsidP="000B3274">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sz w:val="18"/>
                <w:szCs w:val="18"/>
              </w:rPr>
            </w:pPr>
            <w:r>
              <w:rPr>
                <w:rFonts w:eastAsiaTheme="minorHAnsi" w:cs="Arial"/>
                <w:sz w:val="18"/>
                <w:szCs w:val="18"/>
              </w:rPr>
              <w:t>Preferencje RPO</w:t>
            </w:r>
          </w:p>
        </w:tc>
      </w:tr>
      <w:tr w:rsidR="00421A25" w:rsidRPr="007C66C4" w14:paraId="70065A25" w14:textId="77777777" w:rsidTr="7CCF450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F6BB00"/>
              <w:bottom w:val="single" w:sz="4" w:space="0" w:color="F6BB00"/>
            </w:tcBorders>
          </w:tcPr>
          <w:p w14:paraId="052506B6" w14:textId="77777777" w:rsidR="00421A25" w:rsidRPr="006066E7" w:rsidRDefault="00421A25" w:rsidP="000B3274">
            <w:pPr>
              <w:autoSpaceDE w:val="0"/>
              <w:autoSpaceDN w:val="0"/>
              <w:adjustRightInd w:val="0"/>
              <w:spacing w:after="0" w:line="240" w:lineRule="auto"/>
              <w:jc w:val="left"/>
              <w:rPr>
                <w:rFonts w:eastAsiaTheme="minorHAnsi" w:cs="Times New Roman"/>
                <w:b w:val="0"/>
                <w:sz w:val="18"/>
                <w:szCs w:val="18"/>
              </w:rPr>
            </w:pPr>
            <w:r w:rsidRPr="006066E7">
              <w:rPr>
                <w:rFonts w:eastAsiaTheme="minorHAnsi" w:cs="Times New Roman"/>
                <w:b w:val="0"/>
                <w:sz w:val="18"/>
                <w:szCs w:val="18"/>
              </w:rPr>
              <w:t>2.1. Wsparcie ochrony przyrody</w:t>
            </w:r>
          </w:p>
        </w:tc>
        <w:tc>
          <w:tcPr>
            <w:tcW w:w="1417" w:type="dxa"/>
            <w:tcBorders>
              <w:top w:val="single" w:sz="4" w:space="0" w:color="F6BB00"/>
              <w:bottom w:val="single" w:sz="4" w:space="0" w:color="F6BB00"/>
            </w:tcBorders>
          </w:tcPr>
          <w:p w14:paraId="787F2185" w14:textId="77777777" w:rsidR="00421A25" w:rsidRPr="007C66C4" w:rsidRDefault="00421A25" w:rsidP="000B3274">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z w:val="18"/>
                <w:szCs w:val="18"/>
              </w:rPr>
            </w:pPr>
            <w:r w:rsidRPr="007C66C4">
              <w:rPr>
                <w:rFonts w:eastAsiaTheme="minorHAnsi" w:cstheme="minorBidi"/>
                <w:sz w:val="18"/>
                <w:szCs w:val="18"/>
              </w:rPr>
              <w:t>Preferencje</w:t>
            </w:r>
          </w:p>
        </w:tc>
        <w:tc>
          <w:tcPr>
            <w:tcW w:w="1559" w:type="dxa"/>
            <w:tcBorders>
              <w:top w:val="single" w:sz="4" w:space="0" w:color="F6BB00"/>
              <w:bottom w:val="single" w:sz="4" w:space="0" w:color="F6BB00"/>
            </w:tcBorders>
          </w:tcPr>
          <w:p w14:paraId="4035EE5E" w14:textId="77777777" w:rsidR="00421A25" w:rsidRPr="007C66C4" w:rsidRDefault="00421A25" w:rsidP="000B327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rPr>
            </w:pPr>
            <w:r>
              <w:rPr>
                <w:rFonts w:asciiTheme="minorHAnsi" w:eastAsiaTheme="minorHAnsi" w:hAnsiTheme="minorHAnsi" w:cstheme="minorBidi"/>
                <w:sz w:val="18"/>
                <w:szCs w:val="18"/>
              </w:rPr>
              <w:t>-</w:t>
            </w:r>
          </w:p>
        </w:tc>
      </w:tr>
      <w:tr w:rsidR="00421A25" w:rsidRPr="007C66C4" w14:paraId="0771711A" w14:textId="77777777" w:rsidTr="7CCF450C">
        <w:trPr>
          <w:trHeight w:val="255"/>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F6BB00"/>
              <w:bottom w:val="single" w:sz="4" w:space="0" w:color="F6BB00"/>
            </w:tcBorders>
          </w:tcPr>
          <w:p w14:paraId="3EBD4104" w14:textId="77777777" w:rsidR="00421A25" w:rsidRPr="006066E7" w:rsidRDefault="00421A25" w:rsidP="000B3274">
            <w:pPr>
              <w:autoSpaceDE w:val="0"/>
              <w:autoSpaceDN w:val="0"/>
              <w:adjustRightInd w:val="0"/>
              <w:spacing w:after="0" w:line="240" w:lineRule="auto"/>
              <w:jc w:val="left"/>
              <w:rPr>
                <w:rFonts w:eastAsiaTheme="minorHAnsi" w:cs="Times New Roman"/>
                <w:b w:val="0"/>
                <w:sz w:val="18"/>
                <w:szCs w:val="18"/>
              </w:rPr>
            </w:pPr>
            <w:r w:rsidRPr="006066E7">
              <w:rPr>
                <w:rFonts w:eastAsiaTheme="minorHAnsi" w:cs="Times New Roman"/>
                <w:b w:val="0"/>
                <w:sz w:val="18"/>
                <w:szCs w:val="18"/>
              </w:rPr>
              <w:t xml:space="preserve">2.2. Ochrona krajobrazu </w:t>
            </w:r>
          </w:p>
        </w:tc>
        <w:tc>
          <w:tcPr>
            <w:tcW w:w="1417" w:type="dxa"/>
            <w:tcBorders>
              <w:top w:val="single" w:sz="4" w:space="0" w:color="F6BB00"/>
              <w:bottom w:val="single" w:sz="4" w:space="0" w:color="F6BB00"/>
            </w:tcBorders>
          </w:tcPr>
          <w:p w14:paraId="7D740ECA" w14:textId="77777777" w:rsidR="00421A25" w:rsidRPr="007C66C4" w:rsidRDefault="00421A25" w:rsidP="000B32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z w:val="18"/>
                <w:szCs w:val="18"/>
              </w:rPr>
            </w:pPr>
            <w:r w:rsidRPr="007C66C4">
              <w:rPr>
                <w:rFonts w:eastAsiaTheme="minorHAnsi" w:cstheme="minorBidi"/>
                <w:sz w:val="18"/>
                <w:szCs w:val="18"/>
              </w:rPr>
              <w:t>Preferencje</w:t>
            </w:r>
          </w:p>
        </w:tc>
        <w:tc>
          <w:tcPr>
            <w:tcW w:w="1559" w:type="dxa"/>
            <w:tcBorders>
              <w:top w:val="single" w:sz="4" w:space="0" w:color="F6BB00"/>
              <w:bottom w:val="single" w:sz="4" w:space="0" w:color="F6BB00"/>
            </w:tcBorders>
          </w:tcPr>
          <w:p w14:paraId="68686181" w14:textId="77777777" w:rsidR="00421A25" w:rsidRPr="007C66C4" w:rsidRDefault="00421A25" w:rsidP="000B32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rPr>
            </w:pPr>
            <w:r>
              <w:rPr>
                <w:rFonts w:asciiTheme="minorHAnsi" w:eastAsiaTheme="minorHAnsi" w:hAnsiTheme="minorHAnsi" w:cstheme="minorBidi"/>
                <w:sz w:val="18"/>
                <w:szCs w:val="18"/>
              </w:rPr>
              <w:t>-</w:t>
            </w:r>
          </w:p>
        </w:tc>
      </w:tr>
      <w:tr w:rsidR="00421A25" w:rsidRPr="007C66C4" w14:paraId="63FF3B37" w14:textId="77777777" w:rsidTr="7CCF450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F6BB00"/>
              <w:bottom w:val="single" w:sz="4" w:space="0" w:color="F6BB00"/>
            </w:tcBorders>
          </w:tcPr>
          <w:p w14:paraId="260CA0C1" w14:textId="77777777" w:rsidR="00421A25" w:rsidRPr="006066E7" w:rsidRDefault="00421A25" w:rsidP="000B3274">
            <w:pPr>
              <w:autoSpaceDE w:val="0"/>
              <w:autoSpaceDN w:val="0"/>
              <w:adjustRightInd w:val="0"/>
              <w:spacing w:after="0" w:line="240" w:lineRule="auto"/>
              <w:jc w:val="left"/>
              <w:rPr>
                <w:rFonts w:eastAsiaTheme="minorHAnsi" w:cs="Times New Roman"/>
                <w:b w:val="0"/>
                <w:sz w:val="18"/>
                <w:szCs w:val="18"/>
              </w:rPr>
            </w:pPr>
            <w:r w:rsidRPr="006066E7">
              <w:rPr>
                <w:rFonts w:eastAsiaTheme="minorHAnsi" w:cs="Times New Roman"/>
                <w:b w:val="0"/>
                <w:sz w:val="18"/>
                <w:szCs w:val="18"/>
              </w:rPr>
              <w:t>2.4. Wykorzystanie, racjonalizacja gospodarki zasobami kopalin oraz ograniczanie skutków ich eksploatacji</w:t>
            </w:r>
          </w:p>
        </w:tc>
        <w:tc>
          <w:tcPr>
            <w:tcW w:w="1417" w:type="dxa"/>
            <w:tcBorders>
              <w:top w:val="single" w:sz="4" w:space="0" w:color="F6BB00"/>
              <w:bottom w:val="single" w:sz="4" w:space="0" w:color="F6BB00"/>
            </w:tcBorders>
          </w:tcPr>
          <w:p w14:paraId="4D7FC954" w14:textId="77777777" w:rsidR="00421A25" w:rsidRPr="007C66C4" w:rsidRDefault="00421A25" w:rsidP="000B3274">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z w:val="18"/>
                <w:szCs w:val="18"/>
              </w:rPr>
            </w:pPr>
            <w:r w:rsidRPr="007C66C4">
              <w:rPr>
                <w:rFonts w:eastAsiaTheme="minorHAnsi" w:cstheme="minorBidi"/>
                <w:sz w:val="18"/>
                <w:szCs w:val="18"/>
              </w:rPr>
              <w:t>Obszar</w:t>
            </w:r>
          </w:p>
        </w:tc>
        <w:tc>
          <w:tcPr>
            <w:tcW w:w="1559" w:type="dxa"/>
            <w:tcBorders>
              <w:top w:val="single" w:sz="4" w:space="0" w:color="F6BB00"/>
              <w:bottom w:val="single" w:sz="4" w:space="0" w:color="F6BB00"/>
            </w:tcBorders>
          </w:tcPr>
          <w:p w14:paraId="3A5B84B7" w14:textId="77777777" w:rsidR="00421A25" w:rsidRPr="007C66C4" w:rsidRDefault="00421A25" w:rsidP="000B327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rPr>
            </w:pPr>
            <w:r>
              <w:rPr>
                <w:rFonts w:asciiTheme="minorHAnsi" w:eastAsiaTheme="minorHAnsi" w:hAnsiTheme="minorHAnsi" w:cstheme="minorBidi"/>
                <w:sz w:val="18"/>
                <w:szCs w:val="18"/>
              </w:rPr>
              <w:t>-</w:t>
            </w:r>
          </w:p>
        </w:tc>
      </w:tr>
      <w:tr w:rsidR="00421A25" w:rsidRPr="007C66C4" w14:paraId="66F40212" w14:textId="77777777" w:rsidTr="7CCF450C">
        <w:trPr>
          <w:trHeight w:val="255"/>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F6BB00"/>
              <w:bottom w:val="single" w:sz="4" w:space="0" w:color="F6BB00"/>
            </w:tcBorders>
          </w:tcPr>
          <w:p w14:paraId="518FABE9" w14:textId="77777777" w:rsidR="00421A25" w:rsidRPr="006066E7" w:rsidRDefault="00421A25" w:rsidP="000B3274">
            <w:pPr>
              <w:autoSpaceDE w:val="0"/>
              <w:autoSpaceDN w:val="0"/>
              <w:adjustRightInd w:val="0"/>
              <w:spacing w:after="0" w:line="240" w:lineRule="auto"/>
              <w:jc w:val="left"/>
              <w:rPr>
                <w:rFonts w:eastAsiaTheme="minorHAnsi" w:cs="Times New Roman"/>
                <w:b w:val="0"/>
                <w:sz w:val="18"/>
                <w:szCs w:val="18"/>
              </w:rPr>
            </w:pPr>
            <w:r w:rsidRPr="006066E7">
              <w:rPr>
                <w:rFonts w:eastAsiaTheme="minorHAnsi" w:cs="Times New Roman"/>
                <w:b w:val="0"/>
                <w:sz w:val="18"/>
                <w:szCs w:val="18"/>
              </w:rPr>
              <w:t xml:space="preserve">2.8. Ochrona zasobów wodnych i wzrost bezpieczeństwa powodziowego </w:t>
            </w:r>
          </w:p>
        </w:tc>
        <w:tc>
          <w:tcPr>
            <w:tcW w:w="1417" w:type="dxa"/>
            <w:tcBorders>
              <w:top w:val="single" w:sz="4" w:space="0" w:color="F6BB00"/>
              <w:bottom w:val="single" w:sz="4" w:space="0" w:color="F6BB00"/>
            </w:tcBorders>
          </w:tcPr>
          <w:p w14:paraId="0FC2D7F3" w14:textId="77777777" w:rsidR="00421A25" w:rsidRPr="007C66C4" w:rsidRDefault="00421A25" w:rsidP="000B32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z w:val="18"/>
                <w:szCs w:val="18"/>
              </w:rPr>
            </w:pPr>
            <w:r w:rsidRPr="007C66C4">
              <w:rPr>
                <w:rFonts w:eastAsiaTheme="minorHAnsi" w:cstheme="minorBidi"/>
                <w:sz w:val="18"/>
                <w:szCs w:val="18"/>
              </w:rPr>
              <w:t>Preferencje</w:t>
            </w:r>
          </w:p>
        </w:tc>
        <w:tc>
          <w:tcPr>
            <w:tcW w:w="1559" w:type="dxa"/>
            <w:tcBorders>
              <w:top w:val="single" w:sz="4" w:space="0" w:color="F6BB00"/>
              <w:bottom w:val="single" w:sz="4" w:space="0" w:color="F6BB00"/>
            </w:tcBorders>
          </w:tcPr>
          <w:p w14:paraId="40E331A3" w14:textId="77777777" w:rsidR="00421A25" w:rsidRPr="007C66C4" w:rsidRDefault="00421A25" w:rsidP="000B32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rPr>
            </w:pPr>
            <w:r>
              <w:rPr>
                <w:rFonts w:asciiTheme="minorHAnsi" w:eastAsiaTheme="minorHAnsi" w:hAnsiTheme="minorHAnsi" w:cstheme="minorBidi"/>
                <w:sz w:val="18"/>
                <w:szCs w:val="18"/>
              </w:rPr>
              <w:t>-</w:t>
            </w:r>
          </w:p>
        </w:tc>
      </w:tr>
      <w:tr w:rsidR="00421A25" w:rsidRPr="007C66C4" w14:paraId="03A06793" w14:textId="77777777" w:rsidTr="7CCF450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F6BB00"/>
              <w:bottom w:val="single" w:sz="4" w:space="0" w:color="F6BB00"/>
            </w:tcBorders>
          </w:tcPr>
          <w:p w14:paraId="3A004DCC" w14:textId="77777777" w:rsidR="00421A25" w:rsidRPr="006066E7" w:rsidRDefault="00421A25" w:rsidP="000B3274">
            <w:pPr>
              <w:autoSpaceDE w:val="0"/>
              <w:autoSpaceDN w:val="0"/>
              <w:adjustRightInd w:val="0"/>
              <w:spacing w:after="0" w:line="240" w:lineRule="auto"/>
              <w:jc w:val="left"/>
              <w:rPr>
                <w:rFonts w:eastAsiaTheme="minorHAnsi" w:cs="Times New Roman"/>
                <w:b w:val="0"/>
                <w:sz w:val="18"/>
                <w:szCs w:val="18"/>
              </w:rPr>
            </w:pPr>
            <w:r w:rsidRPr="006066E7">
              <w:rPr>
                <w:rFonts w:eastAsiaTheme="minorHAnsi" w:cs="Times New Roman"/>
                <w:b w:val="0"/>
                <w:sz w:val="18"/>
                <w:szCs w:val="18"/>
              </w:rPr>
              <w:t>2.9. Poprawa przyrodniczych warunków dla rolnictwa</w:t>
            </w:r>
          </w:p>
        </w:tc>
        <w:tc>
          <w:tcPr>
            <w:tcW w:w="1417" w:type="dxa"/>
            <w:tcBorders>
              <w:top w:val="single" w:sz="4" w:space="0" w:color="F6BB00"/>
              <w:bottom w:val="single" w:sz="4" w:space="0" w:color="F6BB00"/>
            </w:tcBorders>
          </w:tcPr>
          <w:p w14:paraId="38B55C1C" w14:textId="77777777" w:rsidR="00421A25" w:rsidRPr="007C66C4" w:rsidRDefault="00421A25" w:rsidP="000B3274">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z w:val="18"/>
                <w:szCs w:val="18"/>
              </w:rPr>
            </w:pPr>
            <w:r w:rsidRPr="007C66C4">
              <w:rPr>
                <w:rFonts w:eastAsiaTheme="minorHAnsi" w:cstheme="minorBidi"/>
                <w:sz w:val="18"/>
                <w:szCs w:val="18"/>
              </w:rPr>
              <w:t>Preferencje</w:t>
            </w:r>
          </w:p>
        </w:tc>
        <w:tc>
          <w:tcPr>
            <w:tcW w:w="1559" w:type="dxa"/>
            <w:tcBorders>
              <w:top w:val="single" w:sz="4" w:space="0" w:color="F6BB00"/>
              <w:bottom w:val="single" w:sz="4" w:space="0" w:color="F6BB00"/>
            </w:tcBorders>
          </w:tcPr>
          <w:p w14:paraId="209B5F36" w14:textId="77777777" w:rsidR="00421A25" w:rsidRPr="007C66C4" w:rsidRDefault="00421A25" w:rsidP="000B327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rPr>
            </w:pPr>
            <w:r w:rsidRPr="003A08A9">
              <w:rPr>
                <w:rFonts w:eastAsiaTheme="minorHAnsi" w:cs="Arial"/>
                <w:sz w:val="18"/>
                <w:szCs w:val="18"/>
              </w:rPr>
              <w:t>PROW</w:t>
            </w:r>
          </w:p>
        </w:tc>
      </w:tr>
      <w:tr w:rsidR="00421A25" w:rsidRPr="007C66C4" w14:paraId="723DC1BF" w14:textId="77777777" w:rsidTr="7CCF450C">
        <w:trPr>
          <w:trHeight w:val="255"/>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F6BB00"/>
              <w:bottom w:val="single" w:sz="4" w:space="0" w:color="F6BB00"/>
            </w:tcBorders>
          </w:tcPr>
          <w:p w14:paraId="3BB2146C" w14:textId="77777777" w:rsidR="00421A25" w:rsidRPr="006066E7" w:rsidRDefault="00421A25" w:rsidP="000B3274">
            <w:pPr>
              <w:autoSpaceDE w:val="0"/>
              <w:autoSpaceDN w:val="0"/>
              <w:adjustRightInd w:val="0"/>
              <w:spacing w:after="0" w:line="240" w:lineRule="auto"/>
              <w:jc w:val="left"/>
              <w:rPr>
                <w:rFonts w:eastAsiaTheme="minorHAnsi" w:cs="Times New Roman"/>
                <w:b w:val="0"/>
                <w:sz w:val="18"/>
                <w:szCs w:val="18"/>
              </w:rPr>
            </w:pPr>
            <w:r w:rsidRPr="006066E7">
              <w:rPr>
                <w:rFonts w:eastAsiaTheme="minorHAnsi" w:cs="Times New Roman"/>
                <w:b w:val="0"/>
                <w:sz w:val="18"/>
                <w:szCs w:val="18"/>
              </w:rPr>
              <w:t xml:space="preserve">4.1. Rozwój metropolii poznańskiej </w:t>
            </w:r>
          </w:p>
        </w:tc>
        <w:tc>
          <w:tcPr>
            <w:tcW w:w="1417" w:type="dxa"/>
            <w:tcBorders>
              <w:top w:val="single" w:sz="4" w:space="0" w:color="F6BB00"/>
              <w:bottom w:val="single" w:sz="4" w:space="0" w:color="F6BB00"/>
            </w:tcBorders>
          </w:tcPr>
          <w:p w14:paraId="39C6388B" w14:textId="77777777" w:rsidR="00421A25" w:rsidRPr="007C66C4" w:rsidRDefault="00421A25" w:rsidP="000B32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z w:val="18"/>
                <w:szCs w:val="18"/>
              </w:rPr>
            </w:pPr>
            <w:r w:rsidRPr="007C66C4">
              <w:rPr>
                <w:rFonts w:eastAsiaTheme="minorHAnsi" w:cstheme="minorBidi"/>
                <w:sz w:val="18"/>
                <w:szCs w:val="18"/>
              </w:rPr>
              <w:t>Obszar</w:t>
            </w:r>
          </w:p>
        </w:tc>
        <w:tc>
          <w:tcPr>
            <w:tcW w:w="1559" w:type="dxa"/>
            <w:tcBorders>
              <w:top w:val="single" w:sz="4" w:space="0" w:color="F6BB00"/>
              <w:bottom w:val="single" w:sz="4" w:space="0" w:color="F6BB00"/>
            </w:tcBorders>
          </w:tcPr>
          <w:p w14:paraId="04740703" w14:textId="77777777" w:rsidR="00421A25" w:rsidRPr="007C66C4" w:rsidRDefault="00421A25" w:rsidP="000B32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rPr>
            </w:pPr>
            <w:r>
              <w:rPr>
                <w:rFonts w:eastAsiaTheme="minorHAnsi" w:cstheme="minorBidi"/>
                <w:sz w:val="18"/>
                <w:szCs w:val="18"/>
              </w:rPr>
              <w:t>ZIT (RPO)</w:t>
            </w:r>
          </w:p>
        </w:tc>
      </w:tr>
      <w:tr w:rsidR="00421A25" w:rsidRPr="007C66C4" w14:paraId="3E0628B6" w14:textId="77777777" w:rsidTr="7CCF450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F6BB00"/>
              <w:bottom w:val="single" w:sz="4" w:space="0" w:color="F6BB00"/>
            </w:tcBorders>
          </w:tcPr>
          <w:p w14:paraId="463EBD6A" w14:textId="77777777" w:rsidR="00421A25" w:rsidRPr="006066E7" w:rsidRDefault="00421A25" w:rsidP="000B3274">
            <w:pPr>
              <w:autoSpaceDE w:val="0"/>
              <w:autoSpaceDN w:val="0"/>
              <w:adjustRightInd w:val="0"/>
              <w:spacing w:after="0" w:line="240" w:lineRule="auto"/>
              <w:jc w:val="left"/>
              <w:rPr>
                <w:rFonts w:eastAsiaTheme="minorHAnsi" w:cs="Times New Roman"/>
                <w:b w:val="0"/>
                <w:sz w:val="18"/>
                <w:szCs w:val="18"/>
              </w:rPr>
            </w:pPr>
            <w:r w:rsidRPr="006066E7">
              <w:rPr>
                <w:rFonts w:eastAsiaTheme="minorHAnsi" w:cs="Times New Roman"/>
                <w:b w:val="0"/>
                <w:sz w:val="18"/>
                <w:szCs w:val="18"/>
              </w:rPr>
              <w:t xml:space="preserve">4.2. Wzmocnienie biegunów wzrostu w subregionach </w:t>
            </w:r>
          </w:p>
        </w:tc>
        <w:tc>
          <w:tcPr>
            <w:tcW w:w="1417" w:type="dxa"/>
            <w:tcBorders>
              <w:top w:val="single" w:sz="4" w:space="0" w:color="F6BB00"/>
              <w:bottom w:val="single" w:sz="4" w:space="0" w:color="F6BB00"/>
            </w:tcBorders>
          </w:tcPr>
          <w:p w14:paraId="6FF55D41" w14:textId="77777777" w:rsidR="00421A25" w:rsidRPr="007C66C4" w:rsidRDefault="00421A25" w:rsidP="000B3274">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z w:val="18"/>
                <w:szCs w:val="18"/>
              </w:rPr>
            </w:pPr>
            <w:r w:rsidRPr="007C66C4">
              <w:rPr>
                <w:rFonts w:eastAsiaTheme="minorHAnsi" w:cstheme="minorBidi"/>
                <w:sz w:val="18"/>
                <w:szCs w:val="18"/>
              </w:rPr>
              <w:t>Obszar</w:t>
            </w:r>
          </w:p>
        </w:tc>
        <w:tc>
          <w:tcPr>
            <w:tcW w:w="1559" w:type="dxa"/>
            <w:tcBorders>
              <w:top w:val="single" w:sz="4" w:space="0" w:color="F6BB00"/>
              <w:bottom w:val="single" w:sz="4" w:space="0" w:color="F6BB00"/>
            </w:tcBorders>
          </w:tcPr>
          <w:p w14:paraId="330766F9" w14:textId="77777777" w:rsidR="00421A25" w:rsidRPr="007C66C4" w:rsidRDefault="00421A25" w:rsidP="000B327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rPr>
            </w:pPr>
            <w:r>
              <w:rPr>
                <w:rFonts w:eastAsiaTheme="minorHAnsi" w:cstheme="minorBidi"/>
                <w:sz w:val="18"/>
                <w:szCs w:val="18"/>
              </w:rPr>
              <w:t>ZIT i mandaty terytorialne (RPO)</w:t>
            </w:r>
          </w:p>
        </w:tc>
      </w:tr>
      <w:tr w:rsidR="00421A25" w:rsidRPr="007C66C4" w14:paraId="30DFDBFF" w14:textId="77777777" w:rsidTr="7CCF450C">
        <w:trPr>
          <w:trHeight w:val="255"/>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F6BB00"/>
              <w:bottom w:val="single" w:sz="4" w:space="0" w:color="F6BB00"/>
            </w:tcBorders>
          </w:tcPr>
          <w:p w14:paraId="0D54A82F" w14:textId="77777777" w:rsidR="00421A25" w:rsidRPr="006066E7" w:rsidRDefault="00421A25" w:rsidP="000B3274">
            <w:pPr>
              <w:autoSpaceDE w:val="0"/>
              <w:autoSpaceDN w:val="0"/>
              <w:adjustRightInd w:val="0"/>
              <w:spacing w:after="0" w:line="240" w:lineRule="auto"/>
              <w:jc w:val="left"/>
              <w:rPr>
                <w:rFonts w:eastAsiaTheme="minorHAnsi" w:cs="Times New Roman"/>
                <w:b w:val="0"/>
                <w:sz w:val="18"/>
                <w:szCs w:val="18"/>
              </w:rPr>
            </w:pPr>
            <w:r w:rsidRPr="006066E7">
              <w:rPr>
                <w:rFonts w:eastAsiaTheme="minorHAnsi" w:cs="Times New Roman"/>
                <w:b w:val="0"/>
                <w:sz w:val="18"/>
                <w:szCs w:val="18"/>
              </w:rPr>
              <w:lastRenderedPageBreak/>
              <w:t xml:space="preserve">5.1. Wsparcie ośrodków lokalnych </w:t>
            </w:r>
          </w:p>
        </w:tc>
        <w:tc>
          <w:tcPr>
            <w:tcW w:w="1417" w:type="dxa"/>
            <w:tcBorders>
              <w:top w:val="single" w:sz="4" w:space="0" w:color="F6BB00"/>
              <w:bottom w:val="single" w:sz="4" w:space="0" w:color="F6BB00"/>
            </w:tcBorders>
          </w:tcPr>
          <w:p w14:paraId="03C4D34B" w14:textId="77777777" w:rsidR="00421A25" w:rsidRPr="007C66C4" w:rsidRDefault="00421A25" w:rsidP="000B32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z w:val="18"/>
                <w:szCs w:val="18"/>
              </w:rPr>
            </w:pPr>
            <w:r w:rsidRPr="007C66C4">
              <w:rPr>
                <w:rFonts w:eastAsiaTheme="minorHAnsi" w:cstheme="minorBidi"/>
                <w:sz w:val="18"/>
                <w:szCs w:val="18"/>
              </w:rPr>
              <w:t>Obszar</w:t>
            </w:r>
          </w:p>
        </w:tc>
        <w:tc>
          <w:tcPr>
            <w:tcW w:w="1559" w:type="dxa"/>
            <w:tcBorders>
              <w:top w:val="single" w:sz="4" w:space="0" w:color="F6BB00"/>
              <w:bottom w:val="single" w:sz="4" w:space="0" w:color="F6BB00"/>
            </w:tcBorders>
          </w:tcPr>
          <w:p w14:paraId="30EA8AE9" w14:textId="77777777" w:rsidR="00421A25" w:rsidRPr="007C66C4" w:rsidRDefault="00421A25" w:rsidP="000B32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rPr>
            </w:pPr>
            <w:r w:rsidRPr="003A08A9">
              <w:rPr>
                <w:rFonts w:eastAsiaTheme="minorHAnsi" w:cstheme="minorBidi"/>
                <w:sz w:val="18"/>
                <w:szCs w:val="18"/>
              </w:rPr>
              <w:t>-</w:t>
            </w:r>
          </w:p>
        </w:tc>
      </w:tr>
      <w:tr w:rsidR="00421A25" w:rsidRPr="007C66C4" w14:paraId="2A659646" w14:textId="77777777" w:rsidTr="7CCF450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F6BB00"/>
              <w:bottom w:val="single" w:sz="4" w:space="0" w:color="F6BB00"/>
            </w:tcBorders>
          </w:tcPr>
          <w:p w14:paraId="170786D4" w14:textId="77777777" w:rsidR="00421A25" w:rsidRPr="006066E7" w:rsidRDefault="00421A25" w:rsidP="000B3274">
            <w:pPr>
              <w:autoSpaceDE w:val="0"/>
              <w:autoSpaceDN w:val="0"/>
              <w:adjustRightInd w:val="0"/>
              <w:spacing w:after="0" w:line="240" w:lineRule="auto"/>
              <w:jc w:val="left"/>
              <w:rPr>
                <w:rFonts w:eastAsiaTheme="minorHAnsi" w:cs="Times New Roman"/>
                <w:b w:val="0"/>
                <w:sz w:val="18"/>
                <w:szCs w:val="18"/>
              </w:rPr>
            </w:pPr>
            <w:r w:rsidRPr="006066E7">
              <w:rPr>
                <w:rFonts w:eastAsiaTheme="minorHAnsi" w:cs="Times New Roman"/>
                <w:b w:val="0"/>
                <w:sz w:val="18"/>
                <w:szCs w:val="18"/>
              </w:rPr>
              <w:t xml:space="preserve">5.2. Rozwój obszarów wiejskich obszary </w:t>
            </w:r>
          </w:p>
        </w:tc>
        <w:tc>
          <w:tcPr>
            <w:tcW w:w="1417" w:type="dxa"/>
            <w:tcBorders>
              <w:top w:val="single" w:sz="4" w:space="0" w:color="F6BB00"/>
              <w:bottom w:val="single" w:sz="4" w:space="0" w:color="F6BB00"/>
            </w:tcBorders>
          </w:tcPr>
          <w:p w14:paraId="16CC278B" w14:textId="77777777" w:rsidR="00421A25" w:rsidRPr="007C66C4" w:rsidRDefault="00421A25" w:rsidP="000B3274">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Arial"/>
                <w:sz w:val="18"/>
                <w:szCs w:val="18"/>
              </w:rPr>
            </w:pPr>
            <w:r w:rsidRPr="007C66C4">
              <w:rPr>
                <w:rFonts w:eastAsiaTheme="minorHAnsi" w:cs="Arial"/>
                <w:sz w:val="18"/>
                <w:szCs w:val="18"/>
              </w:rPr>
              <w:t>Preferencje</w:t>
            </w:r>
          </w:p>
        </w:tc>
        <w:tc>
          <w:tcPr>
            <w:tcW w:w="1559" w:type="dxa"/>
            <w:tcBorders>
              <w:top w:val="single" w:sz="4" w:space="0" w:color="F6BB00"/>
              <w:bottom w:val="single" w:sz="4" w:space="0" w:color="F6BB00"/>
            </w:tcBorders>
          </w:tcPr>
          <w:p w14:paraId="3115BFA3" w14:textId="77777777" w:rsidR="00421A25" w:rsidRPr="007C66C4" w:rsidRDefault="00421A25" w:rsidP="000B3274">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sz w:val="18"/>
                <w:szCs w:val="18"/>
              </w:rPr>
            </w:pPr>
            <w:r>
              <w:rPr>
                <w:rFonts w:eastAsiaTheme="minorHAnsi" w:cs="Arial"/>
                <w:sz w:val="18"/>
                <w:szCs w:val="18"/>
              </w:rPr>
              <w:t>Preferencje RPO/PROW</w:t>
            </w:r>
          </w:p>
        </w:tc>
      </w:tr>
      <w:tr w:rsidR="00421A25" w:rsidRPr="007C66C4" w14:paraId="67A1ACB6" w14:textId="77777777" w:rsidTr="7CCF450C">
        <w:trPr>
          <w:trHeight w:val="255"/>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F6BB00"/>
              <w:bottom w:val="single" w:sz="4" w:space="0" w:color="F6BB00"/>
            </w:tcBorders>
          </w:tcPr>
          <w:p w14:paraId="1642CEE7" w14:textId="77777777" w:rsidR="00421A25" w:rsidRPr="006066E7" w:rsidRDefault="00421A25" w:rsidP="000B3274">
            <w:pPr>
              <w:autoSpaceDE w:val="0"/>
              <w:autoSpaceDN w:val="0"/>
              <w:adjustRightInd w:val="0"/>
              <w:spacing w:after="0" w:line="240" w:lineRule="auto"/>
              <w:jc w:val="left"/>
              <w:rPr>
                <w:rFonts w:eastAsiaTheme="minorHAnsi" w:cs="Times New Roman"/>
                <w:b w:val="0"/>
                <w:sz w:val="18"/>
                <w:szCs w:val="18"/>
              </w:rPr>
            </w:pPr>
            <w:r w:rsidRPr="006066E7">
              <w:rPr>
                <w:rFonts w:eastAsiaTheme="minorHAnsi" w:cs="Times New Roman"/>
                <w:b w:val="0"/>
                <w:sz w:val="18"/>
                <w:szCs w:val="18"/>
              </w:rPr>
              <w:t xml:space="preserve">5.3. Aktywizacja obszarów o najniższym stopniu rozwoju i pogarszających się perspektywach rozwojowych </w:t>
            </w:r>
          </w:p>
        </w:tc>
        <w:tc>
          <w:tcPr>
            <w:tcW w:w="1417" w:type="dxa"/>
            <w:tcBorders>
              <w:top w:val="single" w:sz="4" w:space="0" w:color="F6BB00"/>
              <w:bottom w:val="single" w:sz="4" w:space="0" w:color="F6BB00"/>
            </w:tcBorders>
          </w:tcPr>
          <w:p w14:paraId="1C0834BC" w14:textId="77777777" w:rsidR="00421A25" w:rsidRPr="007C66C4" w:rsidRDefault="00421A25" w:rsidP="000B3274">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Arial"/>
                <w:sz w:val="18"/>
                <w:szCs w:val="18"/>
              </w:rPr>
            </w:pPr>
            <w:r w:rsidRPr="007C66C4">
              <w:rPr>
                <w:rFonts w:eastAsiaTheme="minorHAnsi" w:cs="Arial"/>
                <w:sz w:val="18"/>
                <w:szCs w:val="18"/>
              </w:rPr>
              <w:t>Obszar</w:t>
            </w:r>
          </w:p>
        </w:tc>
        <w:tc>
          <w:tcPr>
            <w:tcW w:w="1559" w:type="dxa"/>
            <w:tcBorders>
              <w:top w:val="single" w:sz="4" w:space="0" w:color="F6BB00"/>
              <w:bottom w:val="single" w:sz="4" w:space="0" w:color="F6BB00"/>
            </w:tcBorders>
          </w:tcPr>
          <w:p w14:paraId="01DBC859" w14:textId="77777777" w:rsidR="00421A25" w:rsidRPr="007C66C4" w:rsidRDefault="00421A25" w:rsidP="000B3274">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sz w:val="18"/>
                <w:szCs w:val="18"/>
              </w:rPr>
            </w:pPr>
            <w:r>
              <w:rPr>
                <w:rFonts w:eastAsiaTheme="minorHAnsi" w:cs="Arial"/>
                <w:sz w:val="18"/>
                <w:szCs w:val="18"/>
              </w:rPr>
              <w:t>Preferencje RPO</w:t>
            </w:r>
          </w:p>
        </w:tc>
      </w:tr>
      <w:tr w:rsidR="00421A25" w:rsidRPr="007C66C4" w14:paraId="4EF8891C" w14:textId="77777777" w:rsidTr="7CCF450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F6BB00"/>
              <w:bottom w:val="single" w:sz="4" w:space="0" w:color="F6BB00"/>
            </w:tcBorders>
          </w:tcPr>
          <w:p w14:paraId="406BACAB" w14:textId="77777777" w:rsidR="00421A25" w:rsidRPr="006066E7" w:rsidRDefault="00421A25" w:rsidP="000B3274">
            <w:pPr>
              <w:autoSpaceDE w:val="0"/>
              <w:autoSpaceDN w:val="0"/>
              <w:adjustRightInd w:val="0"/>
              <w:spacing w:after="0" w:line="240" w:lineRule="auto"/>
              <w:jc w:val="left"/>
              <w:rPr>
                <w:rFonts w:eastAsiaTheme="minorHAnsi" w:cs="Times New Roman"/>
                <w:b w:val="0"/>
                <w:sz w:val="18"/>
                <w:szCs w:val="18"/>
              </w:rPr>
            </w:pPr>
            <w:r w:rsidRPr="006066E7">
              <w:rPr>
                <w:rFonts w:eastAsiaTheme="minorHAnsi" w:cs="Times New Roman"/>
                <w:b w:val="0"/>
                <w:sz w:val="18"/>
                <w:szCs w:val="18"/>
              </w:rPr>
              <w:t>5.4. Wsparcie terenów wymagających restrukturyzacji, odnowy i rewitalizacji</w:t>
            </w:r>
          </w:p>
        </w:tc>
        <w:tc>
          <w:tcPr>
            <w:tcW w:w="1417" w:type="dxa"/>
            <w:tcBorders>
              <w:top w:val="single" w:sz="4" w:space="0" w:color="F6BB00"/>
              <w:bottom w:val="single" w:sz="4" w:space="0" w:color="F6BB00"/>
            </w:tcBorders>
          </w:tcPr>
          <w:p w14:paraId="7DCBF1D6" w14:textId="77777777" w:rsidR="00421A25" w:rsidRPr="007C66C4" w:rsidRDefault="00421A25" w:rsidP="000B3274">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Arial"/>
                <w:sz w:val="18"/>
                <w:szCs w:val="18"/>
              </w:rPr>
            </w:pPr>
            <w:r w:rsidRPr="007C66C4">
              <w:rPr>
                <w:rFonts w:eastAsiaTheme="minorHAnsi" w:cs="Arial"/>
                <w:sz w:val="18"/>
                <w:szCs w:val="18"/>
              </w:rPr>
              <w:t>Obszar</w:t>
            </w:r>
          </w:p>
        </w:tc>
        <w:tc>
          <w:tcPr>
            <w:tcW w:w="1559" w:type="dxa"/>
            <w:tcBorders>
              <w:top w:val="single" w:sz="4" w:space="0" w:color="F6BB00"/>
              <w:bottom w:val="single" w:sz="4" w:space="0" w:color="F6BB00"/>
            </w:tcBorders>
          </w:tcPr>
          <w:p w14:paraId="14099728" w14:textId="77777777" w:rsidR="00421A25" w:rsidRPr="007C66C4" w:rsidRDefault="00421A25" w:rsidP="000B3274">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sz w:val="18"/>
                <w:szCs w:val="18"/>
              </w:rPr>
            </w:pPr>
            <w:r>
              <w:rPr>
                <w:rFonts w:eastAsiaTheme="minorHAnsi" w:cs="Arial"/>
                <w:sz w:val="18"/>
                <w:szCs w:val="18"/>
              </w:rPr>
              <w:t>Preferencje RPO</w:t>
            </w:r>
          </w:p>
        </w:tc>
      </w:tr>
      <w:tr w:rsidR="00421A25" w:rsidRPr="007C66C4" w14:paraId="128F7C25" w14:textId="77777777" w:rsidTr="7CCF450C">
        <w:trPr>
          <w:trHeight w:val="255"/>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F6BB00"/>
              <w:bottom w:val="single" w:sz="4" w:space="0" w:color="F6BB00"/>
            </w:tcBorders>
          </w:tcPr>
          <w:p w14:paraId="2FB0DE20" w14:textId="77777777" w:rsidR="00421A25" w:rsidRPr="006066E7" w:rsidRDefault="00421A25" w:rsidP="000B3274">
            <w:pPr>
              <w:autoSpaceDE w:val="0"/>
              <w:autoSpaceDN w:val="0"/>
              <w:adjustRightInd w:val="0"/>
              <w:spacing w:after="0" w:line="240" w:lineRule="auto"/>
              <w:jc w:val="left"/>
              <w:rPr>
                <w:rFonts w:eastAsiaTheme="minorHAnsi" w:cs="Times New Roman"/>
                <w:b w:val="0"/>
                <w:sz w:val="18"/>
                <w:szCs w:val="18"/>
              </w:rPr>
            </w:pPr>
            <w:r w:rsidRPr="006066E7">
              <w:rPr>
                <w:rFonts w:eastAsiaTheme="minorHAnsi" w:cs="Times New Roman"/>
                <w:b w:val="0"/>
                <w:sz w:val="18"/>
                <w:szCs w:val="18"/>
              </w:rPr>
              <w:t>5.5. Zwiększenie dostępności do podstawowych usług publicznych</w:t>
            </w:r>
          </w:p>
        </w:tc>
        <w:tc>
          <w:tcPr>
            <w:tcW w:w="1417" w:type="dxa"/>
            <w:tcBorders>
              <w:top w:val="single" w:sz="4" w:space="0" w:color="F6BB00"/>
              <w:bottom w:val="single" w:sz="4" w:space="0" w:color="F6BB00"/>
            </w:tcBorders>
          </w:tcPr>
          <w:p w14:paraId="2F463B22" w14:textId="77777777" w:rsidR="00421A25" w:rsidRPr="007C66C4" w:rsidRDefault="00421A25" w:rsidP="000B3274">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Arial"/>
                <w:sz w:val="18"/>
                <w:szCs w:val="18"/>
              </w:rPr>
            </w:pPr>
            <w:r w:rsidRPr="007C66C4">
              <w:rPr>
                <w:rFonts w:eastAsiaTheme="minorHAnsi" w:cstheme="minorBidi"/>
                <w:sz w:val="18"/>
                <w:szCs w:val="18"/>
              </w:rPr>
              <w:t>Preferencje</w:t>
            </w:r>
          </w:p>
        </w:tc>
        <w:tc>
          <w:tcPr>
            <w:tcW w:w="1559" w:type="dxa"/>
            <w:tcBorders>
              <w:top w:val="single" w:sz="4" w:space="0" w:color="F6BB00"/>
              <w:bottom w:val="single" w:sz="4" w:space="0" w:color="F6BB00"/>
            </w:tcBorders>
          </w:tcPr>
          <w:p w14:paraId="34574219" w14:textId="77777777" w:rsidR="00421A25" w:rsidRPr="007C66C4" w:rsidRDefault="00421A25" w:rsidP="000B3274">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sz w:val="18"/>
                <w:szCs w:val="18"/>
              </w:rPr>
            </w:pPr>
            <w:r>
              <w:rPr>
                <w:rFonts w:eastAsiaTheme="minorHAnsi" w:cs="Arial"/>
                <w:sz w:val="18"/>
                <w:szCs w:val="18"/>
              </w:rPr>
              <w:t>Preferencje RPO</w:t>
            </w:r>
          </w:p>
        </w:tc>
      </w:tr>
      <w:tr w:rsidR="00421A25" w:rsidRPr="007C66C4" w14:paraId="20287533" w14:textId="77777777" w:rsidTr="7CCF450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F6BB00"/>
              <w:bottom w:val="single" w:sz="4" w:space="0" w:color="F6BB00"/>
            </w:tcBorders>
          </w:tcPr>
          <w:p w14:paraId="259A60B9" w14:textId="77777777" w:rsidR="00421A25" w:rsidRPr="006066E7" w:rsidRDefault="00421A25" w:rsidP="000B3274">
            <w:pPr>
              <w:autoSpaceDE w:val="0"/>
              <w:autoSpaceDN w:val="0"/>
              <w:adjustRightInd w:val="0"/>
              <w:spacing w:after="0" w:line="240" w:lineRule="auto"/>
              <w:jc w:val="left"/>
              <w:rPr>
                <w:rFonts w:eastAsiaTheme="minorHAnsi" w:cs="Times New Roman"/>
                <w:b w:val="0"/>
                <w:sz w:val="18"/>
                <w:szCs w:val="18"/>
              </w:rPr>
            </w:pPr>
            <w:r w:rsidRPr="006066E7">
              <w:rPr>
                <w:rFonts w:eastAsiaTheme="minorHAnsi" w:cs="Times New Roman"/>
                <w:b w:val="0"/>
                <w:sz w:val="18"/>
                <w:szCs w:val="18"/>
              </w:rPr>
              <w:t xml:space="preserve">5.6. Wparcie terenów o wyjątkowych walorach środowiska kulturowego </w:t>
            </w:r>
          </w:p>
        </w:tc>
        <w:tc>
          <w:tcPr>
            <w:tcW w:w="1417" w:type="dxa"/>
            <w:tcBorders>
              <w:top w:val="single" w:sz="4" w:space="0" w:color="F6BB00"/>
              <w:bottom w:val="single" w:sz="4" w:space="0" w:color="F6BB00"/>
            </w:tcBorders>
          </w:tcPr>
          <w:p w14:paraId="2E7D6569" w14:textId="77777777" w:rsidR="00421A25" w:rsidRPr="007C66C4" w:rsidRDefault="00421A25" w:rsidP="000B3274">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z w:val="18"/>
                <w:szCs w:val="18"/>
              </w:rPr>
            </w:pPr>
            <w:r w:rsidRPr="007C66C4">
              <w:rPr>
                <w:rFonts w:eastAsiaTheme="minorHAnsi" w:cstheme="minorBidi"/>
                <w:sz w:val="18"/>
                <w:szCs w:val="18"/>
              </w:rPr>
              <w:t>Preferencje</w:t>
            </w:r>
          </w:p>
        </w:tc>
        <w:tc>
          <w:tcPr>
            <w:tcW w:w="1559" w:type="dxa"/>
            <w:tcBorders>
              <w:top w:val="single" w:sz="4" w:space="0" w:color="F6BB00"/>
              <w:bottom w:val="single" w:sz="4" w:space="0" w:color="F6BB00"/>
            </w:tcBorders>
          </w:tcPr>
          <w:p w14:paraId="1BA83C92" w14:textId="77777777" w:rsidR="00421A25" w:rsidRPr="007C66C4" w:rsidRDefault="00421A25" w:rsidP="000B327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18"/>
              </w:rPr>
            </w:pPr>
            <w:r w:rsidRPr="003A08A9">
              <w:rPr>
                <w:rFonts w:eastAsiaTheme="minorHAnsi" w:cs="Arial"/>
                <w:sz w:val="18"/>
                <w:szCs w:val="18"/>
              </w:rPr>
              <w:t>-</w:t>
            </w:r>
          </w:p>
        </w:tc>
      </w:tr>
      <w:tr w:rsidR="00421A25" w:rsidRPr="007C66C4" w14:paraId="7808684E" w14:textId="77777777" w:rsidTr="7CCF450C">
        <w:trPr>
          <w:trHeight w:val="255"/>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F6BB00"/>
              <w:bottom w:val="single" w:sz="4" w:space="0" w:color="F6BB00"/>
            </w:tcBorders>
          </w:tcPr>
          <w:p w14:paraId="4B24D5EE" w14:textId="77777777" w:rsidR="00421A25" w:rsidRPr="006066E7" w:rsidRDefault="00421A25" w:rsidP="000B3274">
            <w:pPr>
              <w:autoSpaceDE w:val="0"/>
              <w:autoSpaceDN w:val="0"/>
              <w:adjustRightInd w:val="0"/>
              <w:spacing w:after="0" w:line="240" w:lineRule="auto"/>
              <w:jc w:val="left"/>
              <w:rPr>
                <w:rFonts w:eastAsiaTheme="minorHAnsi" w:cs="Times New Roman"/>
                <w:b w:val="0"/>
                <w:sz w:val="18"/>
                <w:szCs w:val="18"/>
              </w:rPr>
            </w:pPr>
            <w:r w:rsidRPr="006066E7">
              <w:rPr>
                <w:rFonts w:eastAsiaTheme="minorHAnsi" w:cs="Times New Roman"/>
                <w:b w:val="0"/>
                <w:sz w:val="18"/>
                <w:szCs w:val="18"/>
              </w:rPr>
              <w:t>6.10. Poprawa warunków dla rozwoju rolnictwa i przetwórstwa rolnego</w:t>
            </w:r>
          </w:p>
        </w:tc>
        <w:tc>
          <w:tcPr>
            <w:tcW w:w="1417" w:type="dxa"/>
            <w:tcBorders>
              <w:top w:val="single" w:sz="4" w:space="0" w:color="F6BB00"/>
              <w:bottom w:val="single" w:sz="4" w:space="0" w:color="F6BB00"/>
            </w:tcBorders>
          </w:tcPr>
          <w:p w14:paraId="5F2FF256" w14:textId="77777777" w:rsidR="00421A25" w:rsidRPr="007C66C4" w:rsidRDefault="00421A25" w:rsidP="000B32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z w:val="18"/>
                <w:szCs w:val="18"/>
              </w:rPr>
            </w:pPr>
            <w:r w:rsidRPr="007C66C4">
              <w:rPr>
                <w:rFonts w:eastAsiaTheme="minorHAnsi" w:cstheme="minorBidi"/>
                <w:sz w:val="18"/>
                <w:szCs w:val="18"/>
              </w:rPr>
              <w:t>Preferencje</w:t>
            </w:r>
          </w:p>
        </w:tc>
        <w:tc>
          <w:tcPr>
            <w:tcW w:w="1559" w:type="dxa"/>
            <w:tcBorders>
              <w:top w:val="single" w:sz="4" w:space="0" w:color="F6BB00"/>
              <w:bottom w:val="single" w:sz="4" w:space="0" w:color="F6BB00"/>
            </w:tcBorders>
          </w:tcPr>
          <w:p w14:paraId="4D70B624" w14:textId="77777777" w:rsidR="00421A25" w:rsidRPr="007C66C4" w:rsidRDefault="00421A25" w:rsidP="000B32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rPr>
            </w:pPr>
            <w:r>
              <w:rPr>
                <w:rFonts w:eastAsiaTheme="minorHAnsi" w:cs="Arial"/>
                <w:sz w:val="18"/>
                <w:szCs w:val="18"/>
              </w:rPr>
              <w:t>Preferencje RPO/PROW</w:t>
            </w:r>
          </w:p>
        </w:tc>
      </w:tr>
    </w:tbl>
    <w:p w14:paraId="75966162" w14:textId="77777777" w:rsidR="00421A25" w:rsidRPr="00E31913" w:rsidRDefault="00421A25" w:rsidP="00421A25">
      <w:pPr>
        <w:spacing w:after="160" w:line="259" w:lineRule="auto"/>
        <w:rPr>
          <w:b/>
          <w:sz w:val="16"/>
          <w:szCs w:val="16"/>
          <w:lang w:eastAsia="pl-PL"/>
        </w:rPr>
      </w:pPr>
      <w:r w:rsidRPr="00E31913">
        <w:rPr>
          <w:sz w:val="16"/>
          <w:szCs w:val="16"/>
          <w:lang w:eastAsia="pl-PL"/>
        </w:rPr>
        <w:t>*</w:t>
      </w:r>
      <w:r w:rsidR="00E31913">
        <w:rPr>
          <w:sz w:val="16"/>
          <w:szCs w:val="16"/>
          <w:lang w:eastAsia="pl-PL"/>
        </w:rPr>
        <w:t xml:space="preserve"> </w:t>
      </w:r>
      <w:r w:rsidRPr="00E31913">
        <w:rPr>
          <w:sz w:val="16"/>
          <w:szCs w:val="16"/>
          <w:lang w:eastAsia="pl-PL"/>
        </w:rPr>
        <w:t>Informacja czy cel jest adresowany dla konkretnego obszaru czy dla całego regionu z uwzględnianiem preferencji dla wyznaczonych obszarów interwencji (na podstawie zapisów SRWW 2020 )</w:t>
      </w:r>
    </w:p>
    <w:p w14:paraId="2522DFEB" w14:textId="77777777" w:rsidR="00421A25" w:rsidRPr="00E31913" w:rsidRDefault="00421A25" w:rsidP="00421A25">
      <w:pPr>
        <w:spacing w:after="160" w:line="259" w:lineRule="auto"/>
        <w:rPr>
          <w:sz w:val="16"/>
          <w:szCs w:val="16"/>
          <w:lang w:eastAsia="pl-PL"/>
        </w:rPr>
      </w:pPr>
      <w:r w:rsidRPr="00E31913">
        <w:rPr>
          <w:sz w:val="16"/>
          <w:szCs w:val="16"/>
          <w:lang w:eastAsia="pl-PL"/>
        </w:rPr>
        <w:t xml:space="preserve">Źródło: </w:t>
      </w:r>
      <w:r w:rsidR="00E31913">
        <w:rPr>
          <w:sz w:val="16"/>
          <w:szCs w:val="16"/>
          <w:lang w:eastAsia="pl-PL"/>
        </w:rPr>
        <w:t>o</w:t>
      </w:r>
      <w:r w:rsidRPr="00E31913">
        <w:rPr>
          <w:sz w:val="16"/>
          <w:szCs w:val="16"/>
          <w:lang w:eastAsia="pl-PL"/>
        </w:rPr>
        <w:t>pracowanie własne na podstawie Strategii Rozwoju Województwa Wielkopolskiego 2020 i Wielkopolskiego Regionalnego Programu Operacyjnego 2014+.</w:t>
      </w:r>
    </w:p>
    <w:p w14:paraId="45F502D4" w14:textId="77777777" w:rsidR="00421A25" w:rsidRPr="006A315A" w:rsidRDefault="00421A25" w:rsidP="00421A25">
      <w:pPr>
        <w:rPr>
          <w:rFonts w:asciiTheme="minorHAnsi" w:hAnsiTheme="minorHAnsi"/>
          <w:lang w:eastAsia="pl-PL"/>
        </w:rPr>
      </w:pPr>
      <w:r w:rsidRPr="006A315A">
        <w:rPr>
          <w:rFonts w:asciiTheme="minorHAnsi" w:hAnsiTheme="minorHAnsi"/>
          <w:lang w:eastAsia="pl-PL"/>
        </w:rPr>
        <w:t>Głównymi instrumentami terytorializacji w województwie Wielkopolskim są WRPO2014+ oraz PROW.</w:t>
      </w:r>
      <w:r w:rsidR="00E31913">
        <w:rPr>
          <w:rFonts w:asciiTheme="minorHAnsi" w:hAnsiTheme="minorHAnsi"/>
          <w:lang w:eastAsia="pl-PL"/>
        </w:rPr>
        <w:t xml:space="preserve"> </w:t>
      </w:r>
      <w:r w:rsidRPr="006A315A">
        <w:rPr>
          <w:rFonts w:asciiTheme="minorHAnsi" w:hAnsiTheme="minorHAnsi"/>
          <w:lang w:eastAsia="pl-PL"/>
        </w:rPr>
        <w:t>W ramach WRPO+ wyróżniono instrumenty obligatoryjne oraz fakultatywne. Podział ten powstał, w związku z kierunkami rozwoju wyznaczonymi na poziomie administracji centralnej (KSRR 2010-2020). Do obligatoryjnych form wsparcia wymiaru terytorialnego należą:</w:t>
      </w:r>
    </w:p>
    <w:p w14:paraId="637A4B4A" w14:textId="764BAEE7" w:rsidR="00421A25" w:rsidRPr="00A32E9B" w:rsidRDefault="00421A25" w:rsidP="002B434B">
      <w:pPr>
        <w:pStyle w:val="Default"/>
        <w:numPr>
          <w:ilvl w:val="0"/>
          <w:numId w:val="35"/>
        </w:numPr>
        <w:ind w:left="426"/>
        <w:jc w:val="both"/>
        <w:rPr>
          <w:rFonts w:asciiTheme="minorHAnsi" w:hAnsiTheme="minorHAnsi" w:cs="Times New Roman"/>
          <w:color w:val="000000" w:themeColor="text1"/>
          <w:lang w:eastAsia="pl-PL"/>
        </w:rPr>
      </w:pPr>
      <w:r w:rsidRPr="00836F42">
        <w:rPr>
          <w:rFonts w:asciiTheme="minorHAnsi" w:hAnsiTheme="minorHAnsi"/>
          <w:b/>
          <w:color w:val="000000" w:themeColor="text1"/>
          <w:lang w:eastAsia="pl-PL"/>
        </w:rPr>
        <w:t>Wsparcie rewitalizacji w ramach Programów Operacyjnych na lata 2014-2020</w:t>
      </w:r>
      <w:r w:rsidRPr="00A32E9B">
        <w:rPr>
          <w:rFonts w:asciiTheme="minorHAnsi" w:hAnsiTheme="minorHAnsi"/>
          <w:color w:val="000000" w:themeColor="text1"/>
          <w:lang w:eastAsia="pl-PL"/>
        </w:rPr>
        <w:t xml:space="preserve"> – które zgodnie z zapisami </w:t>
      </w:r>
      <w:r w:rsidR="00AB29D0">
        <w:rPr>
          <w:rFonts w:asciiTheme="minorHAnsi" w:hAnsiTheme="minorHAnsi"/>
          <w:color w:val="000000" w:themeColor="text1"/>
          <w:lang w:eastAsia="pl-PL"/>
        </w:rPr>
        <w:t xml:space="preserve">SZOOP </w:t>
      </w:r>
      <w:r w:rsidRPr="00A32E9B">
        <w:rPr>
          <w:rFonts w:asciiTheme="minorHAnsi" w:hAnsiTheme="minorHAnsi"/>
          <w:color w:val="000000" w:themeColor="text1"/>
          <w:lang w:eastAsia="pl-PL"/>
        </w:rPr>
        <w:t xml:space="preserve">WRPO 2014+ obejmuje (s.299): </w:t>
      </w:r>
      <w:r w:rsidRPr="00A32E9B">
        <w:rPr>
          <w:rFonts w:asciiTheme="minorHAnsi" w:hAnsiTheme="minorHAnsi"/>
          <w:i/>
          <w:color w:val="000000" w:themeColor="text1"/>
          <w:lang w:eastAsia="pl-PL"/>
        </w:rPr>
        <w:t>„</w:t>
      </w:r>
      <w:r w:rsidRPr="3725D685">
        <w:rPr>
          <w:rFonts w:asciiTheme="minorHAnsi" w:hAnsiTheme="minorHAnsi" w:cs="Times New Roman"/>
          <w:i/>
          <w:color w:val="000000" w:themeColor="text1"/>
          <w:lang w:eastAsia="pl-PL"/>
        </w:rPr>
        <w:t>obszary charakteryzujące się zdegradowaną zabudową, zdekapitalizowaną infrastrukturą techniczną, ograniczoną dostępnością transportową, koncentracją negatywnych zjawisk społecznych</w:t>
      </w:r>
      <w:r w:rsidR="591FB159" w:rsidRPr="591FB159">
        <w:rPr>
          <w:rFonts w:asciiTheme="minorHAnsi" w:hAnsiTheme="minorHAnsi" w:cs="Times New Roman"/>
          <w:i/>
          <w:iCs/>
          <w:color w:val="000000" w:themeColor="text1"/>
          <w:lang w:eastAsia="pl-PL"/>
        </w:rPr>
        <w:t>”.</w:t>
      </w:r>
      <w:r w:rsidRPr="3725D685">
        <w:rPr>
          <w:rFonts w:asciiTheme="minorHAnsi" w:hAnsiTheme="minorHAnsi" w:cs="Times New Roman"/>
          <w:color w:val="000000" w:themeColor="text1"/>
          <w:lang w:eastAsia="pl-PL"/>
        </w:rPr>
        <w:t xml:space="preserve"> </w:t>
      </w:r>
      <w:r w:rsidR="00AB29D0" w:rsidRPr="00526B88">
        <w:rPr>
          <w:rFonts w:asciiTheme="minorHAnsi" w:hAnsiTheme="minorHAnsi" w:cs="Times New Roman"/>
          <w:color w:val="000000" w:themeColor="text1"/>
          <w:szCs w:val="22"/>
          <w:lang w:eastAsia="pl-PL"/>
        </w:rPr>
        <w:t>Przy wyznaczonym instrumencie zastosowano metodę preferencji wyb</w:t>
      </w:r>
      <w:r w:rsidR="00357AAA">
        <w:rPr>
          <w:rFonts w:asciiTheme="minorHAnsi" w:hAnsiTheme="minorHAnsi" w:cs="Times New Roman"/>
          <w:color w:val="000000" w:themeColor="text1"/>
          <w:szCs w:val="22"/>
          <w:lang w:eastAsia="pl-PL"/>
        </w:rPr>
        <w:t>oru projektów uwzględnionych w Lokalnych P</w:t>
      </w:r>
      <w:r w:rsidR="00AB29D0" w:rsidRPr="00526B88">
        <w:rPr>
          <w:rFonts w:asciiTheme="minorHAnsi" w:hAnsiTheme="minorHAnsi" w:cs="Times New Roman"/>
          <w:color w:val="000000" w:themeColor="text1"/>
          <w:szCs w:val="22"/>
          <w:lang w:eastAsia="pl-PL"/>
        </w:rPr>
        <w:t>rogramach Rewitalizacji</w:t>
      </w:r>
      <w:r w:rsidR="00357AAA">
        <w:rPr>
          <w:rFonts w:asciiTheme="minorHAnsi" w:hAnsiTheme="minorHAnsi" w:cs="Times New Roman"/>
          <w:color w:val="000000" w:themeColor="text1"/>
          <w:szCs w:val="22"/>
          <w:lang w:eastAsia="pl-PL"/>
        </w:rPr>
        <w:t>.</w:t>
      </w:r>
      <w:r w:rsidR="00AB29D0" w:rsidRPr="00526B88">
        <w:rPr>
          <w:rFonts w:asciiTheme="minorHAnsi" w:hAnsiTheme="minorHAnsi" w:cs="Times New Roman"/>
          <w:color w:val="000000" w:themeColor="text1"/>
          <w:szCs w:val="22"/>
          <w:lang w:eastAsia="pl-PL"/>
        </w:rPr>
        <w:t xml:space="preserve"> </w:t>
      </w:r>
    </w:p>
    <w:p w14:paraId="65A752A3" w14:textId="77777777" w:rsidR="00421A25" w:rsidRDefault="00421A25" w:rsidP="00C84EA8">
      <w:pPr>
        <w:pStyle w:val="Akapitzlist"/>
        <w:numPr>
          <w:ilvl w:val="0"/>
          <w:numId w:val="35"/>
        </w:numPr>
        <w:ind w:left="426"/>
        <w:rPr>
          <w:rFonts w:asciiTheme="minorHAnsi" w:hAnsiTheme="minorHAnsi"/>
          <w:lang w:eastAsia="pl-PL"/>
        </w:rPr>
      </w:pPr>
      <w:r w:rsidRPr="00836F42">
        <w:rPr>
          <w:rFonts w:asciiTheme="minorHAnsi" w:hAnsiTheme="minorHAnsi"/>
          <w:b/>
          <w:lang w:eastAsia="pl-PL"/>
        </w:rPr>
        <w:t>ZIT dla obszaru funkcjonalnego Miasta Poznania</w:t>
      </w:r>
      <w:r w:rsidRPr="005C6FAA">
        <w:rPr>
          <w:rFonts w:asciiTheme="minorHAnsi" w:hAnsiTheme="minorHAnsi"/>
          <w:lang w:eastAsia="pl-PL"/>
        </w:rPr>
        <w:t xml:space="preserve"> – instrument rozwoju obszarów miejskich i ich obszarów funkcjonalnych. Zintegrowane inwestycje terytorialne są obligatoryjną formą wsparcia dla ośrodków wojewódzkich. Na realizację założeń ZIT (zapisanych również w </w:t>
      </w:r>
      <w:r>
        <w:rPr>
          <w:rFonts w:asciiTheme="minorHAnsi" w:hAnsiTheme="minorHAnsi"/>
          <w:lang w:eastAsia="pl-PL"/>
        </w:rPr>
        <w:t>dokumencie</w:t>
      </w:r>
      <w:r w:rsidRPr="005C6FAA">
        <w:rPr>
          <w:rFonts w:asciiTheme="minorHAnsi" w:hAnsiTheme="minorHAnsi"/>
          <w:lang w:eastAsia="pl-PL"/>
        </w:rPr>
        <w:t xml:space="preserve"> strategiczno</w:t>
      </w:r>
      <w:r>
        <w:rPr>
          <w:rFonts w:asciiTheme="minorHAnsi" w:hAnsiTheme="minorHAnsi"/>
          <w:lang w:eastAsia="pl-PL"/>
        </w:rPr>
        <w:t>-operacyjnym</w:t>
      </w:r>
      <w:r w:rsidRPr="005C6FAA">
        <w:rPr>
          <w:rFonts w:asciiTheme="minorHAnsi" w:hAnsiTheme="minorHAnsi"/>
          <w:lang w:eastAsia="pl-PL"/>
        </w:rPr>
        <w:t>) przeznaczona została specjalna pula środków w ramach WPRO 2014+</w:t>
      </w:r>
      <w:r>
        <w:rPr>
          <w:rFonts w:asciiTheme="minorHAnsi" w:hAnsiTheme="minorHAnsi"/>
          <w:lang w:eastAsia="pl-PL"/>
        </w:rPr>
        <w:t>.</w:t>
      </w:r>
    </w:p>
    <w:p w14:paraId="5F1A219D" w14:textId="59FD8EC4" w:rsidR="00421A25" w:rsidRPr="00836F42" w:rsidRDefault="00421A25" w:rsidP="00DF684F">
      <w:pPr>
        <w:pStyle w:val="Akapitzlist"/>
        <w:numPr>
          <w:ilvl w:val="0"/>
          <w:numId w:val="35"/>
        </w:numPr>
        <w:ind w:left="426"/>
        <w:rPr>
          <w:rFonts w:asciiTheme="minorHAnsi" w:hAnsiTheme="minorHAnsi"/>
          <w:lang w:eastAsia="pl-PL"/>
        </w:rPr>
      </w:pPr>
      <w:r w:rsidRPr="00836F42">
        <w:rPr>
          <w:rFonts w:asciiTheme="minorHAnsi" w:hAnsiTheme="minorHAnsi"/>
          <w:b/>
          <w:lang w:eastAsia="pl-PL"/>
        </w:rPr>
        <w:t>Obszary wiejskie</w:t>
      </w:r>
      <w:r w:rsidRPr="00836F42">
        <w:rPr>
          <w:rFonts w:asciiTheme="minorHAnsi" w:hAnsiTheme="minorHAnsi"/>
          <w:lang w:eastAsia="pl-PL"/>
        </w:rPr>
        <w:t xml:space="preserve"> – dla tego instrumentu zastosowano dwa rodzaje preferencji – dla obszarów nie należących do obszarów funkcjonalnych </w:t>
      </w:r>
      <w:r>
        <w:rPr>
          <w:rFonts w:asciiTheme="minorHAnsi" w:hAnsiTheme="minorHAnsi"/>
          <w:lang w:eastAsia="pl-PL"/>
        </w:rPr>
        <w:t>OSI subregionalnych, ZIT</w:t>
      </w:r>
      <w:r w:rsidRPr="00836F42">
        <w:rPr>
          <w:rFonts w:asciiTheme="minorHAnsi" w:hAnsiTheme="minorHAnsi"/>
          <w:lang w:eastAsia="pl-PL"/>
        </w:rPr>
        <w:t xml:space="preserve"> </w:t>
      </w:r>
      <w:r>
        <w:rPr>
          <w:rFonts w:asciiTheme="minorHAnsi" w:hAnsiTheme="minorHAnsi"/>
          <w:lang w:eastAsia="pl-PL"/>
        </w:rPr>
        <w:t>Poznania</w:t>
      </w:r>
      <w:r w:rsidRPr="00836F42">
        <w:rPr>
          <w:rFonts w:asciiTheme="minorHAnsi" w:hAnsiTheme="minorHAnsi"/>
          <w:lang w:eastAsia="pl-PL"/>
        </w:rPr>
        <w:t xml:space="preserve"> oraz </w:t>
      </w:r>
      <w:r>
        <w:rPr>
          <w:rFonts w:asciiTheme="minorHAnsi" w:hAnsiTheme="minorHAnsi"/>
          <w:lang w:eastAsia="pl-PL"/>
        </w:rPr>
        <w:t xml:space="preserve">ZIT </w:t>
      </w:r>
      <w:r w:rsidRPr="00836F42">
        <w:rPr>
          <w:rFonts w:asciiTheme="minorHAnsi" w:hAnsiTheme="minorHAnsi"/>
          <w:lang w:eastAsia="pl-PL"/>
        </w:rPr>
        <w:t>kalisko-ostrowskiego</w:t>
      </w:r>
      <w:r>
        <w:rPr>
          <w:rFonts w:asciiTheme="minorHAnsi" w:hAnsiTheme="minorHAnsi"/>
          <w:lang w:eastAsia="pl-PL"/>
        </w:rPr>
        <w:t xml:space="preserve"> (wiejskie obszary funkcjonalne wymagające wsparcia procesów rozwojowych)</w:t>
      </w:r>
      <w:r w:rsidRPr="00836F42">
        <w:rPr>
          <w:rFonts w:asciiTheme="minorHAnsi" w:hAnsiTheme="minorHAnsi"/>
          <w:lang w:eastAsia="pl-PL"/>
        </w:rPr>
        <w:t xml:space="preserve"> oraz preferencje dla obszarów wiejskich</w:t>
      </w:r>
      <w:r>
        <w:rPr>
          <w:rFonts w:asciiTheme="minorHAnsi" w:hAnsiTheme="minorHAnsi"/>
          <w:lang w:eastAsia="pl-PL"/>
        </w:rPr>
        <w:t xml:space="preserve"> (i</w:t>
      </w:r>
      <w:r w:rsidR="591FB159" w:rsidRPr="591FB159">
        <w:rPr>
          <w:rFonts w:asciiTheme="minorHAnsi" w:hAnsiTheme="minorHAnsi"/>
          <w:lang w:eastAsia="pl-PL"/>
        </w:rPr>
        <w:t>/</w:t>
      </w:r>
      <w:r>
        <w:rPr>
          <w:rFonts w:asciiTheme="minorHAnsi" w:hAnsiTheme="minorHAnsi"/>
          <w:lang w:eastAsia="pl-PL"/>
        </w:rPr>
        <w:t>lub ludności zamieszkałej na tych obszarach)</w:t>
      </w:r>
      <w:r w:rsidRPr="00836F42">
        <w:rPr>
          <w:rFonts w:asciiTheme="minorHAnsi" w:hAnsiTheme="minorHAnsi"/>
          <w:lang w:eastAsia="pl-PL"/>
        </w:rPr>
        <w:t xml:space="preserve"> wyznaczonych na podstawie definicji GUS</w:t>
      </w:r>
      <w:r>
        <w:rPr>
          <w:rFonts w:asciiTheme="minorHAnsi" w:hAnsiTheme="minorHAnsi"/>
          <w:lang w:eastAsia="pl-PL"/>
        </w:rPr>
        <w:t>.</w:t>
      </w:r>
      <w:r w:rsidRPr="00836F42">
        <w:rPr>
          <w:rFonts w:asciiTheme="minorHAnsi" w:hAnsiTheme="minorHAnsi"/>
          <w:lang w:eastAsia="pl-PL"/>
        </w:rPr>
        <w:t xml:space="preserve"> </w:t>
      </w:r>
    </w:p>
    <w:p w14:paraId="08885B2E" w14:textId="77777777" w:rsidR="00421A25" w:rsidRPr="006A315A" w:rsidRDefault="00421A25" w:rsidP="00421A25">
      <w:pPr>
        <w:rPr>
          <w:rFonts w:asciiTheme="minorHAnsi" w:hAnsiTheme="minorHAnsi"/>
          <w:lang w:eastAsia="pl-PL"/>
        </w:rPr>
      </w:pPr>
      <w:r w:rsidRPr="006A315A">
        <w:rPr>
          <w:rFonts w:asciiTheme="minorHAnsi" w:hAnsiTheme="minorHAnsi"/>
          <w:lang w:eastAsia="pl-PL"/>
        </w:rPr>
        <w:t>Dla fakultatywnych form wsparcia wymiaru terytorialnego, w WRPO 2014+ wskazano:</w:t>
      </w:r>
    </w:p>
    <w:p w14:paraId="721EB0B3" w14:textId="77777777" w:rsidR="00421A25" w:rsidRDefault="00421A25" w:rsidP="002B434B">
      <w:pPr>
        <w:pStyle w:val="Akapitzlist"/>
        <w:numPr>
          <w:ilvl w:val="0"/>
          <w:numId w:val="36"/>
        </w:numPr>
        <w:ind w:left="426"/>
        <w:rPr>
          <w:rFonts w:asciiTheme="minorHAnsi" w:hAnsiTheme="minorHAnsi"/>
          <w:lang w:eastAsia="pl-PL"/>
        </w:rPr>
      </w:pPr>
      <w:r w:rsidRPr="0008206C">
        <w:rPr>
          <w:rFonts w:asciiTheme="minorHAnsi" w:hAnsiTheme="minorHAnsi"/>
          <w:b/>
          <w:lang w:eastAsia="pl-PL"/>
        </w:rPr>
        <w:t>ZIT regionalny</w:t>
      </w:r>
      <w:r w:rsidRPr="0008206C">
        <w:rPr>
          <w:rFonts w:asciiTheme="minorHAnsi" w:hAnsiTheme="minorHAnsi"/>
          <w:lang w:eastAsia="pl-PL"/>
        </w:rPr>
        <w:t xml:space="preserve"> – instrument rozwoju ukierunkowany na wsparcie aglomeracji kalisko-ostrowskiej. Podobnie ja</w:t>
      </w:r>
      <w:r>
        <w:rPr>
          <w:rFonts w:asciiTheme="minorHAnsi" w:hAnsiTheme="minorHAnsi"/>
          <w:lang w:eastAsia="pl-PL"/>
        </w:rPr>
        <w:t>k</w:t>
      </w:r>
      <w:r w:rsidRPr="0008206C">
        <w:rPr>
          <w:rFonts w:asciiTheme="minorHAnsi" w:hAnsiTheme="minorHAnsi"/>
          <w:lang w:eastAsia="pl-PL"/>
        </w:rPr>
        <w:t xml:space="preserve"> w przypadku ZIT Poznania</w:t>
      </w:r>
      <w:r>
        <w:rPr>
          <w:rFonts w:asciiTheme="minorHAnsi" w:hAnsiTheme="minorHAnsi"/>
          <w:lang w:eastAsia="pl-PL"/>
        </w:rPr>
        <w:t>,</w:t>
      </w:r>
      <w:r w:rsidRPr="0008206C">
        <w:rPr>
          <w:rFonts w:asciiTheme="minorHAnsi" w:hAnsiTheme="minorHAnsi"/>
          <w:lang w:eastAsia="pl-PL"/>
        </w:rPr>
        <w:t xml:space="preserve"> na realizację założeń ZIT obszaru funkcjonalnego Kalisza z Ostrowem </w:t>
      </w:r>
      <w:r>
        <w:rPr>
          <w:rFonts w:asciiTheme="minorHAnsi" w:hAnsiTheme="minorHAnsi"/>
          <w:lang w:eastAsia="pl-PL"/>
        </w:rPr>
        <w:t xml:space="preserve">Wielkopolskim </w:t>
      </w:r>
      <w:r w:rsidRPr="0008206C">
        <w:rPr>
          <w:rFonts w:asciiTheme="minorHAnsi" w:hAnsiTheme="minorHAnsi"/>
          <w:lang w:eastAsia="pl-PL"/>
        </w:rPr>
        <w:t xml:space="preserve">(zapisanych również w dokumencie strategiczno-operacyjnym) przeznaczona została specjalna pula środków w ramach </w:t>
      </w:r>
      <w:r>
        <w:rPr>
          <w:rFonts w:asciiTheme="minorHAnsi" w:hAnsiTheme="minorHAnsi"/>
          <w:lang w:eastAsia="pl-PL"/>
        </w:rPr>
        <w:t>W</w:t>
      </w:r>
      <w:r w:rsidRPr="0008206C">
        <w:rPr>
          <w:rFonts w:asciiTheme="minorHAnsi" w:hAnsiTheme="minorHAnsi"/>
          <w:lang w:eastAsia="pl-PL"/>
        </w:rPr>
        <w:t>R</w:t>
      </w:r>
      <w:r>
        <w:rPr>
          <w:rFonts w:asciiTheme="minorHAnsi" w:hAnsiTheme="minorHAnsi"/>
          <w:lang w:eastAsia="pl-PL"/>
        </w:rPr>
        <w:t>P</w:t>
      </w:r>
      <w:r w:rsidRPr="0008206C">
        <w:rPr>
          <w:rFonts w:asciiTheme="minorHAnsi" w:hAnsiTheme="minorHAnsi"/>
          <w:lang w:eastAsia="pl-PL"/>
        </w:rPr>
        <w:t>O 2014+.</w:t>
      </w:r>
    </w:p>
    <w:p w14:paraId="1E6DBDB0" w14:textId="70469569" w:rsidR="00421A25" w:rsidRDefault="00421A25" w:rsidP="00C84EA8">
      <w:pPr>
        <w:pStyle w:val="Akapitzlist"/>
        <w:numPr>
          <w:ilvl w:val="0"/>
          <w:numId w:val="36"/>
        </w:numPr>
        <w:ind w:left="426"/>
        <w:rPr>
          <w:rFonts w:asciiTheme="minorHAnsi" w:hAnsiTheme="minorHAnsi"/>
          <w:lang w:eastAsia="pl-PL"/>
        </w:rPr>
      </w:pPr>
      <w:r w:rsidRPr="001A4A06">
        <w:rPr>
          <w:rFonts w:asciiTheme="minorHAnsi" w:hAnsiTheme="minorHAnsi"/>
          <w:b/>
          <w:lang w:eastAsia="pl-PL"/>
        </w:rPr>
        <w:t>Mandaty terytorialne dla OSI subregionalnych</w:t>
      </w:r>
      <w:r>
        <w:rPr>
          <w:rFonts w:asciiTheme="minorHAnsi" w:hAnsiTheme="minorHAnsi"/>
          <w:lang w:eastAsia="pl-PL"/>
        </w:rPr>
        <w:t xml:space="preserve"> – instrument rozwoju ukierunkowany na wsparcie subregionalnych ośrodków miejskich i ich obszarów funkcjonalnych. Podobnie jak w przypadku formuły ZIT dla instrumentu wyodrębniono specjalną alokację w ramach WRPO 2014+ i podobnie jak przy ZIT wybór kierunków interwencji poprzedzony został szczegółową diagnozą</w:t>
      </w:r>
      <w:r w:rsidR="0069753B">
        <w:rPr>
          <w:rFonts w:asciiTheme="minorHAnsi" w:hAnsiTheme="minorHAnsi"/>
          <w:lang w:eastAsia="pl-PL"/>
        </w:rPr>
        <w:t xml:space="preserve">, </w:t>
      </w:r>
      <w:r w:rsidR="009E5352">
        <w:rPr>
          <w:rFonts w:asciiTheme="minorHAnsi" w:hAnsiTheme="minorHAnsi"/>
          <w:lang w:eastAsia="pl-PL"/>
        </w:rPr>
        <w:t xml:space="preserve">co jest </w:t>
      </w:r>
      <w:r>
        <w:rPr>
          <w:rFonts w:asciiTheme="minorHAnsi" w:hAnsiTheme="minorHAnsi"/>
          <w:lang w:eastAsia="pl-PL"/>
        </w:rPr>
        <w:lastRenderedPageBreak/>
        <w:t>zapisane w specjalnych dokumentach strategiczno-operacyjnych. Mandatem objęte zostały ośrodki: Piła, Leszno, Konin oraz Gniezno</w:t>
      </w:r>
      <w:r>
        <w:rPr>
          <w:rStyle w:val="Odwoanieprzypisudolnego"/>
          <w:rFonts w:asciiTheme="minorHAnsi" w:hAnsiTheme="minorHAnsi"/>
          <w:lang w:eastAsia="pl-PL"/>
        </w:rPr>
        <w:footnoteReference w:id="19"/>
      </w:r>
      <w:r w:rsidR="591FB159" w:rsidRPr="591FB159">
        <w:rPr>
          <w:rFonts w:asciiTheme="minorHAnsi" w:hAnsiTheme="minorHAnsi"/>
          <w:lang w:eastAsia="pl-PL"/>
        </w:rPr>
        <w:t>.</w:t>
      </w:r>
    </w:p>
    <w:p w14:paraId="7312C9BF" w14:textId="77777777" w:rsidR="00421A25" w:rsidRPr="001A4A06" w:rsidRDefault="00421A25" w:rsidP="00DF684F">
      <w:pPr>
        <w:pStyle w:val="Akapitzlist"/>
        <w:numPr>
          <w:ilvl w:val="0"/>
          <w:numId w:val="36"/>
        </w:numPr>
        <w:ind w:left="426"/>
        <w:rPr>
          <w:rFonts w:asciiTheme="minorHAnsi" w:hAnsiTheme="minorHAnsi"/>
          <w:lang w:eastAsia="pl-PL"/>
        </w:rPr>
      </w:pPr>
      <w:r w:rsidRPr="005F4E6A">
        <w:rPr>
          <w:rFonts w:asciiTheme="minorHAnsi" w:hAnsiTheme="minorHAnsi"/>
          <w:b/>
          <w:lang w:eastAsia="pl-PL"/>
        </w:rPr>
        <w:t>Inne instrumenty terytorialne – preferencje punktowe:</w:t>
      </w:r>
      <w:r w:rsidRPr="001A4A06">
        <w:rPr>
          <w:rFonts w:asciiTheme="minorHAnsi" w:hAnsiTheme="minorHAnsi"/>
          <w:lang w:eastAsia="pl-PL"/>
        </w:rPr>
        <w:t xml:space="preserve"> </w:t>
      </w:r>
      <w:r>
        <w:rPr>
          <w:rFonts w:asciiTheme="minorHAnsi" w:hAnsiTheme="minorHAnsi"/>
          <w:lang w:eastAsia="pl-PL"/>
        </w:rPr>
        <w:t>ukierunkowane na obszary interwencji zdelimitowane w dokumencie wdrożeniowym do  SRWW 2020 (</w:t>
      </w:r>
      <w:r w:rsidRPr="007C0A18">
        <w:rPr>
          <w:rFonts w:asciiTheme="minorHAnsi" w:hAnsiTheme="minorHAnsi"/>
          <w:i/>
          <w:lang w:eastAsia="pl-PL"/>
        </w:rPr>
        <w:t>Zasady i kryteria</w:t>
      </w:r>
      <w:r>
        <w:rPr>
          <w:rFonts w:asciiTheme="minorHAnsi" w:hAnsiTheme="minorHAnsi"/>
          <w:lang w:eastAsia="pl-PL"/>
        </w:rPr>
        <w:t xml:space="preserve"> …, 2015), wymagające szczególnego wsparcia: </w:t>
      </w:r>
      <w:r w:rsidRPr="001A4A06">
        <w:rPr>
          <w:rFonts w:asciiTheme="minorHAnsi" w:hAnsiTheme="minorHAnsi"/>
          <w:lang w:eastAsia="pl-PL"/>
        </w:rPr>
        <w:t>obszary o najniższym stopniu rozwoju i pogarszających się perspektywach rozwojowych; obszary o najniższej dostępności do usług warunkujących możliwości rozwojowe; obszary o najniższej dostępności transportowej do ośrodka wojewódzkiego; miasta i inne obszary tracące dotychczasowe funkcje społeczno–gospodarcze (obszar zależny od sektora paliwowo-energetycznego).</w:t>
      </w:r>
      <w:r>
        <w:rPr>
          <w:rFonts w:asciiTheme="minorHAnsi" w:hAnsiTheme="minorHAnsi"/>
          <w:lang w:eastAsia="pl-PL"/>
        </w:rPr>
        <w:t xml:space="preserve"> Instrument ma formę preferencji punktowych przy wyborze projektów. Dla poszczególnych osi priorytetowych wskazywane są wybrane obszary preferencyjne.</w:t>
      </w:r>
    </w:p>
    <w:p w14:paraId="32D2A929" w14:textId="77777777" w:rsidR="00421A25" w:rsidRPr="003E2867" w:rsidRDefault="00421A25" w:rsidP="00421A25">
      <w:pPr>
        <w:rPr>
          <w:rFonts w:asciiTheme="minorHAnsi" w:hAnsiTheme="minorHAnsi"/>
          <w:lang w:eastAsia="pl-PL"/>
        </w:rPr>
      </w:pPr>
      <w:r w:rsidRPr="003E2867">
        <w:rPr>
          <w:rFonts w:asciiTheme="minorHAnsi" w:hAnsiTheme="minorHAnsi"/>
          <w:lang w:eastAsia="pl-PL"/>
        </w:rPr>
        <w:t>Drugim kluczowym instrumentem ukierunkowanym na wsparcie wymiaru terytorialnego interwencji – w tym przypadku obszarów wiejskich – jest PROW. W pewnym zakresie funkcje zarządcze nad działaniami realizowanymi w ramach PROW znajdują się także w kompetencjach SWW. Wybór projektów w ramach PROW także opiera się na preferencjach punktowych – w zależności od osiąganych wskaźników. W ramach PROW funkcjonuje także inicjatywa LEADER (Rozwój lokalny kierowany przez społeczność</w:t>
      </w:r>
      <w:r>
        <w:rPr>
          <w:rFonts w:asciiTheme="minorHAnsi" w:hAnsiTheme="minorHAnsi"/>
          <w:lang w:eastAsia="pl-PL"/>
        </w:rPr>
        <w:t>) – wspierający przedsięwzięcia samorządów lokalnych lub/i przedstawicieli obywateli (tzw. Lokalne Grupy Działania). Kryterium przyznawania dofinansowania w ramach RLKS jest liczba mieszkańców obszaru, który obejmuje lokalna strategia rozwoju (przygotowana przez LGD).</w:t>
      </w:r>
    </w:p>
    <w:p w14:paraId="56B05EA3" w14:textId="304C1520" w:rsidR="00421A25" w:rsidRDefault="00421A25" w:rsidP="00421A25">
      <w:pPr>
        <w:rPr>
          <w:lang w:eastAsia="pl-PL"/>
        </w:rPr>
      </w:pPr>
      <w:r w:rsidRPr="00172CA6">
        <w:rPr>
          <w:lang w:eastAsia="pl-PL"/>
        </w:rPr>
        <w:t>Oceniając</w:t>
      </w:r>
      <w:r>
        <w:rPr>
          <w:lang w:eastAsia="pl-PL"/>
        </w:rPr>
        <w:t xml:space="preserve"> wyżej wymienione</w:t>
      </w:r>
      <w:r w:rsidRPr="00172CA6">
        <w:rPr>
          <w:lang w:eastAsia="pl-PL"/>
        </w:rPr>
        <w:t xml:space="preserve"> instrumenty przez pryzmat organizacji wsparcia</w:t>
      </w:r>
      <w:r>
        <w:rPr>
          <w:lang w:eastAsia="pl-PL"/>
        </w:rPr>
        <w:t>,</w:t>
      </w:r>
      <w:r w:rsidRPr="00172CA6">
        <w:rPr>
          <w:lang w:eastAsia="pl-PL"/>
        </w:rPr>
        <w:t xml:space="preserve"> najłatwiejsze we wdrażaniu są preferencje punktowe w ramach WRPO</w:t>
      </w:r>
      <w:r w:rsidR="00526B88">
        <w:rPr>
          <w:lang w:eastAsia="pl-PL"/>
        </w:rPr>
        <w:t xml:space="preserve"> 2014</w:t>
      </w:r>
      <w:r w:rsidRPr="00172CA6">
        <w:rPr>
          <w:lang w:eastAsia="pl-PL"/>
        </w:rPr>
        <w:t xml:space="preserve"> +. Idea ta jest właściwa. Zasady konkursów i stosowane preferencje są znacznie bardziej zrozumiałe, niż pozostałe mechanizmy. Podobnie realizowane są konkursy w ramach </w:t>
      </w:r>
      <w:r w:rsidRPr="00172CA6">
        <w:t>PROW – adresowane są do wszystkich obszarów wiejskich</w:t>
      </w:r>
      <w:r>
        <w:t>,</w:t>
      </w:r>
      <w:r w:rsidRPr="00172CA6">
        <w:t xml:space="preserve"> przy czym preferencje punktowe są dla tych obszarów</w:t>
      </w:r>
      <w:r>
        <w:t>,</w:t>
      </w:r>
      <w:r w:rsidRPr="00172CA6">
        <w:t xml:space="preserve"> które osiągają najniższe</w:t>
      </w:r>
      <w:r>
        <w:t xml:space="preserve"> wskaźniki</w:t>
      </w:r>
      <w:r w:rsidRPr="00172CA6">
        <w:t>.</w:t>
      </w:r>
      <w:r>
        <w:t xml:space="preserve"> Jednocześnie należy zaznaczyć, że choć z punktu widzenia instytucji zarządzających programami (RPO i PROW) instrumenty te są łatwe we wdrażaniu, potencjalnemu beneficjentowi nie dają gwarancji uzyskania dofinansowania, a jedynie wzmacniają pozycję jego projektu podczas oceny.</w:t>
      </w:r>
    </w:p>
    <w:p w14:paraId="472B7DC3" w14:textId="0C9ABF28" w:rsidR="00421A25" w:rsidRDefault="591FB159" w:rsidP="00421A25">
      <w:r w:rsidRPr="591FB159">
        <w:rPr>
          <w:lang w:eastAsia="pl-PL"/>
        </w:rPr>
        <w:t>ZIT-y</w:t>
      </w:r>
      <w:r w:rsidR="00421A25" w:rsidRPr="00A914F8">
        <w:rPr>
          <w:lang w:eastAsia="pl-PL"/>
        </w:rPr>
        <w:t xml:space="preserve"> i mandaty terytorialne, choć gwarantują uzyskanie konkretnej puli środków, ocenione zostały jako bardziej skomplikowane mechanizmy finasowania inwestycji. </w:t>
      </w:r>
      <w:r w:rsidR="00421A25" w:rsidRPr="591FB159">
        <w:rPr>
          <w:lang w:eastAsia="pl-PL"/>
        </w:rPr>
        <w:t xml:space="preserve">Kluczowym problemem było niewystarczające przygotowanie projektów (w wyznaczonych ośrodkach i obszarach funkcjonalnych). </w:t>
      </w:r>
    </w:p>
    <w:p w14:paraId="5BD425FF" w14:textId="41D5F4D9" w:rsidR="591FB159" w:rsidRDefault="591FB159">
      <w:r w:rsidRPr="10A56692">
        <w:rPr>
          <w:rFonts w:eastAsia="Calibri"/>
        </w:rPr>
        <w:t>Głównym problemem, jaki napotkały JST zakwalifikowane do wykorzystania ww. instrumentów, był brak zrozumienia ogólnych zasad wsparcia, które wymagały od gmin wyłonienia projektów wpisujących się w odgórne założenia narzucone zasadami wdrażania funduszy europejskich w Polsce. W przypadku formuły ZIT instrument oceniony został pozytywnie (przez instytucje pośredniczące), poza problemami związanymi z opóźnieniami w rozliczaniu projektów czy „szybkim tempem” ogłaszania konkursów. Słabości te są jednak powszechnie znane przy realizacji projektów unijnych i niezwiązane są stricte z instrumentem ZIT.</w:t>
      </w:r>
    </w:p>
    <w:p w14:paraId="7938C07B" w14:textId="2A1412DB" w:rsidR="00421A25" w:rsidRDefault="00421A25" w:rsidP="00421A25">
      <w:pPr>
        <w:rPr>
          <w:lang w:eastAsia="pl-PL"/>
        </w:rPr>
      </w:pPr>
      <w:r>
        <w:rPr>
          <w:lang w:eastAsia="pl-PL"/>
        </w:rPr>
        <w:t xml:space="preserve">Bardziej problematyczne były tzw. koperty, czyli mandaty terytorialne (przynajmniej w opinii przedstawicieli obszarów, na terenie których były stosowane). Należy podkreślić, że mandaty terytorialne, to z założenia dokumenty strategiczno-operacyjne, które miały być wypracowane przez </w:t>
      </w:r>
      <w:r>
        <w:rPr>
          <w:lang w:eastAsia="pl-PL"/>
        </w:rPr>
        <w:lastRenderedPageBreak/>
        <w:t xml:space="preserve">władze lokalne danego terenu w celu jak najlepszego wdrożenia interwencji z poziomu Samorządu Województwa. Dokumenty te były realnie wypracowywane w toku dyskusji i przy zaangażowaniu środowisk lokalnych. Zawierały zarówno część diagnostyczną, opracowane cele, jak i wstępne fiszki projektów służące określeniu kierunków interwencji (warto podkreślić, że na </w:t>
      </w:r>
      <w:r w:rsidRPr="3C73A7EF">
        <w:rPr>
          <w:lang w:eastAsia="pl-PL"/>
        </w:rPr>
        <w:t>etapie powstawania dokumentu nie było gotowej dokumentacji projektowej oraz nie były znane do końca wszystkie zasady obowiązujące w danym obszarze wsparcia – rozmówcy wskazywali, że SZOOP został wydany po przygotowaniu mandatów)</w:t>
      </w:r>
      <w:r>
        <w:rPr>
          <w:lang w:eastAsia="pl-PL"/>
        </w:rPr>
        <w:t>.</w:t>
      </w:r>
    </w:p>
    <w:p w14:paraId="113D2A18" w14:textId="31FDBB61" w:rsidR="00421A25" w:rsidRDefault="00421A25" w:rsidP="00421A25">
      <w:pPr>
        <w:rPr>
          <w:lang w:eastAsia="pl-PL"/>
        </w:rPr>
      </w:pPr>
      <w:r w:rsidRPr="004C0A98">
        <w:rPr>
          <w:lang w:eastAsia="pl-PL"/>
        </w:rPr>
        <w:t xml:space="preserve">Wyznaczony instrument w wyobrażeniu beneficjentów miał obejmować pewną pulę pieniędzy adresowaną na dany obszar, która może być wykorzystana dowolnie, a nie w ramach wyznaczonych odgórnie priorytetów, które wynikały głównie z konieczności utrzymania przez UMWW struktury wydatkowania środków z </w:t>
      </w:r>
      <w:r w:rsidR="004C0A98">
        <w:rPr>
          <w:lang w:eastAsia="pl-PL"/>
        </w:rPr>
        <w:t>W</w:t>
      </w:r>
      <w:r w:rsidRPr="004C0A98">
        <w:rPr>
          <w:lang w:eastAsia="pl-PL"/>
        </w:rPr>
        <w:t>RPO</w:t>
      </w:r>
      <w:r w:rsidRPr="00DC2C15">
        <w:rPr>
          <w:lang w:eastAsia="pl-PL"/>
        </w:rPr>
        <w:t xml:space="preserve"> 2014+. Wytyczne te wydają się jednak zasadne mając na uwadze, że większość gmin ościennych ośrodków subregionalnych (czyli de facto gmin wiejskich) chciała przeznaczać pieniądze przede wszystkim na inwestycje drogowe, nie projekty miękkie, co mijałoby się z zakresem celu wyznaczonego w SRWW 2020. Warto dodać, że IZ WRPO 2014+ wykazywała się dużą elastycznością wobec propozycji projektów zgłaszanych przez poszczególne obszary objęte mandatami, choć kluczową była zasada, iż oczekiwany zakres interwencji powinien wynikać z przeprowadzonych diagnoz.</w:t>
      </w:r>
    </w:p>
    <w:p w14:paraId="7284947C" w14:textId="6D2A0FB3" w:rsidR="00421A25" w:rsidRDefault="00421A25" w:rsidP="00421A25">
      <w:pPr>
        <w:rPr>
          <w:lang w:eastAsia="pl-PL"/>
        </w:rPr>
      </w:pPr>
      <w:r>
        <w:rPr>
          <w:lang w:eastAsia="pl-PL"/>
        </w:rPr>
        <w:t>Finalnie od strony instytucji zarządzającej pojawia się także wątpliwość związana z pewnego rodzaju blokadą środków, bowiem gminy, które mają wpisane w mandatach pewne priorytety startowały w ramach nich także w zwykłych konkursach</w:t>
      </w:r>
      <w:r w:rsidR="002F7503">
        <w:rPr>
          <w:lang w:eastAsia="pl-PL"/>
        </w:rPr>
        <w:t xml:space="preserve"> w ramach</w:t>
      </w:r>
      <w:r>
        <w:rPr>
          <w:lang w:eastAsia="pl-PL"/>
        </w:rPr>
        <w:t xml:space="preserve"> </w:t>
      </w:r>
      <w:r w:rsidR="002F7503">
        <w:rPr>
          <w:lang w:eastAsia="pl-PL"/>
        </w:rPr>
        <w:t>W</w:t>
      </w:r>
      <w:r>
        <w:rPr>
          <w:lang w:eastAsia="pl-PL"/>
        </w:rPr>
        <w:t>RPO</w:t>
      </w:r>
      <w:r w:rsidR="002F7503">
        <w:rPr>
          <w:lang w:eastAsia="pl-PL"/>
        </w:rPr>
        <w:t xml:space="preserve"> 2014+</w:t>
      </w:r>
      <w:r>
        <w:rPr>
          <w:lang w:eastAsia="pl-PL"/>
        </w:rPr>
        <w:t xml:space="preserve">. </w:t>
      </w:r>
    </w:p>
    <w:p w14:paraId="63415AF9" w14:textId="77777777" w:rsidR="00421A25" w:rsidRDefault="00421A25" w:rsidP="00421A25">
      <w:pPr>
        <w:rPr>
          <w:lang w:eastAsia="pl-PL"/>
        </w:rPr>
      </w:pPr>
      <w:r>
        <w:rPr>
          <w:lang w:eastAsia="pl-PL"/>
        </w:rPr>
        <w:t xml:space="preserve">Ogólna ocena wszystkich instrumentów jest raczej zadowalająca. Warto się zastanowić, czy w świetle doświadczeń, ukierunkowanie działań na wszystkie OSI regionalne w postaci zamkniętej puli środków przyczyniło się do większej skuteczności podejmowanych interwencji i widocznych pozytywnych zmian na tych obszarach, niż miałoby to miejsce przy zwykłych preferencjach punktowych. Niewątpliwie wartością dodaną tego mechanizmu było zacieśnianie współpracy między ośrodkami subregionalnymi i gminami ościennymi. </w:t>
      </w:r>
    </w:p>
    <w:p w14:paraId="5D4BDB19" w14:textId="03E29B37" w:rsidR="0069753B" w:rsidRDefault="00421A25" w:rsidP="00421A25">
      <w:pPr>
        <w:rPr>
          <w:lang w:eastAsia="pl-PL"/>
        </w:rPr>
      </w:pPr>
      <w:r>
        <w:rPr>
          <w:lang w:eastAsia="pl-PL"/>
        </w:rPr>
        <w:t>Przy programowaniu kolejnej perspektywy trzeba także mieć na uwadze, że część ze wskazanych obszarów będzie otrzymywała wsparcie</w:t>
      </w:r>
      <w:r w:rsidR="6AB0BE58" w:rsidRPr="6AB0BE58">
        <w:rPr>
          <w:lang w:eastAsia="pl-PL"/>
        </w:rPr>
        <w:t xml:space="preserve"> </w:t>
      </w:r>
      <w:r>
        <w:rPr>
          <w:lang w:eastAsia="pl-PL"/>
        </w:rPr>
        <w:t xml:space="preserve">obligatoryjne </w:t>
      </w:r>
      <w:r w:rsidR="6AB0BE58" w:rsidRPr="6AB0BE58">
        <w:rPr>
          <w:lang w:eastAsia="pl-PL"/>
        </w:rPr>
        <w:t>jako OSI – wyznaczony w KSRR.</w:t>
      </w:r>
      <w:r>
        <w:rPr>
          <w:lang w:eastAsia="pl-PL"/>
        </w:rPr>
        <w:t xml:space="preserve"> </w:t>
      </w:r>
      <w:r w:rsidRPr="005E49CA">
        <w:rPr>
          <w:lang w:eastAsia="pl-PL"/>
        </w:rPr>
        <w:t xml:space="preserve">Przy podejmowaniu decyzji, które obszary powinny otrzymywać preferencje, a dla których tworzyć oddzielne mechanizmy wsparcia, należy </w:t>
      </w:r>
      <w:r>
        <w:rPr>
          <w:lang w:eastAsia="pl-PL"/>
        </w:rPr>
        <w:t xml:space="preserve">dodatkowo </w:t>
      </w:r>
      <w:r w:rsidRPr="005E49CA">
        <w:rPr>
          <w:lang w:eastAsia="pl-PL"/>
        </w:rPr>
        <w:t>uwzględnić jedną niezwykle istotną kwesti</w:t>
      </w:r>
      <w:r>
        <w:rPr>
          <w:lang w:eastAsia="pl-PL"/>
        </w:rPr>
        <w:t>ę</w:t>
      </w:r>
      <w:r w:rsidRPr="005E49CA">
        <w:rPr>
          <w:lang w:eastAsia="pl-PL"/>
        </w:rPr>
        <w:t xml:space="preserve"> – dynamikę zmian.</w:t>
      </w:r>
      <w:r>
        <w:rPr>
          <w:lang w:eastAsia="pl-PL"/>
        </w:rPr>
        <w:t xml:space="preserve"> W poszczególnych obszarach tematycznych zmiany zachodzą szybciej lub wolniej. Zakładając, że Strategia i programy wdrożeniowe mają perspektywę co najmniej kilkuletnią może się okazać, że już po 2 latach zakres terytorializacji jest nieaktualny. Oczywiście nie dotyczy to wszystkich obszarów. Takie zmiany są np. widoczne w obszarze edukacji czy rynku pracy. Logicznym rozwiązaniem byłoby stosowanie preferencji punktowych dla tych obszarów, które zmieniają się bardzo dynamicznie, a adresowanie działania do całości tych obszarów, na których zmiany te będą następować przez dłuższy horyzont czasowy. Można również rozważyć cykliczne monitorowanie zmian w obszarach, w celu aktualizacji delimitacji lub też delimitację obszarów w ujęciu prospektywnym tzn. na podstawie prognoz.</w:t>
      </w:r>
    </w:p>
    <w:p w14:paraId="27693DC3" w14:textId="77777777" w:rsidR="0069753B" w:rsidRDefault="0069753B">
      <w:pPr>
        <w:spacing w:after="0" w:line="240" w:lineRule="auto"/>
        <w:jc w:val="left"/>
        <w:rPr>
          <w:lang w:eastAsia="pl-PL"/>
        </w:rPr>
      </w:pPr>
      <w:r>
        <w:rPr>
          <w:lang w:eastAsia="pl-PL"/>
        </w:rPr>
        <w:br w:type="page"/>
      </w:r>
    </w:p>
    <w:p w14:paraId="4221235A" w14:textId="77777777" w:rsidR="00421A25" w:rsidRDefault="00421A25" w:rsidP="002C2855">
      <w:pPr>
        <w:pStyle w:val="Nagwek2"/>
      </w:pPr>
      <w:bookmarkStart w:id="153" w:name="_Toc536653123"/>
      <w:bookmarkStart w:id="154" w:name="_Toc1904795"/>
      <w:bookmarkStart w:id="155" w:name="_Toc5699469"/>
      <w:r>
        <w:lastRenderedPageBreak/>
        <w:t>Efekty terytorializacji</w:t>
      </w:r>
      <w:bookmarkEnd w:id="153"/>
      <w:bookmarkEnd w:id="154"/>
      <w:bookmarkEnd w:id="155"/>
    </w:p>
    <w:p w14:paraId="0C56024C" w14:textId="77777777" w:rsidR="00421A25" w:rsidRPr="00BF08D5" w:rsidRDefault="00421A25" w:rsidP="00BF08D5">
      <w:pPr>
        <w:ind w:left="4536"/>
        <w:jc w:val="left"/>
        <w:rPr>
          <w:b/>
          <w:i/>
          <w:color w:val="001E50"/>
        </w:rPr>
      </w:pPr>
      <w:r w:rsidRPr="00BF08D5">
        <w:rPr>
          <w:b/>
          <w:i/>
          <w:color w:val="001E50"/>
        </w:rPr>
        <w:t>Widoczne są zmiany w regionie, choć nie ma pewności czy wynikają z mechanizmów terytorializacji.</w:t>
      </w:r>
    </w:p>
    <w:p w14:paraId="5AA2E5D7" w14:textId="7C0FADE6" w:rsidR="00421A25" w:rsidRDefault="00421A25" w:rsidP="00421A25">
      <w:pPr>
        <w:rPr>
          <w:lang w:eastAsia="pl-PL"/>
        </w:rPr>
      </w:pPr>
      <w:r w:rsidRPr="004E13CE">
        <w:rPr>
          <w:lang w:eastAsia="pl-PL"/>
        </w:rPr>
        <w:t xml:space="preserve">Efekty terytorializacji są bardzo ciężkie do uchwycenia. </w:t>
      </w:r>
      <w:r w:rsidR="6AB0BE58" w:rsidRPr="6AB0BE58">
        <w:rPr>
          <w:lang w:eastAsia="pl-PL"/>
        </w:rPr>
        <w:t>Zmian</w:t>
      </w:r>
      <w:r w:rsidR="0056576C">
        <w:rPr>
          <w:lang w:eastAsia="pl-PL"/>
        </w:rPr>
        <w:t>y</w:t>
      </w:r>
      <w:r w:rsidR="6AB0BE58" w:rsidRPr="6AB0BE58">
        <w:rPr>
          <w:lang w:eastAsia="pl-PL"/>
        </w:rPr>
        <w:t xml:space="preserve"> monitorowan</w:t>
      </w:r>
      <w:r w:rsidR="0056576C">
        <w:rPr>
          <w:lang w:eastAsia="pl-PL"/>
        </w:rPr>
        <w:t>e</w:t>
      </w:r>
      <w:r w:rsidRPr="004E13CE">
        <w:rPr>
          <w:lang w:eastAsia="pl-PL"/>
        </w:rPr>
        <w:t xml:space="preserve"> na obszarach interwencji </w:t>
      </w:r>
      <w:r w:rsidR="0056576C">
        <w:rPr>
          <w:lang w:eastAsia="pl-PL"/>
        </w:rPr>
        <w:t xml:space="preserve">należy wiązać nie tylko z </w:t>
      </w:r>
      <w:r w:rsidRPr="004E13CE">
        <w:rPr>
          <w:lang w:eastAsia="pl-PL"/>
        </w:rPr>
        <w:t>w</w:t>
      </w:r>
      <w:r>
        <w:rPr>
          <w:lang w:eastAsia="pl-PL"/>
        </w:rPr>
        <w:t>ypracowanymi mechanizmami</w:t>
      </w:r>
      <w:r w:rsidR="0056576C">
        <w:rPr>
          <w:lang w:eastAsia="pl-PL"/>
        </w:rPr>
        <w:t xml:space="preserve"> (często wynikają ze zjawisk identyfikowanych w całym kraju np. depopulacja, postępująca emigracja zagraniczna, spadek bezrobocia)</w:t>
      </w:r>
      <w:r>
        <w:rPr>
          <w:lang w:eastAsia="pl-PL"/>
        </w:rPr>
        <w:t>. Właściwe uchwycenie</w:t>
      </w:r>
      <w:r w:rsidRPr="004E13CE">
        <w:rPr>
          <w:lang w:eastAsia="pl-PL"/>
        </w:rPr>
        <w:t xml:space="preserve"> efektów </w:t>
      </w:r>
      <w:r>
        <w:rPr>
          <w:lang w:eastAsia="pl-PL"/>
        </w:rPr>
        <w:t xml:space="preserve">terytorializacji możliwe będzie m.in. przy ewaluacjach dotyczących realizacji WRPO 2014+. </w:t>
      </w:r>
    </w:p>
    <w:p w14:paraId="365846D7" w14:textId="55CCE94A" w:rsidR="00421A25" w:rsidRDefault="00421A25" w:rsidP="00421A25">
      <w:pPr>
        <w:rPr>
          <w:lang w:eastAsia="pl-PL"/>
        </w:rPr>
      </w:pPr>
      <w:r>
        <w:rPr>
          <w:lang w:eastAsia="pl-PL"/>
        </w:rPr>
        <w:t xml:space="preserve">Należy także mieć na uwadze, że terytorializacja działań jest ciągle pewnego rodzaju </w:t>
      </w:r>
      <w:r w:rsidRPr="00643610">
        <w:rPr>
          <w:i/>
          <w:lang w:eastAsia="pl-PL"/>
        </w:rPr>
        <w:t>novum</w:t>
      </w:r>
      <w:r>
        <w:rPr>
          <w:lang w:eastAsia="pl-PL"/>
        </w:rPr>
        <w:t xml:space="preserve"> w polityce regionalnej. Jak pokazują wyniki niniejszego badania, we wdrażaniu instrumentów napotykano na problemy (np. samorządy lokalne </w:t>
      </w:r>
      <w:r w:rsidR="6AB0BE58" w:rsidRPr="6AB0BE58">
        <w:rPr>
          <w:lang w:eastAsia="pl-PL"/>
        </w:rPr>
        <w:t xml:space="preserve">odkładały </w:t>
      </w:r>
      <w:r>
        <w:rPr>
          <w:lang w:eastAsia="pl-PL"/>
        </w:rPr>
        <w:t xml:space="preserve">w czasie </w:t>
      </w:r>
      <w:r w:rsidR="6AB0BE58" w:rsidRPr="6AB0BE58">
        <w:rPr>
          <w:lang w:eastAsia="pl-PL"/>
        </w:rPr>
        <w:t>zgłaszanie</w:t>
      </w:r>
      <w:r>
        <w:rPr>
          <w:lang w:eastAsia="pl-PL"/>
        </w:rPr>
        <w:t xml:space="preserve"> wniosków w ramach mandatów terytorialnych, ze względu na fakt, iż tematy te były traktowane jako „zapewnione w mandacie”. W zamian gminy poświęcały energię na startowanie w ogłaszanych ogólnych konkursach WRPO</w:t>
      </w:r>
      <w:r w:rsidR="00643610">
        <w:rPr>
          <w:lang w:eastAsia="pl-PL"/>
        </w:rPr>
        <w:t xml:space="preserve"> 2014</w:t>
      </w:r>
      <w:r>
        <w:rPr>
          <w:lang w:eastAsia="pl-PL"/>
        </w:rPr>
        <w:t>+</w:t>
      </w:r>
      <w:r w:rsidR="00643610">
        <w:rPr>
          <w:lang w:eastAsia="pl-PL"/>
        </w:rPr>
        <w:t xml:space="preserve">, </w:t>
      </w:r>
      <w:r w:rsidR="00643610">
        <w:t>gdzie z uwagi na większą konkurencję nie były pewne wyników konkursu</w:t>
      </w:r>
      <w:r>
        <w:rPr>
          <w:lang w:eastAsia="pl-PL"/>
        </w:rPr>
        <w:t>). Realizacja interwencji przebiegała więc równoleg</w:t>
      </w:r>
      <w:r w:rsidR="003C169B">
        <w:rPr>
          <w:lang w:eastAsia="pl-PL"/>
        </w:rPr>
        <w:t>l</w:t>
      </w:r>
      <w:r>
        <w:rPr>
          <w:lang w:eastAsia="pl-PL"/>
        </w:rPr>
        <w:t>e z nauką nowych mechanizmów wsparcia. Dotyczy to zarówno samorządu regionalnego, jak i projektodawców. Jednocześnie nadchodzące zmiany również wydają się dużym wyzwaniem, bowiem zmiana paradygmatu terytorializacji w KSRR w pewnym stopniu wymaga od samorządów reorientacji dotychczas wypracowanych rozwiązań.</w:t>
      </w:r>
    </w:p>
    <w:p w14:paraId="73A288DC" w14:textId="1F2810F2" w:rsidR="00421A25" w:rsidRPr="00211276" w:rsidRDefault="00421A25" w:rsidP="00421A25">
      <w:pPr>
        <w:rPr>
          <w:lang w:eastAsia="pl-PL"/>
        </w:rPr>
      </w:pPr>
      <w:r>
        <w:rPr>
          <w:lang w:eastAsia="pl-PL"/>
        </w:rPr>
        <w:t xml:space="preserve">Na potrzeby niniejszej ewaluacji przedstawione zostaną najważniejsze zmiany społeczno-gospodarcze uchwycone w wymiarze terytorialnym, które zakładamy, że </w:t>
      </w:r>
      <w:r w:rsidR="00643610">
        <w:rPr>
          <w:lang w:eastAsia="pl-PL"/>
        </w:rPr>
        <w:t>w pewnym</w:t>
      </w:r>
      <w:r>
        <w:rPr>
          <w:lang w:eastAsia="pl-PL"/>
        </w:rPr>
        <w:t xml:space="preserve"> stopniu</w:t>
      </w:r>
      <w:r w:rsidR="00643610">
        <w:rPr>
          <w:lang w:eastAsia="pl-PL"/>
        </w:rPr>
        <w:t xml:space="preserve"> są</w:t>
      </w:r>
      <w:r>
        <w:rPr>
          <w:lang w:eastAsia="pl-PL"/>
        </w:rPr>
        <w:t xml:space="preserve"> wynikiem prowadzonych w ramach SRWW 2020 mechanizmów terytorializacji. Jednocześnie wnioski te mogą być przydatne przy dalszej identyfikacji obszarów problemowych. Poniżej znajduje się zwięzłe podsumowanie przeprowadzonej przez WROT </w:t>
      </w:r>
      <w:r>
        <w:rPr>
          <w:i/>
          <w:lang w:eastAsia="pl-PL"/>
        </w:rPr>
        <w:t>a</w:t>
      </w:r>
      <w:r w:rsidRPr="00FE1E6E">
        <w:rPr>
          <w:i/>
          <w:lang w:eastAsia="pl-PL"/>
        </w:rPr>
        <w:t>nalizy zróżnicowania wewnątrzregionalnego województwa Wielkopolskiego</w:t>
      </w:r>
      <w:r>
        <w:rPr>
          <w:lang w:eastAsia="pl-PL"/>
        </w:rPr>
        <w:t xml:space="preserve"> – badania szczególnie użytecznego, ze względu na zastosowane złożone wskaźniki syntetyczne, obrazujące zmiany w poszczególnych obszarach tematycznych.</w:t>
      </w:r>
      <w:r>
        <w:rPr>
          <w:rStyle w:val="Odwoanieprzypisudolnego"/>
          <w:lang w:eastAsia="pl-PL"/>
        </w:rPr>
        <w:footnoteReference w:id="20"/>
      </w:r>
    </w:p>
    <w:p w14:paraId="3D694932" w14:textId="5B17C9DE" w:rsidR="00421A25" w:rsidRPr="004D5F10" w:rsidRDefault="00421A25" w:rsidP="00421A25">
      <w:pPr>
        <w:pStyle w:val="Legenda"/>
        <w:rPr>
          <w:color w:val="000000" w:themeColor="text1"/>
        </w:rPr>
      </w:pPr>
      <w:bookmarkStart w:id="156" w:name="_Toc5699548"/>
      <w:r w:rsidRPr="004D5F10">
        <w:rPr>
          <w:color w:val="000000" w:themeColor="text1"/>
        </w:rPr>
        <w:t xml:space="preserve">Tabela </w:t>
      </w:r>
      <w:r w:rsidRPr="1FA2818E">
        <w:fldChar w:fldCharType="begin"/>
      </w:r>
      <w:r w:rsidRPr="004D5F10">
        <w:rPr>
          <w:noProof/>
          <w:color w:val="000000" w:themeColor="text1"/>
        </w:rPr>
        <w:instrText xml:space="preserve"> SEQ Tabela \* ARABIC </w:instrText>
      </w:r>
      <w:r w:rsidRPr="1FA2818E">
        <w:rPr>
          <w:noProof/>
          <w:color w:val="000000" w:themeColor="text1"/>
        </w:rPr>
        <w:fldChar w:fldCharType="separate"/>
      </w:r>
      <w:r w:rsidR="007F4FA2">
        <w:rPr>
          <w:noProof/>
          <w:color w:val="000000" w:themeColor="text1"/>
        </w:rPr>
        <w:t>15</w:t>
      </w:r>
      <w:r w:rsidRPr="1FA2818E">
        <w:fldChar w:fldCharType="end"/>
      </w:r>
      <w:r w:rsidRPr="004D5F10">
        <w:rPr>
          <w:color w:val="000000" w:themeColor="text1"/>
        </w:rPr>
        <w:t>. Analiza zmian zróżnicowania wewnątrzregionalnego województwa wielkopolskiego w latach 2014/2016</w:t>
      </w:r>
      <w:bookmarkEnd w:id="156"/>
    </w:p>
    <w:tbl>
      <w:tblPr>
        <w:tblStyle w:val="Tabela-Siatka"/>
        <w:tblW w:w="9068" w:type="dxa"/>
        <w:tblBorders>
          <w:top w:val="single" w:sz="4" w:space="0" w:color="F6BB00"/>
          <w:left w:val="none" w:sz="0" w:space="0" w:color="auto"/>
          <w:bottom w:val="single" w:sz="4" w:space="0" w:color="F6BB00"/>
          <w:right w:val="none" w:sz="0" w:space="0" w:color="auto"/>
          <w:insideH w:val="single" w:sz="4" w:space="0" w:color="F6BB00"/>
          <w:insideV w:val="none" w:sz="0" w:space="0" w:color="auto"/>
        </w:tblBorders>
        <w:tblLayout w:type="fixed"/>
        <w:tblLook w:val="04A0" w:firstRow="1" w:lastRow="0" w:firstColumn="1" w:lastColumn="0" w:noHBand="0" w:noVBand="1"/>
        <w:tblCaption w:val="Tabela 14. Analiza zmian zróżnicowania wewnątrzregionalnego województwa wielkopolskiego w latach 2014/2016"/>
        <w:tblDescription w:val="Podsumowanie przeprowadzonej przez WROT analizy zróżnicowania wewnątrzregionalnego województwa Wielkopolskiego. Zróżnicowanie dla poszczególnych obszarów tematycznych (gospodarka, edukacja, demografia i in.) przedstawione jest na mapach. W sposób syntetyczny zaprezentowano najważniejsze wnioski dotyczące zmian w regionie."/>
      </w:tblPr>
      <w:tblGrid>
        <w:gridCol w:w="1211"/>
        <w:gridCol w:w="4313"/>
        <w:gridCol w:w="3544"/>
      </w:tblGrid>
      <w:tr w:rsidR="00421A25" w:rsidRPr="00A44085" w14:paraId="636FFF03" w14:textId="77777777" w:rsidTr="006F4057">
        <w:trPr>
          <w:trHeight w:val="472"/>
        </w:trPr>
        <w:tc>
          <w:tcPr>
            <w:tcW w:w="1211" w:type="dxa"/>
            <w:vAlign w:val="center"/>
          </w:tcPr>
          <w:p w14:paraId="0B29E4F3" w14:textId="77777777" w:rsidR="00421A25" w:rsidRPr="00A64AD0" w:rsidRDefault="00421A25" w:rsidP="000B3274">
            <w:pPr>
              <w:pStyle w:val="Default"/>
              <w:rPr>
                <w:b/>
                <w:color w:val="000000" w:themeColor="text1"/>
                <w:sz w:val="16"/>
                <w:szCs w:val="18"/>
              </w:rPr>
            </w:pPr>
            <w:r w:rsidRPr="00A64AD0">
              <w:rPr>
                <w:b/>
                <w:color w:val="000000" w:themeColor="text1"/>
                <w:sz w:val="16"/>
                <w:szCs w:val="18"/>
              </w:rPr>
              <w:t>GOSPODARKA</w:t>
            </w:r>
          </w:p>
        </w:tc>
        <w:tc>
          <w:tcPr>
            <w:tcW w:w="4313" w:type="dxa"/>
            <w:vAlign w:val="center"/>
          </w:tcPr>
          <w:p w14:paraId="6140F353" w14:textId="77777777" w:rsidR="00421A25" w:rsidRPr="00994BE4" w:rsidRDefault="00421A25" w:rsidP="000B3274">
            <w:pPr>
              <w:shd w:val="clear" w:color="auto" w:fill="FFC000"/>
              <w:rPr>
                <w:b/>
                <w:sz w:val="18"/>
                <w:szCs w:val="18"/>
                <w:lang w:eastAsia="pl-PL"/>
              </w:rPr>
            </w:pPr>
            <w:r>
              <w:rPr>
                <w:b/>
                <w:sz w:val="18"/>
                <w:szCs w:val="18"/>
                <w:lang w:eastAsia="pl-PL"/>
              </w:rPr>
              <w:t>Widoczne zmiany</w:t>
            </w:r>
            <w:r w:rsidRPr="00994BE4">
              <w:rPr>
                <w:b/>
                <w:sz w:val="18"/>
                <w:szCs w:val="18"/>
                <w:lang w:eastAsia="pl-PL"/>
              </w:rPr>
              <w:t xml:space="preserve"> w zachodniej części regionu</w:t>
            </w:r>
            <w:r>
              <w:rPr>
                <w:b/>
                <w:sz w:val="18"/>
                <w:szCs w:val="18"/>
                <w:lang w:eastAsia="pl-PL"/>
              </w:rPr>
              <w:t xml:space="preserve"> zarówno pozytywne jak i negatywne</w:t>
            </w:r>
            <w:r w:rsidRPr="00994BE4">
              <w:rPr>
                <w:b/>
                <w:sz w:val="18"/>
                <w:szCs w:val="18"/>
                <w:lang w:eastAsia="pl-PL"/>
              </w:rPr>
              <w:t>.</w:t>
            </w:r>
          </w:p>
          <w:p w14:paraId="13C3A813" w14:textId="5D0CDD05" w:rsidR="00421A25" w:rsidRDefault="00421A25" w:rsidP="000B3274">
            <w:pPr>
              <w:rPr>
                <w:sz w:val="18"/>
                <w:szCs w:val="18"/>
                <w:lang w:eastAsia="pl-PL"/>
              </w:rPr>
            </w:pPr>
            <w:r>
              <w:rPr>
                <w:sz w:val="18"/>
                <w:szCs w:val="18"/>
                <w:lang w:eastAsia="pl-PL"/>
              </w:rPr>
              <w:t>Znaczący wzrost poziomu rozwoju gospodarczego powiatu wrzesińskiego i kępińskiego oraz spadek poziomu rozwoju w powiecie kolskim, a także ostrowskim.</w:t>
            </w:r>
          </w:p>
          <w:p w14:paraId="54138A1D" w14:textId="77777777" w:rsidR="00421A25" w:rsidRPr="00A44085" w:rsidRDefault="00421A25" w:rsidP="000B3274">
            <w:pPr>
              <w:rPr>
                <w:sz w:val="18"/>
                <w:szCs w:val="18"/>
                <w:lang w:eastAsia="pl-PL"/>
              </w:rPr>
            </w:pPr>
            <w:r>
              <w:rPr>
                <w:sz w:val="18"/>
                <w:szCs w:val="18"/>
                <w:lang w:eastAsia="pl-PL"/>
              </w:rPr>
              <w:t>W zachodniej części regionu w powiecie wolsztyńskim i szamotulskim widoczny spadek poziomu, a w powiecie rawickim i grodziskim wzrost.</w:t>
            </w:r>
          </w:p>
        </w:tc>
        <w:tc>
          <w:tcPr>
            <w:tcW w:w="3544" w:type="dxa"/>
          </w:tcPr>
          <w:p w14:paraId="0CA650A2" w14:textId="77777777" w:rsidR="00421A25" w:rsidRDefault="00421A25" w:rsidP="000B3274">
            <w:pPr>
              <w:rPr>
                <w:lang w:eastAsia="pl-PL"/>
              </w:rPr>
            </w:pPr>
            <w:r>
              <w:rPr>
                <w:noProof/>
                <w:lang w:eastAsia="pl-PL"/>
              </w:rPr>
              <w:drawing>
                <wp:inline distT="0" distB="0" distL="0" distR="0" wp14:anchorId="520B3BA2" wp14:editId="13FB9A7C">
                  <wp:extent cx="2378392" cy="1866900"/>
                  <wp:effectExtent l="0" t="0" r="317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9721" t="30640" r="29911" b="13007"/>
                          <a:stretch/>
                        </pic:blipFill>
                        <pic:spPr bwMode="auto">
                          <a:xfrm>
                            <a:off x="0" y="0"/>
                            <a:ext cx="2390626" cy="1876503"/>
                          </a:xfrm>
                          <a:prstGeom prst="rect">
                            <a:avLst/>
                          </a:prstGeom>
                          <a:ln>
                            <a:noFill/>
                          </a:ln>
                          <a:extLst>
                            <a:ext uri="{53640926-AAD7-44D8-BBD7-CCE9431645EC}">
                              <a14:shadowObscured xmlns:a14="http://schemas.microsoft.com/office/drawing/2010/main"/>
                            </a:ext>
                          </a:extLst>
                        </pic:spPr>
                      </pic:pic>
                    </a:graphicData>
                  </a:graphic>
                </wp:inline>
              </w:drawing>
            </w:r>
          </w:p>
        </w:tc>
      </w:tr>
      <w:tr w:rsidR="00421A25" w:rsidRPr="00A44085" w14:paraId="705E431C" w14:textId="77777777" w:rsidTr="006F4057">
        <w:trPr>
          <w:trHeight w:val="837"/>
        </w:trPr>
        <w:tc>
          <w:tcPr>
            <w:tcW w:w="1211" w:type="dxa"/>
            <w:vAlign w:val="center"/>
          </w:tcPr>
          <w:p w14:paraId="5A96FDB7" w14:textId="77777777" w:rsidR="00421A25" w:rsidRPr="00A64AD0" w:rsidRDefault="00421A25" w:rsidP="000B3274">
            <w:pPr>
              <w:pStyle w:val="Default"/>
              <w:rPr>
                <w:b/>
                <w:color w:val="000000" w:themeColor="text1"/>
                <w:sz w:val="16"/>
                <w:szCs w:val="18"/>
              </w:rPr>
            </w:pPr>
            <w:r w:rsidRPr="00A64AD0">
              <w:rPr>
                <w:b/>
                <w:color w:val="000000" w:themeColor="text1"/>
                <w:sz w:val="16"/>
                <w:szCs w:val="18"/>
              </w:rPr>
              <w:lastRenderedPageBreak/>
              <w:t>DEMOGRAFIA</w:t>
            </w:r>
          </w:p>
        </w:tc>
        <w:tc>
          <w:tcPr>
            <w:tcW w:w="4313" w:type="dxa"/>
            <w:vAlign w:val="center"/>
          </w:tcPr>
          <w:p w14:paraId="6D903756" w14:textId="77777777" w:rsidR="00421A25" w:rsidRPr="00D22B34" w:rsidRDefault="00421A25" w:rsidP="000B3274">
            <w:pPr>
              <w:shd w:val="clear" w:color="auto" w:fill="FFC000"/>
              <w:rPr>
                <w:b/>
                <w:sz w:val="18"/>
                <w:szCs w:val="18"/>
                <w:lang w:eastAsia="pl-PL"/>
              </w:rPr>
            </w:pPr>
            <w:r w:rsidRPr="00D22B34">
              <w:rPr>
                <w:b/>
                <w:sz w:val="18"/>
                <w:szCs w:val="18"/>
                <w:lang w:eastAsia="pl-PL"/>
              </w:rPr>
              <w:t>W obszarze zaobserwowano niewielkie zmiany</w:t>
            </w:r>
          </w:p>
          <w:p w14:paraId="50A7C09F" w14:textId="77777777" w:rsidR="00421A25" w:rsidRDefault="00421A25" w:rsidP="000B3274">
            <w:pPr>
              <w:rPr>
                <w:sz w:val="18"/>
                <w:szCs w:val="18"/>
                <w:lang w:eastAsia="pl-PL"/>
              </w:rPr>
            </w:pPr>
            <w:r>
              <w:rPr>
                <w:sz w:val="18"/>
                <w:szCs w:val="18"/>
                <w:lang w:eastAsia="pl-PL"/>
              </w:rPr>
              <w:t>Poprawa sytuacji w Kaliszu, powiecie pilskim i jarocińskim.</w:t>
            </w:r>
          </w:p>
          <w:p w14:paraId="4E9580A2" w14:textId="77777777" w:rsidR="00421A25" w:rsidRDefault="00421A25" w:rsidP="000B3274">
            <w:pPr>
              <w:rPr>
                <w:sz w:val="18"/>
                <w:szCs w:val="18"/>
                <w:lang w:eastAsia="pl-PL"/>
              </w:rPr>
            </w:pPr>
            <w:r>
              <w:rPr>
                <w:sz w:val="18"/>
                <w:szCs w:val="18"/>
                <w:lang w:eastAsia="pl-PL"/>
              </w:rPr>
              <w:t>Zmiana in minus w powiecie międzychodzkim.</w:t>
            </w:r>
          </w:p>
          <w:p w14:paraId="58749DC4" w14:textId="77777777" w:rsidR="00421A25" w:rsidRPr="00A44085" w:rsidRDefault="00421A25" w:rsidP="000B3274">
            <w:pPr>
              <w:rPr>
                <w:sz w:val="18"/>
                <w:szCs w:val="18"/>
                <w:lang w:eastAsia="pl-PL"/>
              </w:rPr>
            </w:pPr>
            <w:r>
              <w:rPr>
                <w:sz w:val="18"/>
                <w:szCs w:val="18"/>
                <w:lang w:eastAsia="pl-PL"/>
              </w:rPr>
              <w:t>Ciągle słaba sytuacja w powiatach kolskim, czarnkowsko-trzcianeckim i chodzieskim.</w:t>
            </w:r>
          </w:p>
        </w:tc>
        <w:tc>
          <w:tcPr>
            <w:tcW w:w="3544" w:type="dxa"/>
          </w:tcPr>
          <w:p w14:paraId="0CD55D05" w14:textId="77777777" w:rsidR="00421A25" w:rsidRDefault="00421A25" w:rsidP="000B3274">
            <w:pPr>
              <w:rPr>
                <w:lang w:eastAsia="pl-PL"/>
              </w:rPr>
            </w:pPr>
            <w:r>
              <w:rPr>
                <w:noProof/>
                <w:lang w:eastAsia="pl-PL"/>
              </w:rPr>
              <w:drawing>
                <wp:inline distT="0" distB="0" distL="0" distR="0" wp14:anchorId="3662385A" wp14:editId="71189C19">
                  <wp:extent cx="2265653" cy="1858617"/>
                  <wp:effectExtent l="0" t="0" r="1905" b="8890"/>
                  <wp:docPr id="1410683457" name="Obraz 141068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1232" t="23934" r="29434" b="18680"/>
                          <a:stretch/>
                        </pic:blipFill>
                        <pic:spPr bwMode="auto">
                          <a:xfrm>
                            <a:off x="0" y="0"/>
                            <a:ext cx="2265914" cy="1858831"/>
                          </a:xfrm>
                          <a:prstGeom prst="rect">
                            <a:avLst/>
                          </a:prstGeom>
                          <a:ln>
                            <a:noFill/>
                          </a:ln>
                          <a:extLst>
                            <a:ext uri="{53640926-AAD7-44D8-BBD7-CCE9431645EC}">
                              <a14:shadowObscured xmlns:a14="http://schemas.microsoft.com/office/drawing/2010/main"/>
                            </a:ext>
                          </a:extLst>
                        </pic:spPr>
                      </pic:pic>
                    </a:graphicData>
                  </a:graphic>
                </wp:inline>
              </w:drawing>
            </w:r>
          </w:p>
        </w:tc>
      </w:tr>
      <w:tr w:rsidR="00421A25" w:rsidRPr="00A44085" w14:paraId="17485133" w14:textId="77777777" w:rsidTr="006F4057">
        <w:trPr>
          <w:trHeight w:val="472"/>
        </w:trPr>
        <w:tc>
          <w:tcPr>
            <w:tcW w:w="1211" w:type="dxa"/>
            <w:vAlign w:val="center"/>
          </w:tcPr>
          <w:p w14:paraId="6B416F26" w14:textId="77777777" w:rsidR="00421A25" w:rsidRPr="00A64AD0" w:rsidRDefault="00421A25" w:rsidP="000B3274">
            <w:pPr>
              <w:pStyle w:val="Default"/>
              <w:rPr>
                <w:b/>
                <w:color w:val="000000" w:themeColor="text1"/>
                <w:sz w:val="16"/>
                <w:szCs w:val="18"/>
              </w:rPr>
            </w:pPr>
            <w:r w:rsidRPr="00A64AD0">
              <w:rPr>
                <w:b/>
                <w:color w:val="000000" w:themeColor="text1"/>
                <w:sz w:val="16"/>
                <w:szCs w:val="18"/>
              </w:rPr>
              <w:t>RYNEK PRACY</w:t>
            </w:r>
          </w:p>
        </w:tc>
        <w:tc>
          <w:tcPr>
            <w:tcW w:w="4313" w:type="dxa"/>
            <w:vAlign w:val="center"/>
          </w:tcPr>
          <w:p w14:paraId="4851E6E3" w14:textId="77777777" w:rsidR="00421A25" w:rsidRPr="00994BE4" w:rsidRDefault="00421A25" w:rsidP="000B3274">
            <w:pPr>
              <w:shd w:val="clear" w:color="auto" w:fill="FFC000"/>
              <w:rPr>
                <w:b/>
                <w:sz w:val="18"/>
                <w:szCs w:val="18"/>
                <w:lang w:eastAsia="pl-PL"/>
              </w:rPr>
            </w:pPr>
            <w:r w:rsidRPr="00994BE4">
              <w:rPr>
                <w:b/>
                <w:sz w:val="18"/>
                <w:szCs w:val="18"/>
                <w:lang w:eastAsia="pl-PL"/>
              </w:rPr>
              <w:t xml:space="preserve">Stopień zróżnicowania wewnątrzregionalnego jest niższy. </w:t>
            </w:r>
            <w:r>
              <w:rPr>
                <w:b/>
                <w:sz w:val="18"/>
                <w:szCs w:val="18"/>
                <w:lang w:eastAsia="pl-PL"/>
              </w:rPr>
              <w:t>P</w:t>
            </w:r>
            <w:r w:rsidRPr="00994BE4">
              <w:rPr>
                <w:b/>
                <w:sz w:val="18"/>
                <w:szCs w:val="18"/>
                <w:lang w:eastAsia="pl-PL"/>
              </w:rPr>
              <w:t>o</w:t>
            </w:r>
            <w:r>
              <w:rPr>
                <w:b/>
                <w:sz w:val="18"/>
                <w:szCs w:val="18"/>
                <w:lang w:eastAsia="pl-PL"/>
              </w:rPr>
              <w:t>prawa sytuacji na wschodzie, częściowo spadek poziomu na zachodzie</w:t>
            </w:r>
          </w:p>
          <w:p w14:paraId="09136377" w14:textId="77777777" w:rsidR="00421A25" w:rsidRDefault="00421A25" w:rsidP="000B3274">
            <w:pPr>
              <w:rPr>
                <w:sz w:val="18"/>
                <w:szCs w:val="18"/>
                <w:lang w:eastAsia="pl-PL"/>
              </w:rPr>
            </w:pPr>
            <w:r>
              <w:rPr>
                <w:sz w:val="18"/>
                <w:szCs w:val="18"/>
                <w:lang w:eastAsia="pl-PL"/>
              </w:rPr>
              <w:t xml:space="preserve">Powiat szamotulski i Leszno spadły do grupy wysokiego poziomu rozwoju w obszarze rynku pracy (z poziomu bardzo wysokiego). </w:t>
            </w:r>
          </w:p>
          <w:p w14:paraId="47DB8D45" w14:textId="77777777" w:rsidR="00421A25" w:rsidRPr="00A44085" w:rsidRDefault="00421A25" w:rsidP="000B3274">
            <w:pPr>
              <w:rPr>
                <w:sz w:val="18"/>
                <w:szCs w:val="18"/>
                <w:lang w:eastAsia="pl-PL"/>
              </w:rPr>
            </w:pPr>
            <w:r>
              <w:rPr>
                <w:sz w:val="18"/>
                <w:szCs w:val="18"/>
                <w:lang w:eastAsia="pl-PL"/>
              </w:rPr>
              <w:t>Pozytywne zmiany widoczne są w powiatach gnieźnieńskim i jarocińskim.</w:t>
            </w:r>
          </w:p>
        </w:tc>
        <w:tc>
          <w:tcPr>
            <w:tcW w:w="3544" w:type="dxa"/>
          </w:tcPr>
          <w:p w14:paraId="4CC75D04" w14:textId="77777777" w:rsidR="00421A25" w:rsidRDefault="00421A25" w:rsidP="000B3274">
            <w:pPr>
              <w:rPr>
                <w:lang w:eastAsia="pl-PL"/>
              </w:rPr>
            </w:pPr>
            <w:r>
              <w:rPr>
                <w:noProof/>
                <w:lang w:eastAsia="pl-PL"/>
              </w:rPr>
              <w:drawing>
                <wp:inline distT="0" distB="0" distL="0" distR="0" wp14:anchorId="58296F41" wp14:editId="489DFA56">
                  <wp:extent cx="2304637" cy="1828800"/>
                  <wp:effectExtent l="0" t="0" r="635" b="0"/>
                  <wp:docPr id="1410683459" name="Obraz 141068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28652" t="19332" r="31325" b="24184"/>
                          <a:stretch/>
                        </pic:blipFill>
                        <pic:spPr bwMode="auto">
                          <a:xfrm>
                            <a:off x="0" y="0"/>
                            <a:ext cx="2305591" cy="1829557"/>
                          </a:xfrm>
                          <a:prstGeom prst="rect">
                            <a:avLst/>
                          </a:prstGeom>
                          <a:ln>
                            <a:noFill/>
                          </a:ln>
                          <a:extLst>
                            <a:ext uri="{53640926-AAD7-44D8-BBD7-CCE9431645EC}">
                              <a14:shadowObscured xmlns:a14="http://schemas.microsoft.com/office/drawing/2010/main"/>
                            </a:ext>
                          </a:extLst>
                        </pic:spPr>
                      </pic:pic>
                    </a:graphicData>
                  </a:graphic>
                </wp:inline>
              </w:drawing>
            </w:r>
          </w:p>
        </w:tc>
      </w:tr>
      <w:tr w:rsidR="00421A25" w:rsidRPr="00A44085" w14:paraId="5D7246A9" w14:textId="77777777" w:rsidTr="006F4057">
        <w:trPr>
          <w:trHeight w:val="436"/>
        </w:trPr>
        <w:tc>
          <w:tcPr>
            <w:tcW w:w="1211" w:type="dxa"/>
            <w:vAlign w:val="center"/>
          </w:tcPr>
          <w:p w14:paraId="4C5FD6D6" w14:textId="77777777" w:rsidR="00421A25" w:rsidRPr="00A64AD0" w:rsidRDefault="00421A25" w:rsidP="000B3274">
            <w:pPr>
              <w:pStyle w:val="Default"/>
              <w:rPr>
                <w:b/>
                <w:color w:val="000000" w:themeColor="text1"/>
                <w:sz w:val="16"/>
                <w:szCs w:val="18"/>
              </w:rPr>
            </w:pPr>
            <w:r w:rsidRPr="00A64AD0">
              <w:rPr>
                <w:b/>
                <w:color w:val="000000" w:themeColor="text1"/>
                <w:sz w:val="16"/>
                <w:szCs w:val="18"/>
              </w:rPr>
              <w:t>EDUKACJA</w:t>
            </w:r>
          </w:p>
        </w:tc>
        <w:tc>
          <w:tcPr>
            <w:tcW w:w="4313" w:type="dxa"/>
            <w:vAlign w:val="center"/>
          </w:tcPr>
          <w:p w14:paraId="13C1AA42" w14:textId="77777777" w:rsidR="00421A25" w:rsidRPr="00994BE4" w:rsidRDefault="00421A25" w:rsidP="000B3274">
            <w:pPr>
              <w:shd w:val="clear" w:color="auto" w:fill="FFC000"/>
              <w:rPr>
                <w:b/>
                <w:sz w:val="18"/>
                <w:szCs w:val="18"/>
                <w:lang w:eastAsia="pl-PL"/>
              </w:rPr>
            </w:pPr>
            <w:r w:rsidRPr="00994BE4">
              <w:rPr>
                <w:b/>
                <w:sz w:val="18"/>
                <w:szCs w:val="18"/>
                <w:lang w:eastAsia="pl-PL"/>
              </w:rPr>
              <w:t xml:space="preserve">Duże zmiany w ostatnich latach. Pozytywne trendy widoczne na </w:t>
            </w:r>
            <w:r>
              <w:rPr>
                <w:b/>
                <w:sz w:val="18"/>
                <w:szCs w:val="18"/>
                <w:lang w:eastAsia="pl-PL"/>
              </w:rPr>
              <w:t xml:space="preserve">południowym </w:t>
            </w:r>
            <w:r w:rsidRPr="00994BE4">
              <w:rPr>
                <w:b/>
                <w:sz w:val="18"/>
                <w:szCs w:val="18"/>
                <w:lang w:eastAsia="pl-PL"/>
              </w:rPr>
              <w:t>wschodzie.</w:t>
            </w:r>
          </w:p>
          <w:p w14:paraId="07AD69A4" w14:textId="77777777" w:rsidR="00421A25" w:rsidRDefault="00421A25" w:rsidP="000B3274">
            <w:pPr>
              <w:rPr>
                <w:sz w:val="18"/>
                <w:szCs w:val="18"/>
                <w:lang w:eastAsia="pl-PL"/>
              </w:rPr>
            </w:pPr>
            <w:r>
              <w:rPr>
                <w:sz w:val="18"/>
                <w:szCs w:val="18"/>
                <w:lang w:eastAsia="pl-PL"/>
              </w:rPr>
              <w:t>Zmiany in plus odnotowano w Kaliszu oraz powiatach: tureckim, słupeckim, wrzesińskim, pleszewskim, szamotulskim.</w:t>
            </w:r>
          </w:p>
          <w:p w14:paraId="22BA6CE1" w14:textId="77777777" w:rsidR="00421A25" w:rsidRPr="00A44085" w:rsidRDefault="00421A25" w:rsidP="000B3274">
            <w:pPr>
              <w:rPr>
                <w:sz w:val="18"/>
                <w:szCs w:val="18"/>
                <w:lang w:eastAsia="pl-PL"/>
              </w:rPr>
            </w:pPr>
            <w:r>
              <w:rPr>
                <w:sz w:val="18"/>
              </w:rPr>
              <w:t>Negatywne tendencje odnotowano w powiecie czarnkowsko-trzcianeckim, gostyńskim, ostrzeszowskim</w:t>
            </w:r>
            <w:r w:rsidRPr="0032763E">
              <w:rPr>
                <w:sz w:val="18"/>
              </w:rPr>
              <w:t>, złotowski</w:t>
            </w:r>
            <w:r>
              <w:rPr>
                <w:sz w:val="18"/>
              </w:rPr>
              <w:t>m i</w:t>
            </w:r>
            <w:r w:rsidRPr="0032763E">
              <w:rPr>
                <w:sz w:val="18"/>
              </w:rPr>
              <w:t xml:space="preserve"> kolski</w:t>
            </w:r>
            <w:r>
              <w:rPr>
                <w:sz w:val="18"/>
              </w:rPr>
              <w:t>m.</w:t>
            </w:r>
          </w:p>
        </w:tc>
        <w:tc>
          <w:tcPr>
            <w:tcW w:w="3544" w:type="dxa"/>
          </w:tcPr>
          <w:p w14:paraId="64EFC555" w14:textId="77777777" w:rsidR="00421A25" w:rsidRDefault="00421A25" w:rsidP="000B3274">
            <w:pPr>
              <w:rPr>
                <w:lang w:eastAsia="pl-PL"/>
              </w:rPr>
            </w:pPr>
            <w:r>
              <w:rPr>
                <w:noProof/>
                <w:lang w:eastAsia="pl-PL"/>
              </w:rPr>
              <w:drawing>
                <wp:inline distT="0" distB="0" distL="0" distR="0" wp14:anchorId="6F999A65" wp14:editId="72C4F6C5">
                  <wp:extent cx="2284730" cy="1838112"/>
                  <wp:effectExtent l="0" t="0" r="1270" b="0"/>
                  <wp:docPr id="1410683461" name="Obraz 141068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27783" t="24557" r="32540" b="18671"/>
                          <a:stretch/>
                        </pic:blipFill>
                        <pic:spPr bwMode="auto">
                          <a:xfrm>
                            <a:off x="0" y="0"/>
                            <a:ext cx="2285701" cy="1838893"/>
                          </a:xfrm>
                          <a:prstGeom prst="rect">
                            <a:avLst/>
                          </a:prstGeom>
                          <a:ln>
                            <a:noFill/>
                          </a:ln>
                          <a:extLst>
                            <a:ext uri="{53640926-AAD7-44D8-BBD7-CCE9431645EC}">
                              <a14:shadowObscured xmlns:a14="http://schemas.microsoft.com/office/drawing/2010/main"/>
                            </a:ext>
                          </a:extLst>
                        </pic:spPr>
                      </pic:pic>
                    </a:graphicData>
                  </a:graphic>
                </wp:inline>
              </w:drawing>
            </w:r>
          </w:p>
        </w:tc>
      </w:tr>
      <w:tr w:rsidR="00421A25" w:rsidRPr="00A44085" w14:paraId="5F506901" w14:textId="77777777" w:rsidTr="006F4057">
        <w:trPr>
          <w:trHeight w:val="436"/>
        </w:trPr>
        <w:tc>
          <w:tcPr>
            <w:tcW w:w="1211" w:type="dxa"/>
            <w:vAlign w:val="center"/>
          </w:tcPr>
          <w:p w14:paraId="040DBA1C" w14:textId="77777777" w:rsidR="00421A25" w:rsidRPr="00A64AD0" w:rsidRDefault="00421A25" w:rsidP="000B3274">
            <w:pPr>
              <w:pStyle w:val="Default"/>
              <w:rPr>
                <w:b/>
                <w:color w:val="000000" w:themeColor="text1"/>
                <w:sz w:val="16"/>
                <w:szCs w:val="18"/>
              </w:rPr>
            </w:pPr>
            <w:r w:rsidRPr="00A64AD0">
              <w:rPr>
                <w:b/>
                <w:color w:val="000000" w:themeColor="text1"/>
                <w:sz w:val="16"/>
                <w:szCs w:val="18"/>
              </w:rPr>
              <w:t>JAKOŚĆ ŻYCIA</w:t>
            </w:r>
          </w:p>
        </w:tc>
        <w:tc>
          <w:tcPr>
            <w:tcW w:w="4313" w:type="dxa"/>
            <w:vAlign w:val="center"/>
          </w:tcPr>
          <w:p w14:paraId="1DA96930" w14:textId="77777777" w:rsidR="00421A25" w:rsidRPr="00994BE4" w:rsidRDefault="00421A25" w:rsidP="000B3274">
            <w:pPr>
              <w:shd w:val="clear" w:color="auto" w:fill="FFC000"/>
              <w:rPr>
                <w:b/>
                <w:sz w:val="18"/>
                <w:szCs w:val="18"/>
                <w:lang w:eastAsia="pl-PL"/>
              </w:rPr>
            </w:pPr>
            <w:r>
              <w:rPr>
                <w:b/>
                <w:sz w:val="18"/>
                <w:szCs w:val="18"/>
                <w:lang w:eastAsia="pl-PL"/>
              </w:rPr>
              <w:t>Na wschodzie pogłębiające się negatywne zjawiska</w:t>
            </w:r>
            <w:r w:rsidRPr="00994BE4">
              <w:rPr>
                <w:b/>
                <w:sz w:val="18"/>
                <w:szCs w:val="18"/>
                <w:lang w:eastAsia="pl-PL"/>
              </w:rPr>
              <w:t>. Na zachodzie pozytywne zmiany</w:t>
            </w:r>
          </w:p>
          <w:p w14:paraId="073525F1" w14:textId="77777777" w:rsidR="00421A25" w:rsidRDefault="00421A25" w:rsidP="000B3274">
            <w:pPr>
              <w:rPr>
                <w:sz w:val="18"/>
                <w:szCs w:val="18"/>
                <w:lang w:eastAsia="pl-PL"/>
              </w:rPr>
            </w:pPr>
            <w:r>
              <w:rPr>
                <w:sz w:val="18"/>
                <w:szCs w:val="18"/>
                <w:lang w:eastAsia="pl-PL"/>
              </w:rPr>
              <w:t>Pozytywne zmiany widoczne w powiecie ostrzeszowskim, wolsztyńskim, kościańskim, średzkim i kaliskim</w:t>
            </w:r>
          </w:p>
          <w:p w14:paraId="1CFD3750" w14:textId="6677056B" w:rsidR="00421A25" w:rsidRPr="00A44085" w:rsidRDefault="00421A25" w:rsidP="000B3274">
            <w:pPr>
              <w:rPr>
                <w:sz w:val="18"/>
                <w:szCs w:val="18"/>
                <w:lang w:eastAsia="pl-PL"/>
              </w:rPr>
            </w:pPr>
            <w:r>
              <w:rPr>
                <w:sz w:val="18"/>
                <w:szCs w:val="18"/>
                <w:lang w:eastAsia="pl-PL"/>
              </w:rPr>
              <w:t>Zmiany in minus widoczne w powiatach: kępińskim i gostyńskim (spadek do grupy wysokiego poziomu rozwoju</w:t>
            </w:r>
            <w:r w:rsidR="6AB0BE58" w:rsidRPr="6AB0BE58">
              <w:rPr>
                <w:sz w:val="18"/>
                <w:szCs w:val="18"/>
                <w:lang w:eastAsia="pl-PL"/>
              </w:rPr>
              <w:t>),</w:t>
            </w:r>
            <w:r>
              <w:rPr>
                <w:sz w:val="18"/>
                <w:szCs w:val="18"/>
                <w:lang w:eastAsia="pl-PL"/>
              </w:rPr>
              <w:t xml:space="preserve"> w Koninie (spadek do grupy przeciętnego poziomu) oraz powiecie kolskim (spadek do najniższej grupy).</w:t>
            </w:r>
          </w:p>
        </w:tc>
        <w:tc>
          <w:tcPr>
            <w:tcW w:w="3544" w:type="dxa"/>
          </w:tcPr>
          <w:p w14:paraId="393FCAB6" w14:textId="77777777" w:rsidR="00421A25" w:rsidRDefault="00421A25" w:rsidP="000B3274">
            <w:pPr>
              <w:rPr>
                <w:lang w:eastAsia="pl-PL"/>
              </w:rPr>
            </w:pPr>
            <w:r>
              <w:rPr>
                <w:noProof/>
                <w:lang w:eastAsia="pl-PL"/>
              </w:rPr>
              <w:drawing>
                <wp:inline distT="0" distB="0" distL="0" distR="0" wp14:anchorId="093BDAEE" wp14:editId="584A9D93">
                  <wp:extent cx="2295939" cy="1828607"/>
                  <wp:effectExtent l="0" t="0" r="0" b="635"/>
                  <wp:docPr id="1410683462" name="Obraz 141068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30368" t="15649" r="29771" b="27888"/>
                          <a:stretch/>
                        </pic:blipFill>
                        <pic:spPr bwMode="auto">
                          <a:xfrm>
                            <a:off x="0" y="0"/>
                            <a:ext cx="2296319" cy="1828910"/>
                          </a:xfrm>
                          <a:prstGeom prst="rect">
                            <a:avLst/>
                          </a:prstGeom>
                          <a:ln>
                            <a:noFill/>
                          </a:ln>
                          <a:extLst>
                            <a:ext uri="{53640926-AAD7-44D8-BBD7-CCE9431645EC}">
                              <a14:shadowObscured xmlns:a14="http://schemas.microsoft.com/office/drawing/2010/main"/>
                            </a:ext>
                          </a:extLst>
                        </pic:spPr>
                      </pic:pic>
                    </a:graphicData>
                  </a:graphic>
                </wp:inline>
              </w:drawing>
            </w:r>
          </w:p>
        </w:tc>
      </w:tr>
      <w:tr w:rsidR="00421A25" w:rsidRPr="00A44085" w14:paraId="0A91D5BE" w14:textId="77777777" w:rsidTr="006F4057">
        <w:trPr>
          <w:trHeight w:val="436"/>
        </w:trPr>
        <w:tc>
          <w:tcPr>
            <w:tcW w:w="1211" w:type="dxa"/>
            <w:vAlign w:val="center"/>
          </w:tcPr>
          <w:p w14:paraId="2AD930BE" w14:textId="77777777" w:rsidR="00421A25" w:rsidRPr="00A64AD0" w:rsidRDefault="00421A25" w:rsidP="000B3274">
            <w:pPr>
              <w:pStyle w:val="Default"/>
              <w:rPr>
                <w:b/>
                <w:color w:val="000000" w:themeColor="text1"/>
                <w:sz w:val="16"/>
                <w:szCs w:val="18"/>
              </w:rPr>
            </w:pPr>
            <w:r w:rsidRPr="00A64AD0">
              <w:rPr>
                <w:b/>
                <w:color w:val="000000" w:themeColor="text1"/>
                <w:sz w:val="16"/>
                <w:szCs w:val="18"/>
              </w:rPr>
              <w:lastRenderedPageBreak/>
              <w:t>JAKOŚĆ PRZESTRZENI</w:t>
            </w:r>
          </w:p>
        </w:tc>
        <w:tc>
          <w:tcPr>
            <w:tcW w:w="4313" w:type="dxa"/>
            <w:vAlign w:val="center"/>
          </w:tcPr>
          <w:p w14:paraId="692FB9A5" w14:textId="77777777" w:rsidR="00421A25" w:rsidRDefault="00421A25" w:rsidP="000B3274">
            <w:pPr>
              <w:shd w:val="clear" w:color="auto" w:fill="FFC000"/>
              <w:rPr>
                <w:sz w:val="18"/>
                <w:szCs w:val="18"/>
                <w:lang w:eastAsia="pl-PL"/>
              </w:rPr>
            </w:pPr>
            <w:r w:rsidRPr="00994BE4">
              <w:rPr>
                <w:b/>
                <w:sz w:val="18"/>
                <w:szCs w:val="18"/>
                <w:lang w:eastAsia="pl-PL"/>
              </w:rPr>
              <w:t>Znaczna poprawa w północnej części regionu. Negatywne trendy na wschodzie województwa</w:t>
            </w:r>
            <w:r>
              <w:rPr>
                <w:sz w:val="18"/>
                <w:szCs w:val="18"/>
                <w:lang w:eastAsia="pl-PL"/>
              </w:rPr>
              <w:t>.</w:t>
            </w:r>
          </w:p>
          <w:p w14:paraId="66F1D9DD" w14:textId="77777777" w:rsidR="00421A25" w:rsidRDefault="00421A25" w:rsidP="000B3274">
            <w:pPr>
              <w:rPr>
                <w:sz w:val="18"/>
                <w:szCs w:val="18"/>
                <w:lang w:eastAsia="pl-PL"/>
              </w:rPr>
            </w:pPr>
            <w:r>
              <w:rPr>
                <w:sz w:val="18"/>
                <w:szCs w:val="18"/>
                <w:lang w:eastAsia="pl-PL"/>
              </w:rPr>
              <w:t>Korzystne zmiany w powiecie międzychodzkim wolsztyńskim, złotowskim, chodzieskim, czarnkowsko-trzcianeckim, nowotomyskim</w:t>
            </w:r>
          </w:p>
          <w:p w14:paraId="673FD4D7" w14:textId="236C31EE" w:rsidR="00421A25" w:rsidRPr="00A44085" w:rsidRDefault="00421A25" w:rsidP="000B3274">
            <w:pPr>
              <w:rPr>
                <w:sz w:val="18"/>
                <w:szCs w:val="18"/>
                <w:lang w:eastAsia="pl-PL"/>
              </w:rPr>
            </w:pPr>
            <w:r>
              <w:rPr>
                <w:sz w:val="18"/>
                <w:szCs w:val="18"/>
                <w:lang w:eastAsia="pl-PL"/>
              </w:rPr>
              <w:t>Spadek poziomu odnotowano w powiecie wrzesińskim</w:t>
            </w:r>
            <w:r w:rsidR="6AB0BE58" w:rsidRPr="6AB0BE58">
              <w:rPr>
                <w:sz w:val="18"/>
                <w:szCs w:val="18"/>
                <w:lang w:eastAsia="pl-PL"/>
              </w:rPr>
              <w:t>,</w:t>
            </w:r>
            <w:r>
              <w:rPr>
                <w:sz w:val="18"/>
                <w:szCs w:val="18"/>
                <w:lang w:eastAsia="pl-PL"/>
              </w:rPr>
              <w:t xml:space="preserve"> tureckim</w:t>
            </w:r>
            <w:r w:rsidR="6AB0BE58" w:rsidRPr="6AB0BE58">
              <w:rPr>
                <w:sz w:val="18"/>
                <w:szCs w:val="18"/>
                <w:lang w:eastAsia="pl-PL"/>
              </w:rPr>
              <w:t>,</w:t>
            </w:r>
            <w:r>
              <w:rPr>
                <w:sz w:val="18"/>
                <w:szCs w:val="18"/>
                <w:lang w:eastAsia="pl-PL"/>
              </w:rPr>
              <w:t xml:space="preserve"> słupeckim</w:t>
            </w:r>
            <w:r w:rsidR="6AB0BE58" w:rsidRPr="6AB0BE58">
              <w:rPr>
                <w:sz w:val="18"/>
                <w:szCs w:val="18"/>
                <w:lang w:eastAsia="pl-PL"/>
              </w:rPr>
              <w:t>,</w:t>
            </w:r>
            <w:r>
              <w:rPr>
                <w:sz w:val="18"/>
                <w:szCs w:val="18"/>
                <w:lang w:eastAsia="pl-PL"/>
              </w:rPr>
              <w:t xml:space="preserve"> pleszewskim</w:t>
            </w:r>
            <w:r w:rsidR="6AB0BE58" w:rsidRPr="6AB0BE58">
              <w:rPr>
                <w:sz w:val="18"/>
                <w:szCs w:val="18"/>
                <w:lang w:eastAsia="pl-PL"/>
              </w:rPr>
              <w:t>,</w:t>
            </w:r>
            <w:r>
              <w:rPr>
                <w:sz w:val="18"/>
                <w:szCs w:val="18"/>
                <w:lang w:eastAsia="pl-PL"/>
              </w:rPr>
              <w:t xml:space="preserve"> rawickim</w:t>
            </w:r>
            <w:r w:rsidR="6AB0BE58" w:rsidRPr="6AB0BE58">
              <w:rPr>
                <w:sz w:val="18"/>
                <w:szCs w:val="18"/>
                <w:lang w:eastAsia="pl-PL"/>
              </w:rPr>
              <w:t>,</w:t>
            </w:r>
            <w:r>
              <w:rPr>
                <w:sz w:val="18"/>
                <w:szCs w:val="18"/>
                <w:lang w:eastAsia="pl-PL"/>
              </w:rPr>
              <w:t xml:space="preserve"> kościańskim</w:t>
            </w:r>
            <w:r w:rsidR="6AB0BE58" w:rsidRPr="6AB0BE58">
              <w:rPr>
                <w:sz w:val="18"/>
                <w:szCs w:val="18"/>
                <w:lang w:eastAsia="pl-PL"/>
              </w:rPr>
              <w:t>.</w:t>
            </w:r>
          </w:p>
        </w:tc>
        <w:tc>
          <w:tcPr>
            <w:tcW w:w="3544" w:type="dxa"/>
          </w:tcPr>
          <w:p w14:paraId="16D528FB" w14:textId="77777777" w:rsidR="00421A25" w:rsidRPr="00A44085" w:rsidRDefault="00421A25" w:rsidP="000B3274">
            <w:pPr>
              <w:rPr>
                <w:sz w:val="18"/>
                <w:szCs w:val="18"/>
                <w:lang w:eastAsia="pl-PL"/>
              </w:rPr>
            </w:pPr>
            <w:r>
              <w:rPr>
                <w:noProof/>
                <w:lang w:eastAsia="pl-PL"/>
              </w:rPr>
              <w:drawing>
                <wp:inline distT="0" distB="0" distL="0" distR="0" wp14:anchorId="418BE452" wp14:editId="2EC3086A">
                  <wp:extent cx="2225814" cy="1828800"/>
                  <wp:effectExtent l="0" t="0" r="3175" b="0"/>
                  <wp:docPr id="1410683463" name="Obraz 141068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31405" t="25161" r="29952" b="18371"/>
                          <a:stretch/>
                        </pic:blipFill>
                        <pic:spPr bwMode="auto">
                          <a:xfrm>
                            <a:off x="0" y="0"/>
                            <a:ext cx="2226118" cy="18290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7C1821D" w14:textId="77777777" w:rsidR="00421A25" w:rsidRPr="00A52B55" w:rsidRDefault="00421A25" w:rsidP="00421A25">
      <w:pPr>
        <w:rPr>
          <w:sz w:val="14"/>
          <w:lang w:eastAsia="pl-PL"/>
        </w:rPr>
      </w:pPr>
      <w:r w:rsidRPr="00A52B55">
        <w:rPr>
          <w:sz w:val="14"/>
          <w:lang w:eastAsia="pl-PL"/>
        </w:rPr>
        <w:t xml:space="preserve">Źródło: </w:t>
      </w:r>
      <w:r w:rsidRPr="00A52B55">
        <w:rPr>
          <w:i/>
          <w:sz w:val="14"/>
          <w:lang w:eastAsia="pl-PL"/>
        </w:rPr>
        <w:t>Analiza zróżnicowania wewnątrzregionalnego województwa Wielkopolskiego 2017 (2018), WROT, Poznań.</w:t>
      </w:r>
    </w:p>
    <w:p w14:paraId="75A94CD4" w14:textId="1D2745E6" w:rsidR="00421A25" w:rsidRDefault="6AB0BE58" w:rsidP="00421A25">
      <w:pPr>
        <w:rPr>
          <w:lang w:eastAsia="pl-PL"/>
        </w:rPr>
      </w:pPr>
      <w:r w:rsidRPr="6AB0BE58">
        <w:rPr>
          <w:lang w:eastAsia="pl-PL"/>
        </w:rPr>
        <w:t>Najbardziej</w:t>
      </w:r>
      <w:r w:rsidR="00421A25">
        <w:rPr>
          <w:lang w:eastAsia="pl-PL"/>
        </w:rPr>
        <w:t xml:space="preserve"> zauważalne obszary problemowe znajdują się we wschodniej (powiat kolski) i północnej (powiat złotowski) części województwa. Jednocześnie na obszarach tych nie tylko nie zidentyfikowano pozytywnych zmian, ale także widoczne są pogłębiające i nakładające się na siebie negatywne zjawiska. Warto zaznaczyć, że na obszarach tych widoczna jest niska aktywność w pozyskiwaniu środków UE. </w:t>
      </w:r>
    </w:p>
    <w:p w14:paraId="7AF546FD" w14:textId="77777777" w:rsidR="00421A25" w:rsidRPr="00BF08D5" w:rsidRDefault="00421A25" w:rsidP="00BF08D5">
      <w:pPr>
        <w:ind w:left="4536"/>
        <w:jc w:val="left"/>
        <w:rPr>
          <w:b/>
          <w:i/>
          <w:color w:val="001E50"/>
        </w:rPr>
      </w:pPr>
      <w:r w:rsidRPr="00BF08D5">
        <w:rPr>
          <w:b/>
          <w:i/>
          <w:color w:val="001E50"/>
        </w:rPr>
        <w:t>Dużym sukcesem terytorializacji jest zacieśnienie współpracy pomiędzy JST…</w:t>
      </w:r>
    </w:p>
    <w:p w14:paraId="2EB1605B" w14:textId="0B44E983" w:rsidR="00421A25" w:rsidRDefault="00421A25" w:rsidP="00421A25">
      <w:pPr>
        <w:rPr>
          <w:lang w:eastAsia="pl-PL"/>
        </w:rPr>
      </w:pPr>
      <w:r>
        <w:rPr>
          <w:lang w:eastAsia="pl-PL"/>
        </w:rPr>
        <w:t>Omawiając efekty terytorializacji należy zwrócić uwagę na jeszcze jeden aspekt – zacieśnienie współpracy – wskazywane przez przedstawicieli ZIT i OSI subregionalnych jako największa wartość dodana podejmowanych interwencji. Należy zaznaczyć, że partnerstwa te były problematyczne, szczególnie w aspekcie podziału środków i wyboru projektów. Widoczne jest ciągłe zróżnicowanie w obieranych priorytetach, czego powodem są różnice w potrzebach rozwojowych. W dużych ośrodkach miejskich pożądane jest realizowanie projektów prorozwojowych w wielu aspektach, także prospołecznych i na rzecz wzrostu przedsiębiorczości, podczas gdy na obszarach wiejskich przejawem właściwej działalności samorządów są inwestycje infrastrukturalne, drogowe i wodno-kanalizacyjne. Jak wynika z przeprowadzanych badań skonstruowane instrumenty wsparcia dla tych obszarów poniekąd zainicjowały dialog między samorządami miejskimi i ich najbliższym otoczeniem, a w niektórych przypadkach planowana jest dalsza kontynuacja współpracy.</w:t>
      </w:r>
      <w:r w:rsidR="00221DCB">
        <w:rPr>
          <w:rStyle w:val="Odwoanieprzypisudolnego"/>
          <w:lang w:eastAsia="pl-PL"/>
        </w:rPr>
        <w:footnoteReference w:id="21"/>
      </w:r>
      <w:r>
        <w:rPr>
          <w:lang w:eastAsia="pl-PL"/>
        </w:rPr>
        <w:t xml:space="preserve"> </w:t>
      </w:r>
    </w:p>
    <w:p w14:paraId="65CA540E" w14:textId="77777777" w:rsidR="00421A25" w:rsidRDefault="00421A25" w:rsidP="002C2855">
      <w:pPr>
        <w:pStyle w:val="Nagwek2"/>
      </w:pPr>
      <w:bookmarkStart w:id="157" w:name="_Toc536653124"/>
      <w:bookmarkStart w:id="158" w:name="_Toc1904796"/>
      <w:bookmarkStart w:id="159" w:name="_Toc5699470"/>
      <w:r>
        <w:t>W poszukiwaniu innych form terytorializacji</w:t>
      </w:r>
      <w:bookmarkEnd w:id="157"/>
      <w:bookmarkEnd w:id="158"/>
      <w:bookmarkEnd w:id="159"/>
    </w:p>
    <w:p w14:paraId="1E07847D" w14:textId="77777777" w:rsidR="00421A25" w:rsidRDefault="00421A25" w:rsidP="00421A25">
      <w:pPr>
        <w:rPr>
          <w:lang w:eastAsia="pl-PL"/>
        </w:rPr>
      </w:pPr>
      <w:r>
        <w:rPr>
          <w:lang w:eastAsia="pl-PL"/>
        </w:rPr>
        <w:t xml:space="preserve">Podejmując próbę identyfikacji innych mechanizmów terytorializacji w zakresie działań SWW, należy postawić wniosek, że nie tylko takich instrumentów nie ma, ale poszczególne departamenty merytoryczne są słabo zaznajomione z modelem terytorializacji działań SRWW 2020 . </w:t>
      </w:r>
    </w:p>
    <w:p w14:paraId="21727C5D" w14:textId="7B4A9E95" w:rsidR="0069753B" w:rsidRDefault="00421A25" w:rsidP="00421A25">
      <w:pPr>
        <w:rPr>
          <w:lang w:eastAsia="pl-PL"/>
        </w:rPr>
      </w:pPr>
      <w:r>
        <w:rPr>
          <w:lang w:eastAsia="pl-PL"/>
        </w:rPr>
        <w:t>Zaledwie w jednym z departamentów wskazano, że terytorializacja jest stosowana – przy ogłaszaniu konkursów na zlecanie zadań organizacjom pozarządowym, preferencje otrzymują organizacje spoza dużych miast lub organizacje z dużych miast, ale w partnerstwie z organizacją z mniejszego ośrodka. Efektem tego jest dyfuzja wiedzy (know</w:t>
      </w:r>
      <w:r w:rsidR="6AB0BE58" w:rsidRPr="6AB0BE58">
        <w:rPr>
          <w:lang w:eastAsia="pl-PL"/>
        </w:rPr>
        <w:t>-</w:t>
      </w:r>
      <w:r>
        <w:rPr>
          <w:lang w:eastAsia="pl-PL"/>
        </w:rPr>
        <w:t>how) do mniejszych ośrodków.</w:t>
      </w:r>
    </w:p>
    <w:p w14:paraId="78B2B7EE" w14:textId="77777777" w:rsidR="0069753B" w:rsidRDefault="0069753B">
      <w:pPr>
        <w:spacing w:after="0" w:line="240" w:lineRule="auto"/>
        <w:jc w:val="left"/>
        <w:rPr>
          <w:lang w:eastAsia="pl-PL"/>
        </w:rPr>
      </w:pPr>
      <w:r>
        <w:rPr>
          <w:lang w:eastAsia="pl-PL"/>
        </w:rPr>
        <w:br w:type="page"/>
      </w:r>
    </w:p>
    <w:p w14:paraId="4019C42B" w14:textId="77777777" w:rsidR="00421A25" w:rsidRPr="00BF08D5" w:rsidRDefault="00421A25" w:rsidP="00BF08D5">
      <w:pPr>
        <w:ind w:left="4536"/>
        <w:jc w:val="left"/>
        <w:rPr>
          <w:b/>
          <w:i/>
          <w:color w:val="001E50"/>
        </w:rPr>
      </w:pPr>
      <w:r w:rsidRPr="00BF08D5">
        <w:rPr>
          <w:b/>
          <w:i/>
          <w:color w:val="001E50"/>
        </w:rPr>
        <w:lastRenderedPageBreak/>
        <w:t>Obecnie funkcjonujące mechanizmy wymagają reorientacji…</w:t>
      </w:r>
    </w:p>
    <w:p w14:paraId="37876AEE" w14:textId="77777777" w:rsidR="00421A25" w:rsidRDefault="00421A25" w:rsidP="00421A25">
      <w:pPr>
        <w:rPr>
          <w:lang w:eastAsia="pl-PL"/>
        </w:rPr>
      </w:pPr>
      <w:r>
        <w:rPr>
          <w:lang w:eastAsia="pl-PL"/>
        </w:rPr>
        <w:t>Choć w Samorządzie nie zidentyfikowano innych form terytorializacji w zakresie działań SWW, przeprowadzone badania jakościowe pozwoliły na wyciągniecie kilku wniosków, które być może przełożą się na udoskonalenie obecnie obowiązującego modelu interwencji:</w:t>
      </w:r>
    </w:p>
    <w:p w14:paraId="611E06F9" w14:textId="13A8B502" w:rsidR="00421A25" w:rsidRDefault="10A56692" w:rsidP="00DF684F">
      <w:pPr>
        <w:pStyle w:val="Akapitzlist"/>
        <w:numPr>
          <w:ilvl w:val="0"/>
          <w:numId w:val="32"/>
        </w:numPr>
        <w:ind w:left="567"/>
        <w:rPr>
          <w:lang w:eastAsia="pl-PL"/>
        </w:rPr>
      </w:pPr>
      <w:r w:rsidRPr="10A56692">
        <w:rPr>
          <w:lang w:eastAsia="pl-PL"/>
        </w:rPr>
        <w:t>idea</w:t>
      </w:r>
      <w:r w:rsidR="00421A25">
        <w:rPr>
          <w:lang w:eastAsia="pl-PL"/>
        </w:rPr>
        <w:t xml:space="preserve"> terytorializacji w pewnych obszarach nie jest pożądana (np. zdrowie, ekonomia społeczna) lub powinna przyjąć inną bardziej elastyczną formę – w poszczególnych obszarach tematycznych zmiany zachodzą szybciej lub wolniej. Zakładając, że Strategia i programy wdrożeniowe mają perspektywę, co najmniej kilkuletnią może się okazać, że już po 2 latach zakres terytorializacji jest nieaktualny. Taka dynamika zmian charakteryzuje m.in. rynek pracy i edukację;</w:t>
      </w:r>
    </w:p>
    <w:p w14:paraId="57FE687B" w14:textId="7F965498" w:rsidR="00421A25" w:rsidRDefault="10A56692">
      <w:pPr>
        <w:pStyle w:val="Akapitzlist"/>
        <w:numPr>
          <w:ilvl w:val="0"/>
          <w:numId w:val="32"/>
        </w:numPr>
        <w:ind w:left="567"/>
        <w:rPr>
          <w:lang w:eastAsia="pl-PL"/>
        </w:rPr>
      </w:pPr>
      <w:r w:rsidRPr="10A56692">
        <w:rPr>
          <w:lang w:eastAsia="pl-PL"/>
        </w:rPr>
        <w:t>błędne</w:t>
      </w:r>
      <w:r w:rsidR="00421A25">
        <w:rPr>
          <w:lang w:eastAsia="pl-PL"/>
        </w:rPr>
        <w:t xml:space="preserve"> jest założenie, że model polaryzacyjno-dyfuzyjny jest gorszy od wyrównawczego. Wyrównawczy jest łatwiejszy, a dyfuzja wymaga czasu. Należy pamiętać, że model wyrównawczy wzmacnia efekt uzależnienia od pomocy publicznej. Pomimo narzuconego w KSRR 2030 modelu zrównoważonego rozwoju, rekomenduje się ciągłe wspieranie ośrodków konkurencyjnych; </w:t>
      </w:r>
    </w:p>
    <w:p w14:paraId="55FB1159" w14:textId="37CCB513" w:rsidR="00421A25" w:rsidRDefault="10A56692">
      <w:pPr>
        <w:pStyle w:val="Akapitzlist"/>
        <w:numPr>
          <w:ilvl w:val="0"/>
          <w:numId w:val="32"/>
        </w:numPr>
        <w:ind w:left="567"/>
        <w:rPr>
          <w:lang w:eastAsia="pl-PL"/>
        </w:rPr>
      </w:pPr>
      <w:r w:rsidRPr="10A56692">
        <w:rPr>
          <w:lang w:eastAsia="pl-PL"/>
        </w:rPr>
        <w:t>ograniczenie</w:t>
      </w:r>
      <w:r w:rsidR="00421A25">
        <w:rPr>
          <w:lang w:eastAsia="pl-PL"/>
        </w:rPr>
        <w:t xml:space="preserve"> zakresu terytorializacji – być może bardziej zasadne jest wyznaczenie mniejszej liczby obszarów</w:t>
      </w:r>
      <w:r w:rsidR="00384674">
        <w:rPr>
          <w:lang w:eastAsia="pl-PL"/>
        </w:rPr>
        <w:t xml:space="preserve"> (OSI)</w:t>
      </w:r>
      <w:r w:rsidR="00421A25">
        <w:rPr>
          <w:lang w:eastAsia="pl-PL"/>
        </w:rPr>
        <w:t>, zidentyfikowanie tych, w których potrzeba interwencji jest najbardziej widoczna – pomoc trafi w pierwszej kolejności do tych obszarów, które najbardziej tego potrzebują. Wiązałoby się to z wyznaczeniem jeszcze bardziej restrykcyjnych kryteriów delimitacji</w:t>
      </w:r>
      <w:r w:rsidRPr="10A56692">
        <w:rPr>
          <w:lang w:eastAsia="pl-PL"/>
        </w:rPr>
        <w:t>;</w:t>
      </w:r>
    </w:p>
    <w:p w14:paraId="1BD554EE" w14:textId="5E08CB37" w:rsidR="00421A25" w:rsidRDefault="10A56692">
      <w:pPr>
        <w:pStyle w:val="Akapitzlist"/>
        <w:numPr>
          <w:ilvl w:val="0"/>
          <w:numId w:val="32"/>
        </w:numPr>
        <w:ind w:left="567"/>
        <w:rPr>
          <w:lang w:eastAsia="pl-PL"/>
        </w:rPr>
      </w:pPr>
      <w:r w:rsidRPr="10A56692">
        <w:rPr>
          <w:lang w:eastAsia="pl-PL"/>
        </w:rPr>
        <w:t>przyglądając</w:t>
      </w:r>
      <w:r w:rsidR="00421A25">
        <w:rPr>
          <w:lang w:eastAsia="pl-PL"/>
        </w:rPr>
        <w:t xml:space="preserve"> się wytypowanym obszarom z zakresu ochrony środowiska, czy krajobrazów kulturowych, które przyjmują charakter bardziej horyzontalny, zasadne wydaje się, żeby w kolejnej strategii nie dokonywać ich terytorializacji.</w:t>
      </w:r>
    </w:p>
    <w:p w14:paraId="622800E1" w14:textId="0BB593A6" w:rsidR="00421A25" w:rsidRDefault="00384674">
      <w:pPr>
        <w:pStyle w:val="Akapitzlist"/>
        <w:numPr>
          <w:ilvl w:val="0"/>
          <w:numId w:val="32"/>
        </w:numPr>
        <w:ind w:left="567"/>
        <w:rPr>
          <w:lang w:eastAsia="pl-PL"/>
        </w:rPr>
      </w:pPr>
      <w:r>
        <w:rPr>
          <w:lang w:eastAsia="pl-PL"/>
        </w:rPr>
        <w:t>Mając na uwadze wszystkie wyżej wymienione wnioski zasadne jest stworzenie dwóch wymiarów terytorializacji. Pierwszy oparty na zdelimitowanych najbardziej problemowych obszarach (w rozumieniu obszarów tematycznych, ale także obszarów – terenów, na których te negatywne zjawiska są najbardziej zauważalne). Obszary te</w:t>
      </w:r>
      <w:r w:rsidR="005B616A">
        <w:rPr>
          <w:lang w:eastAsia="pl-PL"/>
        </w:rPr>
        <w:t xml:space="preserve"> (OSI)</w:t>
      </w:r>
      <w:r>
        <w:rPr>
          <w:lang w:eastAsia="pl-PL"/>
        </w:rPr>
        <w:t xml:space="preserve"> </w:t>
      </w:r>
      <w:r w:rsidR="00D24722">
        <w:rPr>
          <w:lang w:eastAsia="pl-PL"/>
        </w:rPr>
        <w:t>powinno</w:t>
      </w:r>
      <w:r>
        <w:rPr>
          <w:lang w:eastAsia="pl-PL"/>
        </w:rPr>
        <w:t xml:space="preserve"> charakteryzować przede wszystkim </w:t>
      </w:r>
      <w:r w:rsidR="005B616A">
        <w:rPr>
          <w:lang w:eastAsia="pl-PL"/>
        </w:rPr>
        <w:t>nagromadzenie</w:t>
      </w:r>
      <w:r w:rsidR="00D24722">
        <w:rPr>
          <w:lang w:eastAsia="pl-PL"/>
        </w:rPr>
        <w:t xml:space="preserve"> wielu</w:t>
      </w:r>
      <w:r w:rsidR="005B616A">
        <w:rPr>
          <w:lang w:eastAsia="pl-PL"/>
        </w:rPr>
        <w:t xml:space="preserve"> negatywnych zjawisk</w:t>
      </w:r>
      <w:r>
        <w:rPr>
          <w:lang w:eastAsia="pl-PL"/>
        </w:rPr>
        <w:t>, które</w:t>
      </w:r>
      <w:r w:rsidR="00A93EC5">
        <w:rPr>
          <w:lang w:eastAsia="pl-PL"/>
        </w:rPr>
        <w:t xml:space="preserve"> w czasie</w:t>
      </w:r>
      <w:r>
        <w:rPr>
          <w:lang w:eastAsia="pl-PL"/>
        </w:rPr>
        <w:t xml:space="preserve"> nie zmieniają się</w:t>
      </w:r>
      <w:r w:rsidR="005B616A">
        <w:rPr>
          <w:lang w:eastAsia="pl-PL"/>
        </w:rPr>
        <w:t xml:space="preserve"> bardzo</w:t>
      </w:r>
      <w:r>
        <w:rPr>
          <w:lang w:eastAsia="pl-PL"/>
        </w:rPr>
        <w:t xml:space="preserve"> dynamicznie. Drugi wymiar to preferencje terytorialne stosowane w ramach poszczególnych działań SWW</w:t>
      </w:r>
      <w:r w:rsidR="005B616A">
        <w:rPr>
          <w:lang w:eastAsia="pl-PL"/>
        </w:rPr>
        <w:t xml:space="preserve"> (</w:t>
      </w:r>
      <w:r w:rsidR="00D24722">
        <w:rPr>
          <w:lang w:eastAsia="pl-PL"/>
        </w:rPr>
        <w:t>np.</w:t>
      </w:r>
      <w:r w:rsidR="005B616A">
        <w:rPr>
          <w:lang w:eastAsia="pl-PL"/>
        </w:rPr>
        <w:t xml:space="preserve"> przy ogłaszanych konkursach), dla bardziej skonkretyzowanych </w:t>
      </w:r>
      <w:r w:rsidR="00D24722">
        <w:rPr>
          <w:lang w:eastAsia="pl-PL"/>
        </w:rPr>
        <w:t>zagadnień problemowych</w:t>
      </w:r>
      <w:r w:rsidR="005B616A">
        <w:rPr>
          <w:lang w:eastAsia="pl-PL"/>
        </w:rPr>
        <w:t>. Jednocześnie obszary te cechuje duża dynamika zmian (np. dostęp do opieki żłobkowej).</w:t>
      </w:r>
    </w:p>
    <w:p w14:paraId="33B6B073" w14:textId="77777777" w:rsidR="002C2855" w:rsidRDefault="002C2855" w:rsidP="002C2855">
      <w:pPr>
        <w:pStyle w:val="Nagwek3"/>
      </w:pPr>
      <w:bookmarkStart w:id="160" w:name="_Toc536653150"/>
      <w:bookmarkStart w:id="161" w:name="_Toc1904821"/>
      <w:bookmarkStart w:id="162" w:name="_Toc5699471"/>
      <w:r>
        <w:t>Skuteczność terytorializacji</w:t>
      </w:r>
      <w:bookmarkEnd w:id="160"/>
      <w:bookmarkEnd w:id="161"/>
      <w:bookmarkEnd w:id="162"/>
    </w:p>
    <w:p w14:paraId="029BF729" w14:textId="77777777" w:rsidR="002C2855" w:rsidRDefault="002C2855" w:rsidP="002C2855">
      <w:pPr>
        <w:rPr>
          <w:szCs w:val="22"/>
        </w:rPr>
      </w:pPr>
      <w:r>
        <w:rPr>
          <w:szCs w:val="22"/>
        </w:rPr>
        <w:t>Rozmówcy, z którymi przeprowadzono wywiady pogłębione reprezentujący instytucje systemu wdrażania programów europejskich na terenie województwa wielkopolskiego oraz eksperci reprezentujący środowisko naukowe, akcentowali zasadność stosowania instrumentów terytorialnych w kontekście maksymalizacji skuteczności osiągania celów prowadzonej polityki rozwoju. W odniesieniu do województwa wielkopolskiego stosowanie terytorializacji działań jest tym bardziej istotne i uzasadnione ze względu na jego wielkość, a co za tym idzie, występowanie znacznych wewnętrznych zróżnicowań. Sposób podejścia do terytorializacji oraz skuteczność działań terytorialnych może być jednak inaczej oceniana w odniesieniu do różnych obszarów tematycznych.</w:t>
      </w:r>
    </w:p>
    <w:p w14:paraId="34658908" w14:textId="77777777" w:rsidR="002C2855" w:rsidRDefault="002C2855" w:rsidP="002C2855">
      <w:pPr>
        <w:rPr>
          <w:lang w:eastAsia="pl-PL"/>
        </w:rPr>
      </w:pPr>
    </w:p>
    <w:p w14:paraId="3646C709" w14:textId="77777777" w:rsidR="002C2855" w:rsidRDefault="002C2855" w:rsidP="00D50036">
      <w:pPr>
        <w:pStyle w:val="Nagwek3"/>
      </w:pPr>
      <w:bookmarkStart w:id="163" w:name="_Toc536653151"/>
      <w:bookmarkStart w:id="164" w:name="_Toc1904822"/>
      <w:bookmarkStart w:id="165" w:name="_Toc5699472"/>
      <w:r>
        <w:lastRenderedPageBreak/>
        <w:t>Instrumenty terytorializacji</w:t>
      </w:r>
      <w:bookmarkEnd w:id="163"/>
      <w:bookmarkEnd w:id="164"/>
      <w:bookmarkEnd w:id="165"/>
    </w:p>
    <w:p w14:paraId="544E678E" w14:textId="77777777" w:rsidR="002C2855" w:rsidRPr="00BF08D5" w:rsidRDefault="002C2855" w:rsidP="00BF08D5">
      <w:pPr>
        <w:ind w:left="4536"/>
        <w:jc w:val="left"/>
        <w:rPr>
          <w:b/>
          <w:i/>
          <w:color w:val="001E50"/>
        </w:rPr>
      </w:pPr>
      <w:r w:rsidRPr="00BF08D5">
        <w:rPr>
          <w:b/>
          <w:i/>
          <w:color w:val="001E50"/>
        </w:rPr>
        <w:t>Możemy na mapie zaznaczyć każdy obszar i przypisać mu określone preferencje, jednak bez gwarancji, że to zadziała…</w:t>
      </w:r>
    </w:p>
    <w:p w14:paraId="5EE790C5" w14:textId="77777777" w:rsidR="002C2855" w:rsidRPr="00017572" w:rsidRDefault="002C2855" w:rsidP="006F4057">
      <w:pPr>
        <w:shd w:val="clear" w:color="auto" w:fill="FFE599"/>
        <w:rPr>
          <w:szCs w:val="22"/>
          <w:lang w:eastAsia="pl-PL"/>
        </w:rPr>
      </w:pPr>
      <w:r>
        <w:rPr>
          <w:szCs w:val="22"/>
          <w:lang w:eastAsia="pl-PL"/>
        </w:rPr>
        <w:t>Różnorodność obszarów oraz stosowane instrumenty wsparcia poddane zostały ocenie beneficjentów. Wyniki nie są jednoznaczne.</w:t>
      </w:r>
    </w:p>
    <w:p w14:paraId="74A9BBC4" w14:textId="77777777" w:rsidR="002C2855" w:rsidRDefault="002C2855" w:rsidP="002C2855">
      <w:pPr>
        <w:rPr>
          <w:lang w:eastAsia="pl-PL"/>
        </w:rPr>
      </w:pPr>
      <w:r>
        <w:rPr>
          <w:lang w:eastAsia="pl-PL"/>
        </w:rPr>
        <w:t>Bez wątpienia przeprowadzone wywiady pozwalają sformułować następujące wnioski dotyczące terytorializacji:</w:t>
      </w:r>
    </w:p>
    <w:p w14:paraId="2E95451E" w14:textId="77777777" w:rsidR="002C2855" w:rsidRDefault="002C2855" w:rsidP="00E96968">
      <w:pPr>
        <w:pStyle w:val="Akapitzlist"/>
        <w:numPr>
          <w:ilvl w:val="0"/>
          <w:numId w:val="41"/>
        </w:numPr>
        <w:ind w:left="426"/>
        <w:rPr>
          <w:lang w:eastAsia="pl-PL"/>
        </w:rPr>
      </w:pPr>
      <w:r>
        <w:rPr>
          <w:lang w:eastAsia="pl-PL"/>
        </w:rPr>
        <w:t>terytorializacja jest potrzebna, nie tylko z powodu wprowadzania wymiaru terytorialnego do dokumentów zintegrowanych, ale przede wszystkim dlatego, że jest ona przejawem realnego podejścia do zagadnienia zróżnicowań wewnątrzregionalnych i wynikających z nich wyzwań;</w:t>
      </w:r>
    </w:p>
    <w:p w14:paraId="2F894D91" w14:textId="77777777" w:rsidR="002C2855" w:rsidRDefault="002C2855" w:rsidP="00E96968">
      <w:pPr>
        <w:pStyle w:val="Akapitzlist"/>
        <w:numPr>
          <w:ilvl w:val="0"/>
          <w:numId w:val="41"/>
        </w:numPr>
        <w:ind w:left="426"/>
        <w:rPr>
          <w:lang w:eastAsia="pl-PL"/>
        </w:rPr>
      </w:pPr>
      <w:r>
        <w:rPr>
          <w:lang w:eastAsia="pl-PL"/>
        </w:rPr>
        <w:t>terytorializacja powinna być sposobem do osiągania różnorodnych celów horyzontalnych;</w:t>
      </w:r>
    </w:p>
    <w:p w14:paraId="417179F5" w14:textId="303841CB" w:rsidR="002C2855" w:rsidRPr="009665C6" w:rsidRDefault="002C2855" w:rsidP="00E96968">
      <w:pPr>
        <w:pStyle w:val="Akapitzlist"/>
        <w:numPr>
          <w:ilvl w:val="0"/>
          <w:numId w:val="41"/>
        </w:numPr>
        <w:ind w:left="426"/>
        <w:rPr>
          <w:lang w:eastAsia="pl-PL"/>
        </w:rPr>
      </w:pPr>
      <w:r>
        <w:rPr>
          <w:lang w:eastAsia="pl-PL"/>
        </w:rPr>
        <w:t xml:space="preserve">metropolia poznańska odgrywa szczególną rolę w </w:t>
      </w:r>
      <w:r w:rsidRPr="10A56692">
        <w:rPr>
          <w:lang w:eastAsia="pl-PL"/>
        </w:rPr>
        <w:t xml:space="preserve">skutecznym i efektywnym rozwoju całego województwa, stanowiąc </w:t>
      </w:r>
      <w:r w:rsidR="10A56692" w:rsidRPr="10A56692">
        <w:rPr>
          <w:lang w:eastAsia="pl-PL"/>
        </w:rPr>
        <w:t>najważniejszy</w:t>
      </w:r>
      <w:r w:rsidRPr="10A56692">
        <w:rPr>
          <w:lang w:eastAsia="pl-PL"/>
        </w:rPr>
        <w:t xml:space="preserve"> ośrodek wzrostu;</w:t>
      </w:r>
    </w:p>
    <w:p w14:paraId="39609461" w14:textId="77777777" w:rsidR="002C2855" w:rsidRPr="009665C6" w:rsidRDefault="002C2855" w:rsidP="00E96968">
      <w:pPr>
        <w:pStyle w:val="Akapitzlist"/>
        <w:numPr>
          <w:ilvl w:val="0"/>
          <w:numId w:val="41"/>
        </w:numPr>
        <w:ind w:left="426"/>
        <w:rPr>
          <w:lang w:eastAsia="pl-PL"/>
        </w:rPr>
      </w:pPr>
      <w:r>
        <w:rPr>
          <w:lang w:eastAsia="pl-PL"/>
        </w:rPr>
        <w:t xml:space="preserve">regionalny i subregionalne ośrodki wzrostu zapewniają </w:t>
      </w:r>
      <w:r>
        <w:t>spójność rozwoju województwa, dzięki pełnieniu ponadlokalnych funkcji w wymiarze gospodarczym, administracyjnym, kulturalnym czy społecznym. Ośrodki subregionalne wiele tych funkcji mogą pełnić bez konieczności koncentrowania wszystkiego w stolicy województwa (przykładowo w wymiarze administracyjnym za pomocą delegatur urzędów szczebla wojewódzkiego). Z kolei w wymiarze gospodarczym zauważalne są procesy rozwoju przedsiębiorstw polegające na tworzeniu miejsc pracy poza stolicą województwa ze względu na coraz większe nasycenie poznańskiego rynku pracy. Na dostępność komunikacyjną w wymiarze transportowym może wpływać nie tylko poprawa przepustowości infrastruktury transportowej prowadzącej do stolicy województwa, ale również wspomniane pełnienie funkcji społeczno-gospodarczych przez ośrodki subregionalne, gdyż prowadziłoby to do zmniejszenia natężenia ruchu do stolicy województwa;</w:t>
      </w:r>
    </w:p>
    <w:p w14:paraId="4929280D" w14:textId="77777777" w:rsidR="002C2855" w:rsidRPr="008C2A2F" w:rsidRDefault="002C2855" w:rsidP="00E96968">
      <w:pPr>
        <w:pStyle w:val="Akapitzlist"/>
        <w:numPr>
          <w:ilvl w:val="0"/>
          <w:numId w:val="41"/>
        </w:numPr>
        <w:ind w:left="426"/>
        <w:rPr>
          <w:lang w:eastAsia="pl-PL"/>
        </w:rPr>
      </w:pPr>
      <w:r>
        <w:t>obszary peryferyjne powinny być przedmiotem zainteresowania polityki rozwoju regionu głównie pod kątem eliminacji kluczowych źródeł peryferyzacji (np. dostępność transportowa).</w:t>
      </w:r>
    </w:p>
    <w:p w14:paraId="4AF25A42" w14:textId="5FD9F11D" w:rsidR="002C2855" w:rsidRPr="00484E02" w:rsidRDefault="002C2855" w:rsidP="002C2855">
      <w:r>
        <w:t xml:space="preserve">Należy podkreślić, że skuteczność podobnych instrumentów w różnych częściach regionu może przynosić różne skutki. Przykładowo, </w:t>
      </w:r>
      <w:r w:rsidRPr="00484E02">
        <w:t>w zakresie przedsiębiorczości oraz innowacyjności</w:t>
      </w:r>
      <w:r>
        <w:t>, n</w:t>
      </w:r>
      <w:r w:rsidRPr="00484E02">
        <w:t>aj</w:t>
      </w:r>
      <w:r>
        <w:t xml:space="preserve">lepsza sytuacja występuje </w:t>
      </w:r>
      <w:r w:rsidR="00EF1A96">
        <w:t xml:space="preserve">w </w:t>
      </w:r>
      <w:r w:rsidR="004E2067">
        <w:t>aglomeracji poznańskiej</w:t>
      </w:r>
      <w:r w:rsidRPr="00484E02">
        <w:t xml:space="preserve">, a w drugiej kolejności </w:t>
      </w:r>
      <w:r>
        <w:t xml:space="preserve">w </w:t>
      </w:r>
      <w:r w:rsidRPr="00484E02">
        <w:t>ośrodk</w:t>
      </w:r>
      <w:r>
        <w:t>ach</w:t>
      </w:r>
      <w:r w:rsidRPr="00484E02">
        <w:t xml:space="preserve"> subregionaln</w:t>
      </w:r>
      <w:r>
        <w:t>ych</w:t>
      </w:r>
      <w:r w:rsidRPr="00484E02">
        <w:t>. Najgorsza pod tym względem sytuacja występuje z kolei na obszarach peryferyjnych, w szczególności w</w:t>
      </w:r>
      <w:r>
        <w:t>e</w:t>
      </w:r>
      <w:r w:rsidRPr="00484E02">
        <w:t xml:space="preserve"> </w:t>
      </w:r>
      <w:r>
        <w:t>wsc</w:t>
      </w:r>
      <w:r w:rsidRPr="00484E02">
        <w:t>hodniej oraz północnej (okolice Piły) części województwa. Z tego względu można przyjąć, że obszary peryferyjne wymagają największego wsparcia w tym zakresie. Z drugiej jednak strony niewłaściwe byłoby wdrażanie analogicznych mechanizmów jak na obszarach najlepiej rozwiniętych ze względu na niemożliwe do zniwelowania różnice w potencjałach rozwojowych.</w:t>
      </w:r>
    </w:p>
    <w:p w14:paraId="198544D0" w14:textId="77777777" w:rsidR="008011B1" w:rsidRDefault="002C2855" w:rsidP="002C2855">
      <w:pPr>
        <w:rPr>
          <w:szCs w:val="22"/>
        </w:rPr>
      </w:pPr>
      <w:r>
        <w:rPr>
          <w:szCs w:val="22"/>
        </w:rPr>
        <w:t xml:space="preserve">Stosowanie podejścia terytorialnego jest jednak różnie postrzegane w zależności od obszaru tematycznego. Poprawa dostępności komunikacyjnej ma znaczenie horyzontalne w kontekście zapewnienia spójności przestrzennej województwa. W odniesieniu do niektórych obszarów tematycznych podkreślano, że chociaż należy brać pod uwagę zróżnicowania wewnątrzregionalne, to kluczowe jest zapewnienie możliwie równej dostępności, np. w odniesieniu do takich sfer jak opieka zdrowotna, dostęp do infrastruktury informatycznej czy zapewnienie odpowiedniej jakości środowiska. Mając na uwadze, że od strony technicznej nie jest możliwe zapewnienie takiego samego dostępu do </w:t>
      </w:r>
      <w:r>
        <w:rPr>
          <w:szCs w:val="22"/>
        </w:rPr>
        <w:lastRenderedPageBreak/>
        <w:t xml:space="preserve">opieki zdrowotnej w miejscowościach o różnej wielkości i potencjale, wskazywano, że zapewnienie dostępu do opieki zdrowotnej wpisuje się w kwestię praw człowieka i z tego względu nie można stosować zróżnicowań terytorialnych, przy czym za naturalny należy przyjąć stan, w którym opieka zdrowotna specjalistyczna zlokalizowana jest w wybranych ośrodkach w regionie. </w:t>
      </w:r>
    </w:p>
    <w:p w14:paraId="4E7D6028" w14:textId="1E88B653" w:rsidR="002C2855" w:rsidRDefault="002C2855" w:rsidP="002C2855">
      <w:pPr>
        <w:rPr>
          <w:szCs w:val="22"/>
        </w:rPr>
      </w:pPr>
      <w:r>
        <w:rPr>
          <w:szCs w:val="22"/>
        </w:rPr>
        <w:t xml:space="preserve">Podobnie oceniono kwestię </w:t>
      </w:r>
      <w:r w:rsidR="008011B1">
        <w:rPr>
          <w:szCs w:val="22"/>
        </w:rPr>
        <w:t xml:space="preserve">infrastruktury </w:t>
      </w:r>
      <w:r>
        <w:rPr>
          <w:szCs w:val="22"/>
        </w:rPr>
        <w:t>społeczeństwa informacyjnego</w:t>
      </w:r>
      <w:r w:rsidR="008011B1">
        <w:rPr>
          <w:szCs w:val="22"/>
        </w:rPr>
        <w:t>, która powinna być możliwie dostępna w całym województwie.</w:t>
      </w:r>
      <w:r>
        <w:rPr>
          <w:szCs w:val="22"/>
        </w:rPr>
        <w:t xml:space="preserve"> Chociaż bez wątpienia koszt udostępnienia infrastruktury informatycznej na terenach o mniejszej gęstości zaludnienia jest wyższy niż w gęsto zaludnionych osiedlach zabudowy wielorodzinnej, to zapewnienie dostępu do infrastruktury informatycznej nie powinno odbywać się jedynie na podstawie kalkulacji rachunku ekonomicznego, ponieważ odnosi się do sfery zaspokojenia podstawowych potrzeb współczesnego człowieka</w:t>
      </w:r>
      <w:r w:rsidR="008011B1">
        <w:rPr>
          <w:szCs w:val="22"/>
        </w:rPr>
        <w:t xml:space="preserve"> i wpływa również na poziom rozwoju społeczno-gospodarczego</w:t>
      </w:r>
      <w:r>
        <w:rPr>
          <w:szCs w:val="22"/>
        </w:rPr>
        <w:t>.</w:t>
      </w:r>
      <w:r w:rsidR="008011B1">
        <w:rPr>
          <w:szCs w:val="22"/>
        </w:rPr>
        <w:t xml:space="preserve"> Ważnym zagadnieniem związanym z infrastrukturą informatyczną jest jakość edukacji informatycznej</w:t>
      </w:r>
      <w:r w:rsidR="00940F79">
        <w:rPr>
          <w:szCs w:val="22"/>
        </w:rPr>
        <w:t xml:space="preserve"> (</w:t>
      </w:r>
      <w:r w:rsidR="00940F79">
        <w:t xml:space="preserve">bardzo pozytywnie oceniono działania strategiczne podejmowane w Poznaniu kładące nacisk na kształcenie informatyczne oraz z zakresu kompetencji matematycznych). Ponadto edukację informatyczną </w:t>
      </w:r>
      <w:r w:rsidR="008011B1">
        <w:rPr>
          <w:szCs w:val="22"/>
        </w:rPr>
        <w:t>wiąże się również z możliwościami</w:t>
      </w:r>
      <w:r>
        <w:rPr>
          <w:szCs w:val="22"/>
        </w:rPr>
        <w:t xml:space="preserve"> rozwoju społeczeństwa obywatelskiego</w:t>
      </w:r>
      <w:r w:rsidR="00940F79">
        <w:rPr>
          <w:szCs w:val="22"/>
        </w:rPr>
        <w:t>, d</w:t>
      </w:r>
      <w:r w:rsidR="008011B1">
        <w:rPr>
          <w:szCs w:val="22"/>
        </w:rPr>
        <w:t>latego istotny jest możliwie wyrównany poziom dostępności</w:t>
      </w:r>
      <w:r>
        <w:rPr>
          <w:szCs w:val="22"/>
        </w:rPr>
        <w:t xml:space="preserve"> do odpowiedniej jakości </w:t>
      </w:r>
      <w:r w:rsidR="00940F79">
        <w:rPr>
          <w:szCs w:val="22"/>
        </w:rPr>
        <w:t xml:space="preserve">tego typu </w:t>
      </w:r>
      <w:r>
        <w:rPr>
          <w:szCs w:val="22"/>
        </w:rPr>
        <w:t>edukacji niezależnie, czy dana szkoła prowadząca kształcenie znajduje się na dobrze rozwiniętych obszarach miejskich czy na peryferyjnych obszarach wiejskich.</w:t>
      </w:r>
      <w:r w:rsidR="00940F79">
        <w:rPr>
          <w:szCs w:val="22"/>
        </w:rPr>
        <w:t xml:space="preserve"> </w:t>
      </w:r>
    </w:p>
    <w:p w14:paraId="0C5131D4" w14:textId="79AFA930" w:rsidR="002C2855" w:rsidRPr="00295827" w:rsidRDefault="002C2855" w:rsidP="002C2855">
      <w:r w:rsidRPr="6AB0BE58">
        <w:t>Natomiast w obszarze rynku pracy konieczne jest podejmowanie konkretnych działań elastycznie dostosowanych do zachodzących na danym obszarze zmian oraz pojawiających się wyzwań. Przykładem takiego wyzwania, w odniesieniu do którego w ramach obecnej Strategii nie podjęto wystarczająco skutecznych działań, jest sytuacja Konina, którego rynek pracy wymaga gruntownej restrukturyzacji. Rynek pracy w Koninie jest zdominowany przez kilka przedsiębiorstw z sektora paliwowo-energetycznego opartego na węglu brunatnym. Wyczerpywanie się zasobów węgla brunatnego oraz konieczność ograniczania wydobycia tego paliwa ze względów ekologicznych (degradacja środowiska naturalnego – powstawanie leja pokopalnianego za sprawą wydobycia odkrywkowego, obniżenie stanu wód oraz emisja zanieczyszczeń powietrza w wyniku spalania) wymaga tworzenia nowych miejsc pracy. Przy czym wspieranie rozwoju mik</w:t>
      </w:r>
      <w:r w:rsidR="00EF1A96" w:rsidRPr="6AB0BE58">
        <w:t>r</w:t>
      </w:r>
      <w:r w:rsidRPr="6AB0BE58">
        <w:t xml:space="preserve">o i małej przedsiębiorczości może cechować się niską skutecznością ze względu na przyzwyczajenie mieszkańców do pracy najemnej. </w:t>
      </w:r>
      <w:r w:rsidRPr="6AB0BE58">
        <w:rPr>
          <w:rFonts w:eastAsia="Calibri"/>
          <w:szCs w:val="22"/>
        </w:rPr>
        <w:t xml:space="preserve">Zatem kluczowym wyzwaniem jest stworzenie wizji rozwoju tego terenu, np. poprzez wykreowanie nowych branż, które mogłyby stanowić impuls rozwojowy, </w:t>
      </w:r>
      <w:r w:rsidR="6AB0BE58" w:rsidRPr="6AB0BE58">
        <w:rPr>
          <w:rFonts w:eastAsia="Calibri"/>
          <w:szCs w:val="22"/>
        </w:rPr>
        <w:t>przez</w:t>
      </w:r>
      <w:r w:rsidRPr="6AB0BE58">
        <w:rPr>
          <w:rFonts w:eastAsia="Calibri"/>
          <w:szCs w:val="22"/>
        </w:rPr>
        <w:t xml:space="preserve"> podjęcie próby przetransformowania gospodarki w wytwarzanie odnawialnych źródeł energii</w:t>
      </w:r>
      <w:r w:rsidR="6AB0BE58" w:rsidRPr="6AB0BE58">
        <w:rPr>
          <w:rFonts w:eastAsia="Calibri"/>
          <w:szCs w:val="22"/>
        </w:rPr>
        <w:t xml:space="preserve"> czy</w:t>
      </w:r>
      <w:r w:rsidRPr="6AB0BE58">
        <w:rPr>
          <w:rFonts w:eastAsia="Calibri"/>
          <w:szCs w:val="22"/>
        </w:rPr>
        <w:t xml:space="preserve"> wykorzystanie zasobów geotermalnych lub inwestycje w infrastrukturę uzdrowisko</w:t>
      </w:r>
      <w:r w:rsidR="00EF1A96" w:rsidRPr="6AB0BE58">
        <w:rPr>
          <w:rFonts w:eastAsia="Calibri"/>
          <w:szCs w:val="22"/>
        </w:rPr>
        <w:t>wo</w:t>
      </w:r>
      <w:r w:rsidRPr="6AB0BE58">
        <w:rPr>
          <w:rFonts w:eastAsia="Calibri"/>
          <w:szCs w:val="22"/>
        </w:rPr>
        <w:t>-rekreacyjno-turystyczną.</w:t>
      </w:r>
      <w:r w:rsidRPr="6AB0BE58">
        <w:t xml:space="preserve"> Ważny działaniem w zakresie stymulowania restrukturyzacji konińskiego rynku pracy </w:t>
      </w:r>
      <w:r>
        <w:t>mogłoby być utworzenie w Koninie parku przemysłowo-technologicznego. Takie działanie nie zostało jednak dotychczas podjęte ze względu na brak możliwości wsparcia w ramach RPO, co jest konsekwencją zapisów Umowy Partnerstwa</w:t>
      </w:r>
      <w:r>
        <w:rPr>
          <w:rStyle w:val="Odwoanieprzypisudolnego"/>
        </w:rPr>
        <w:footnoteReference w:id="22"/>
      </w:r>
      <w:r>
        <w:t xml:space="preserve">. </w:t>
      </w:r>
    </w:p>
    <w:p w14:paraId="21F1384E" w14:textId="22362B2E" w:rsidR="002C2855" w:rsidRDefault="002C2855" w:rsidP="002C2855">
      <w:pPr>
        <w:rPr>
          <w:szCs w:val="22"/>
        </w:rPr>
      </w:pPr>
      <w:r>
        <w:rPr>
          <w:szCs w:val="22"/>
        </w:rPr>
        <w:t xml:space="preserve">Stosowanie podejścia terytorialnego jest bardzo ważne w kontekście zapewnienia skuteczności działań w zakresie odnawialnych źródeł energii. Pod tym względem bardzo dużym oraz jak dotąd niewykorzystanym potencjałem cechują się zasoby geotermalne, do których dostęp jest zróżnicowany terytorialnie. Innym przykładem zasadności uwzględniania uwarunkowań terytorialnych jest produkcja </w:t>
      </w:r>
      <w:r>
        <w:rPr>
          <w:szCs w:val="22"/>
        </w:rPr>
        <w:lastRenderedPageBreak/>
        <w:t>energii z biomasy. Inwestycje z tego zakresu powinny być lokowane na tych terenach, na których biomasa jest produkowana.</w:t>
      </w:r>
    </w:p>
    <w:p w14:paraId="3E09DB35" w14:textId="77777777" w:rsidR="002C2855" w:rsidRDefault="002C2855" w:rsidP="002C2855">
      <w:pPr>
        <w:rPr>
          <w:szCs w:val="22"/>
        </w:rPr>
      </w:pPr>
      <w:r>
        <w:rPr>
          <w:szCs w:val="22"/>
        </w:rPr>
        <w:t>Wytwarzanie energii z odnawialnych źródeł wpisuje się w dbałość o zapewnienie odpowiedniej jakości środowiska. Z perspektywy eksperckiej wskazywano, że działania mające na celu zapewnienie odpowiedniej jakości środowiska nie powinny być terytorializowane, ponieważ jest to kwestia horyzontalna dla strategicznego rozwoju całego województwa. Z drugiej jednak strony należy mieć na uwadze, że są specyficzne problemy, które muszą być terytorializowane, np. identyfikacja oraz zabezpieczenie terenów zagrożonych powodzią.</w:t>
      </w:r>
    </w:p>
    <w:p w14:paraId="1B2B560D" w14:textId="4D7FD6BD" w:rsidR="002C2855" w:rsidRDefault="10A56692" w:rsidP="002C2855">
      <w:pPr>
        <w:rPr>
          <w:lang w:eastAsia="pl-PL"/>
        </w:rPr>
      </w:pPr>
      <w:r>
        <w:t>Jako</w:t>
      </w:r>
      <w:r w:rsidR="002C2855">
        <w:t xml:space="preserve"> horyzontalną, kluczową dla rozwoju całego województwa oceniono </w:t>
      </w:r>
      <w:r>
        <w:t xml:space="preserve">również </w:t>
      </w:r>
      <w:r w:rsidR="002C2855">
        <w:t xml:space="preserve">rolę działań z zakresu kultury, mając zarazem na uwadze, że na terenie województwa wielkopolskiego </w:t>
      </w:r>
      <w:r>
        <w:t xml:space="preserve">są obszary </w:t>
      </w:r>
      <w:r w:rsidR="002C2855">
        <w:t>o gorszym dostępie do infrastruktury kulturalnej.</w:t>
      </w:r>
    </w:p>
    <w:p w14:paraId="6890E35F" w14:textId="77777777" w:rsidR="002C2855" w:rsidRDefault="002C2855" w:rsidP="00D50036">
      <w:pPr>
        <w:pStyle w:val="Nagwek3"/>
      </w:pPr>
      <w:bookmarkStart w:id="166" w:name="_Toc536653152"/>
      <w:bookmarkStart w:id="167" w:name="_Toc1904823"/>
      <w:bookmarkStart w:id="168" w:name="_Toc5699473"/>
      <w:r>
        <w:t>Terytorializacja a spójność</w:t>
      </w:r>
      <w:bookmarkEnd w:id="166"/>
      <w:bookmarkEnd w:id="167"/>
      <w:bookmarkEnd w:id="168"/>
    </w:p>
    <w:p w14:paraId="196FABA0" w14:textId="77777777" w:rsidR="002C2855" w:rsidRPr="007A7807" w:rsidRDefault="002C2855" w:rsidP="002C2855">
      <w:r>
        <w:t xml:space="preserve">Podczas wywiadów z przedstawicielami gmin miejskich na prawach powiatu pojawiła się opinia, że stosowanie mandatu terytorialnego znacząco przyczynia się do wzmacniania integracji, współpracy pomiędzy podmiotami objętymi mandatem terytorialnym ze względu na konieczność wypracowania wspólnych inicjatyw. Wartością dodaną stosowanego mandatu terytorialnego jest to, że współpraca podejmowana w ramach działań związanych z mandatem terytorialnym jest przenoszona na inne obszary działania. Innymi słowy, sprzyja ona zmianie ogólnego podejścia do planowania polityki rozwoju na poziomie </w:t>
      </w:r>
      <w:r w:rsidRPr="007A7807">
        <w:t>samorządów gminnych poprzez kształtowanie tej polityki w sposób bardziej zintegrowany.</w:t>
      </w:r>
    </w:p>
    <w:p w14:paraId="6C17D31E" w14:textId="77777777" w:rsidR="002C2855" w:rsidRDefault="002C2855" w:rsidP="002C2855">
      <w:r w:rsidRPr="007A7807">
        <w:t>Jak już wspomniano, w największym stopniu jako przyczyniające się do poprawy spójności województwa są postrzegane działania z zakresu zrównoważonego transportu</w:t>
      </w:r>
      <w:r>
        <w:t>.</w:t>
      </w:r>
    </w:p>
    <w:p w14:paraId="690B165D" w14:textId="5D450306" w:rsidR="002C2855" w:rsidRDefault="002C2855" w:rsidP="002C2855">
      <w:r w:rsidRPr="7167E923">
        <w:rPr>
          <w:rFonts w:eastAsia="Calibri"/>
        </w:rPr>
        <w:t xml:space="preserve">Z perspektywy eksperckiej wśród podstawowych barier rozwojowych utrudniających zapewnienie spójności województwa wielkopolskiego (nie jest to specyfika tego województwa, lecz </w:t>
      </w:r>
      <w:r w:rsidR="10A56692" w:rsidRPr="7167E923">
        <w:rPr>
          <w:rFonts w:eastAsia="Calibri"/>
        </w:rPr>
        <w:t>stanowi</w:t>
      </w:r>
      <w:r w:rsidRPr="7167E923">
        <w:rPr>
          <w:rFonts w:eastAsia="Calibri"/>
        </w:rPr>
        <w:t xml:space="preserve"> to szerszy problem prowadzenia polityki rozwoju regionów) jest podejmowanie działań rozwojowych w sposób punktowy, tzn. bez holistycznego podejścia do kwestii rozwoju. Terytorializacja instrumentów jest dobrym rozwiązaniem w kontekście przełamywania tych barier, lecz by prowadziła do poprawy spójności województwa, powinna być prowadzona w ujęciu prospektywnym, czyli delimitacji danego obszaru na podstawie </w:t>
      </w:r>
      <w:r w:rsidR="10A56692" w:rsidRPr="7167E923">
        <w:rPr>
          <w:rFonts w:eastAsia="Calibri"/>
        </w:rPr>
        <w:t>prognoz</w:t>
      </w:r>
      <w:r w:rsidR="00940F79">
        <w:rPr>
          <w:rFonts w:eastAsia="Calibri"/>
        </w:rPr>
        <w:t xml:space="preserve"> </w:t>
      </w:r>
      <w:r w:rsidR="10A56692" w:rsidRPr="7167E923">
        <w:rPr>
          <w:rFonts w:eastAsia="Calibri"/>
        </w:rPr>
        <w:t>i</w:t>
      </w:r>
      <w:r w:rsidRPr="7167E923">
        <w:rPr>
          <w:rFonts w:eastAsia="Calibri"/>
        </w:rPr>
        <w:t xml:space="preserve"> w odniesieniu do celu planowanego w określonej perspektywie czasowej. </w:t>
      </w:r>
      <w:r w:rsidR="00724883">
        <w:t>Tymczasem w całej Polsce delimitacja instrumentów terytorialnych odbywa się retrospektywnie (zob. np. SOR), tj. na podstawie danych zastanych i wskaźników stworzonych wg stanu sprzed kilku lat. Zmiana takiego podejścia wymagałaby uruchomienia dwóch procesów. Po pierwsze przeprowadzenia prognoz wskaźników opisujących daną tematykę, ważną z punktu widzenia określonego terytorium. Na podstawie tych prognoz powinny być wskazane „obszary aspirujące” do stania się częścią określonego obszaru funkcjonalnego (np. sąsiadujące obecnie z aglomeracją poznańską). Drugi proces, to uzgodnienia strategiczne na temat możliwości interwencji w „obszarach aspirujących” uwzględniające zarówno możliwości finansowe, jak i planowane kierunki interwencji polityki regionalnej (w dyskusji powinni uczestniczyć przedstawiciele obecnych obszarów funkcjonalnych, przedstawiciele obszarów „aspirujących”, jak i przedstawiciele Zarządu Województwa). W tak zarysowanym procesie</w:t>
      </w:r>
      <w:r w:rsidRPr="7167E923">
        <w:rPr>
          <w:rFonts w:eastAsia="Calibri"/>
        </w:rPr>
        <w:t xml:space="preserve"> </w:t>
      </w:r>
      <w:r w:rsidR="10A56692" w:rsidRPr="7167E923">
        <w:rPr>
          <w:rFonts w:eastAsia="Calibri"/>
        </w:rPr>
        <w:t>punktem</w:t>
      </w:r>
      <w:r w:rsidRPr="7167E923">
        <w:rPr>
          <w:rFonts w:eastAsia="Calibri"/>
        </w:rPr>
        <w:t xml:space="preserve"> odniesienia </w:t>
      </w:r>
      <w:r w:rsidR="10A56692" w:rsidRPr="7167E923">
        <w:rPr>
          <w:rFonts w:eastAsia="Calibri"/>
        </w:rPr>
        <w:t>nie powinien być obecny</w:t>
      </w:r>
      <w:r w:rsidRPr="7167E923">
        <w:rPr>
          <w:rFonts w:eastAsia="Calibri"/>
        </w:rPr>
        <w:t xml:space="preserve"> obszar funkcjonalny Poznania, lecz perspektywa jego oddziaływania </w:t>
      </w:r>
      <w:r w:rsidR="10A56692" w:rsidRPr="7167E923">
        <w:rPr>
          <w:rFonts w:eastAsia="Calibri"/>
        </w:rPr>
        <w:t xml:space="preserve">jako ośrodka wzrostu </w:t>
      </w:r>
      <w:r w:rsidRPr="7167E923">
        <w:rPr>
          <w:rFonts w:eastAsia="Calibri"/>
        </w:rPr>
        <w:t xml:space="preserve">w 2030 </w:t>
      </w:r>
      <w:r w:rsidR="10A56692" w:rsidRPr="7167E923">
        <w:rPr>
          <w:rFonts w:eastAsia="Calibri"/>
        </w:rPr>
        <w:t>roku.</w:t>
      </w:r>
      <w:r w:rsidRPr="7167E923">
        <w:rPr>
          <w:rFonts w:eastAsia="Calibri"/>
        </w:rPr>
        <w:t xml:space="preserve"> </w:t>
      </w:r>
    </w:p>
    <w:p w14:paraId="6965E059" w14:textId="120B55C8" w:rsidR="002C2855" w:rsidRPr="009E36C7" w:rsidRDefault="002C2855" w:rsidP="002C2855">
      <w:pPr>
        <w:rPr>
          <w:color w:val="FF0000"/>
        </w:rPr>
      </w:pPr>
      <w:r>
        <w:lastRenderedPageBreak/>
        <w:t>Z perspektywy eksperckiej przywołano jeden z podstawowych dylematów pojawiających się na etapie planowania polityki rozwoju, tj. czy należałoby kłaść większy nacisk na zapewnienie konkurencyjności, czy na zapewnienie spójności. Zdaniem eksperta posługiwanie się taką opozycją chociaż może być nośne pod względem przekazów politycznych, to w kontekście kreowania rozwoju regionalnego nie jest trafne, ponieważ zapewnienie spójności prowadzące do poprawy sytuacji społeczno-gospodarczej musi być powiązane z dążeniem do zapewnienia konkurencyjności. Bez zapewnienia konkurencyjności możliwe jest jedynie zapewnienie spójności poprzez „wyrównywanie do biedy”. Stąd też terytorializacja instrumentów wsparcia może stanowić bardzo dobre powiązanie zapewniające równo</w:t>
      </w:r>
      <w:r w:rsidRPr="00F57867">
        <w:t>wagę pomiędzy konkurencyjnością a spójnością. Za konkluzję mogą zatem posłużyć następujące słowa eksperta: „walczmy o przewagi konkurencyjne, ale dobierajmy cele do poszczególnych obszarów”.</w:t>
      </w:r>
    </w:p>
    <w:p w14:paraId="045CAC20" w14:textId="77777777" w:rsidR="002C2855" w:rsidRPr="009749C9" w:rsidRDefault="002C2855" w:rsidP="00D50036">
      <w:pPr>
        <w:pStyle w:val="Nagwek3"/>
      </w:pPr>
      <w:bookmarkStart w:id="169" w:name="_Toc536653153"/>
      <w:bookmarkStart w:id="170" w:name="_Toc1904824"/>
      <w:bookmarkStart w:id="171" w:name="_Toc5699474"/>
      <w:r>
        <w:t>Terytorializacja RPO i PROW</w:t>
      </w:r>
      <w:bookmarkEnd w:id="169"/>
      <w:bookmarkEnd w:id="170"/>
      <w:bookmarkEnd w:id="171"/>
    </w:p>
    <w:p w14:paraId="7243E96A" w14:textId="77777777" w:rsidR="002C2855" w:rsidRPr="00BF08D5" w:rsidRDefault="002C2855" w:rsidP="00BF08D5">
      <w:pPr>
        <w:ind w:left="4536"/>
        <w:jc w:val="left"/>
        <w:rPr>
          <w:b/>
          <w:i/>
          <w:color w:val="001E50"/>
        </w:rPr>
      </w:pPr>
      <w:r w:rsidRPr="00BF08D5">
        <w:rPr>
          <w:b/>
          <w:i/>
          <w:color w:val="001E50"/>
        </w:rPr>
        <w:t>Więcej środków dedykowanych konkretnym obszarom …</w:t>
      </w:r>
    </w:p>
    <w:p w14:paraId="325E84A4" w14:textId="3922F7D9" w:rsidR="002C2855" w:rsidRDefault="002C2855" w:rsidP="002C2855">
      <w:r>
        <w:rPr>
          <w:szCs w:val="22"/>
        </w:rPr>
        <w:t>Podstawowe instrumenty finansowe umożliwiające wdrażanie Strategii stanowią fundusze europejskie ze szczególną rolą RPO. W porównaniu do poprzedniej perspektywy wdrażania funduszy europejskich nowym rozwiązaniem pod względem strategicznego stymulowania rozwoju było zastosowanie mandatu terytorialnego (w przypadku OSI ośrodków subregionalnych) i strategii ZIT (w przypadku aglomeracji poznańskiej oraz aglomeracji kalisko-ostrowskiej). Wprowadzenie tych instrumentów terytorialnych z pespektywy przedstawicieli gmin miejskich na prawach powiatu oraz organizacji odpowiedzialnych za wdrażanie tych instrumentów było oceniane pozytywnie. Podkreślano przede wszystkim, że instrumenty te zapewniają</w:t>
      </w:r>
      <w:r w:rsidRPr="002A215D">
        <w:t xml:space="preserve"> </w:t>
      </w:r>
      <w:r>
        <w:t>„[…] samorządom pełny k</w:t>
      </w:r>
      <w:r w:rsidRPr="002A215D">
        <w:t>omfort aplikowania o środki finansowe</w:t>
      </w:r>
      <w:r>
        <w:t xml:space="preserve">”. Komfort ten polega na poczuciu pewności zarezerwowania puli środków przeznaczonych na określone cele, o które nie trzeba konkurować „[…] </w:t>
      </w:r>
      <w:r w:rsidRPr="0015711D">
        <w:t>łatwiejszy dostęp mamy do tych środków, jeśli chodzi o WRPO. Są środki podzielone na konkretne działania, konkretne nasze cele, które mieliśmy do osiągnięcia”</w:t>
      </w:r>
      <w:r>
        <w:t xml:space="preserve"> . Wymagane jest jedynie spełnienie postawionych kryteriów. Co oczywiście nie zwalnia z konieczności przygotowania odpowiedniej jakości dokumentacji projektowej, ponieważ pod tym względem wymagania są takie same jak w przypadku projektów wyłanianych w procedurze konkursowej.</w:t>
      </w:r>
    </w:p>
    <w:p w14:paraId="6F13483D" w14:textId="77777777" w:rsidR="002C2855" w:rsidRDefault="002C2855" w:rsidP="002C2855">
      <w:r>
        <w:t>Zdaniem rozmówców na skuteczność działań realizowanych w ramach instrumentów terytorialnych pozytywnie wpływa także to</w:t>
      </w:r>
      <w:r w:rsidRPr="0015711D">
        <w:t>, że terytorializacja pozwala na przeniesienie na niższy poziom kompetencji w zakresie decydowania o priorytetach rozwojowych oraz o konkretnych działaniach.</w:t>
      </w:r>
      <w:r>
        <w:t xml:space="preserve"> Co prawda można założyć, że mimo braku instrumentów terytorialnych część środków i tak zostałaby pozyskana przez podmioty obecnie objęte tymi instrumentami, jednak aplikowanie o środki w ramach programu regionalnego byłoby obarczone większym ryzykiem niepowodzenia, czyli mniejszą pewnością zabezpieczenia możliwości realizacji celów rozwojowych.</w:t>
      </w:r>
    </w:p>
    <w:p w14:paraId="51C742FF" w14:textId="3F12D3D9" w:rsidR="002C2855" w:rsidRDefault="002C2855" w:rsidP="002C2855">
      <w:r>
        <w:t xml:space="preserve">Najważniejszym efektem, wartością dodaną wdrażania instrumentów terytorialnych z perspektywy przedstawicieli podmiotów zaangażowanych w ich wdrażanie jest zacieśnianie współpracy pomiędzy samorządami. Stosowanie podejścia zintegrowanego wręcz wymusza taką współpracę. Współpraca na poziomie ponadlokalnym jest bardzo istotna w kontekście osiągania celów strategicznych, ponieważ szczególnie ze względu na specyfikę obszarów funkcjonalnych gminy znajdujące się na danym obszarze są faktycznie powiązane siecią różnorakich zależności i rozwiązywanie określonych problemów jest </w:t>
      </w:r>
      <w:r>
        <w:lastRenderedPageBreak/>
        <w:t xml:space="preserve">możliwe wyłącznie dzięki inicjatywom o charakterze ponadlokalnym. Podkreślenia jednak wymaga, że dostrzeganie z poziomu lokalnego tak rozumianej wspólnoty interesów nie jest oczywiste, m.in. z tego powodu, że w poprzedniej perspektywie finansowej konkurowanie pomiędzy samorządami było wręcz koniecznością ze względu </w:t>
      </w:r>
      <w:r w:rsidR="00940F79">
        <w:t>na</w:t>
      </w:r>
      <w:r>
        <w:t xml:space="preserve"> ubieganie się o środki europejskie w ramach procedury konkursowej. Nie bez znaczenia jest także wymiar polityczny polegający na dążeniu do skuteczności w ubieganiu się o środki zewnętrzne w celu utrzymania poparcia ze strony wyborców. To z kolei skłania do dążenia by dane inwestycje były lokalizowane na terenie danej gminy a nie np. gminy sąsiedniej, by można było się wykazać skutecznością. Z tego względu stosowanie instrumentów terytorialnych wymagających wypracowania wspólnych rozwiązań w sytuacji nabytych nawyków konkurowania o środki początkowo może wręcz stanowić zarzewie konfliktów pomiędzy samorządami, dlatego stymulowanie za pomocą instrumentów terytorialnych działań o charakterze ponadlokalnym, zacieśniania współpracy pomiędzy samorządami stanowi tym większą wartość.</w:t>
      </w:r>
    </w:p>
    <w:p w14:paraId="64620DC5" w14:textId="28769A6C" w:rsidR="002C2855" w:rsidRDefault="002C2855" w:rsidP="002C2855">
      <w:r>
        <w:t>Podczas wywiadów z przedstawicielami podmiotów zaangażowanych we wdrażanie instrumentów terytorialnych pojawiła się opinia, że skuteczność mandatów terytorialnych obniżała niewystarczająca spójność działań podejmowanych na różnym etapie programowania. Z jednej strony na etapie wyznaczania OSI określano pewien zakres inwestycji, jednak na etapie ogłaszania dokumentacji konkursowej okazywało się, że niektóre z wcześniej zidentyfikowanych inwestycji nie kwalifikują się do dofinansowania</w:t>
      </w:r>
      <w:r>
        <w:rPr>
          <w:rStyle w:val="Odwoanieprzypisudolnego"/>
        </w:rPr>
        <w:footnoteReference w:id="23"/>
      </w:r>
      <w:r>
        <w:t>.</w:t>
      </w:r>
    </w:p>
    <w:p w14:paraId="20B7364E" w14:textId="77777777" w:rsidR="00BF08D5" w:rsidRDefault="002C2855" w:rsidP="00EC4F46">
      <w:r>
        <w:t>W kontekście działań z zakresu edukacji wskazywano na wysoką skuteczność powiązania działań infrastrukturalnych z działaniami „miękkimi”, czyli komplementarne łączenie działań finansowanych z EFRR z działaniami finansowanymi z EFS, których celem jest dostosowanie kształcenia zawodowego do potrzeb rynku pracy</w:t>
      </w:r>
      <w:r w:rsidRPr="002324AE">
        <w:t>, m.in. poprzez tworzenie centrów kształcenia praktycznego. Jednym z ważniejszych efektów tego typu działań jest wzmocnienie współpracy szkół zawodowych z pracodawcami, dzięki czemu kształcenie jest prowadzone w sposób praktyczny z dostosowaniem do potrzeb pracodawców.</w:t>
      </w:r>
      <w:r w:rsidR="00BF08D5">
        <w:br w:type="page"/>
      </w:r>
    </w:p>
    <w:p w14:paraId="2FAB0BDA" w14:textId="77777777" w:rsidR="00421A25" w:rsidRDefault="002C2855" w:rsidP="002C2855">
      <w:pPr>
        <w:pStyle w:val="Nagwek1"/>
      </w:pPr>
      <w:bookmarkStart w:id="172" w:name="_Toc5699475"/>
      <w:r>
        <w:lastRenderedPageBreak/>
        <w:t>Wdrażanie Strategii</w:t>
      </w:r>
      <w:bookmarkEnd w:id="172"/>
    </w:p>
    <w:p w14:paraId="4FF288E7" w14:textId="03B23673" w:rsidR="002C2855" w:rsidRDefault="002C2855" w:rsidP="00624AA4">
      <w:pPr>
        <w:pStyle w:val="Nagwek2"/>
      </w:pPr>
      <w:bookmarkStart w:id="173" w:name="_Toc536653110"/>
      <w:bookmarkStart w:id="174" w:name="_Toc1904782"/>
      <w:bookmarkStart w:id="175" w:name="_Toc5699476"/>
      <w:r>
        <w:t>Co chciałby i co może robić samorząd województwa</w:t>
      </w:r>
      <w:bookmarkEnd w:id="173"/>
      <w:bookmarkEnd w:id="174"/>
      <w:r w:rsidR="0033588B">
        <w:t>?</w:t>
      </w:r>
      <w:bookmarkEnd w:id="175"/>
    </w:p>
    <w:p w14:paraId="267AF689" w14:textId="11EAE180" w:rsidR="002C2855" w:rsidRDefault="002C2855" w:rsidP="002C2855">
      <w:pPr>
        <w:rPr>
          <w:rFonts w:cs="Times New Roman"/>
          <w:b/>
          <w:bCs/>
          <w:lang w:eastAsia="pl-PL"/>
        </w:rPr>
      </w:pPr>
      <w:r w:rsidRPr="018C161B">
        <w:rPr>
          <w:lang w:eastAsia="pl-PL"/>
        </w:rPr>
        <w:t xml:space="preserve">Odpowiedź na postawione pytanie wymaga określenia, czemu służy Strategia. Czy w założeniu Samorządu ma być to Strategia oparta na zadaniach własnych samorządu, czyli </w:t>
      </w:r>
      <w:r w:rsidRPr="00315F3C">
        <w:rPr>
          <w:i/>
          <w:lang w:eastAsia="pl-PL"/>
        </w:rPr>
        <w:t>de facto</w:t>
      </w:r>
      <w:r w:rsidRPr="018C161B">
        <w:rPr>
          <w:lang w:eastAsia="pl-PL"/>
        </w:rPr>
        <w:t xml:space="preserve"> Strategia wyłącznie dla Urzędu Marszałkowskiego, czy Strategia rozwoju regionu, która angażuje wielu aktorów polityki regionalnej. Należy więc określić, czy zakres </w:t>
      </w:r>
      <w:r>
        <w:rPr>
          <w:lang w:eastAsia="pl-PL"/>
        </w:rPr>
        <w:t xml:space="preserve">oddziaływania </w:t>
      </w:r>
      <w:r w:rsidRPr="018C161B">
        <w:rPr>
          <w:lang w:eastAsia="pl-PL"/>
        </w:rPr>
        <w:t xml:space="preserve">Samorządu w ramach Strategii jest wyłącznie bezpośredni, </w:t>
      </w:r>
      <w:r>
        <w:rPr>
          <w:lang w:eastAsia="pl-PL"/>
        </w:rPr>
        <w:t xml:space="preserve">czy jest to oddziaływanie </w:t>
      </w:r>
      <w:r w:rsidRPr="018C161B">
        <w:rPr>
          <w:lang w:eastAsia="pl-PL"/>
        </w:rPr>
        <w:t>pośredni</w:t>
      </w:r>
      <w:r>
        <w:rPr>
          <w:lang w:eastAsia="pl-PL"/>
        </w:rPr>
        <w:t>e (obejmujące także programowanie, planowanie, współfinansowanie przedsięwzięć),</w:t>
      </w:r>
      <w:r w:rsidRPr="018C161B">
        <w:rPr>
          <w:lang w:eastAsia="pl-PL"/>
        </w:rPr>
        <w:t xml:space="preserve"> czy </w:t>
      </w:r>
      <w:r>
        <w:rPr>
          <w:lang w:eastAsia="pl-PL"/>
        </w:rPr>
        <w:t>może Strategia uwzględnia też</w:t>
      </w:r>
      <w:r w:rsidRPr="018C161B">
        <w:rPr>
          <w:lang w:eastAsia="pl-PL"/>
        </w:rPr>
        <w:t xml:space="preserve"> sferę pozostającą poza zakresem jego kompetencji</w:t>
      </w:r>
      <w:r>
        <w:rPr>
          <w:lang w:eastAsia="pl-PL"/>
        </w:rPr>
        <w:t xml:space="preserve"> – Samorząd może prowadzić jedynie działania promocyjne, lobbingowe, zachęcające do podejmowania działań (Szlachta 2013).</w:t>
      </w:r>
      <w:r w:rsidRPr="018C161B">
        <w:rPr>
          <w:lang w:eastAsia="pl-PL"/>
        </w:rPr>
        <w:t xml:space="preserve"> W sprawozdaniu z realizacji </w:t>
      </w:r>
      <w:r>
        <w:rPr>
          <w:lang w:eastAsia="pl-PL"/>
        </w:rPr>
        <w:t xml:space="preserve">SRWW 2020 </w:t>
      </w:r>
      <w:r w:rsidRPr="018C161B">
        <w:rPr>
          <w:lang w:eastAsia="pl-PL"/>
        </w:rPr>
        <w:t>podkreślono</w:t>
      </w:r>
      <w:r w:rsidRPr="018C161B">
        <w:rPr>
          <w:rFonts w:cs="Times New Roman"/>
          <w:lang w:eastAsia="pl-PL"/>
        </w:rPr>
        <w:t xml:space="preserve">, że pewne przedsięwzięcia leżą poza kompetencjami województwa i tylko w określonym stopniu </w:t>
      </w:r>
      <w:r w:rsidR="0033588B">
        <w:rPr>
          <w:rFonts w:cs="Times New Roman"/>
          <w:lang w:eastAsia="pl-PL"/>
        </w:rPr>
        <w:t>Samorząd może</w:t>
      </w:r>
      <w:r w:rsidRPr="018C161B">
        <w:rPr>
          <w:rFonts w:cs="Times New Roman"/>
          <w:lang w:eastAsia="pl-PL"/>
        </w:rPr>
        <w:t xml:space="preserve"> przyczyniać się do ich realizacji</w:t>
      </w:r>
      <w:r>
        <w:rPr>
          <w:rFonts w:cs="Times New Roman"/>
          <w:lang w:eastAsia="pl-PL"/>
        </w:rPr>
        <w:t xml:space="preserve"> </w:t>
      </w:r>
      <w:r>
        <w:rPr>
          <w:iCs/>
        </w:rPr>
        <w:t>(s.50)</w:t>
      </w:r>
      <w:r>
        <w:rPr>
          <w:rFonts w:cs="Times New Roman"/>
          <w:lang w:eastAsia="pl-PL"/>
        </w:rPr>
        <w:t xml:space="preserve">: </w:t>
      </w:r>
    </w:p>
    <w:p w14:paraId="5650BFD5" w14:textId="77777777" w:rsidR="002C2855" w:rsidRPr="008F0392" w:rsidRDefault="002C2855" w:rsidP="00624AA4">
      <w:pPr>
        <w:shd w:val="clear" w:color="auto" w:fill="FFE599"/>
      </w:pPr>
      <w:r w:rsidRPr="008F0392">
        <w:rPr>
          <w:i/>
          <w:iCs/>
        </w:rPr>
        <w:t>„</w:t>
      </w:r>
      <w:r w:rsidRPr="008F0392">
        <w:rPr>
          <w:iCs/>
        </w:rPr>
        <w:t>(…)</w:t>
      </w:r>
      <w:r>
        <w:rPr>
          <w:i/>
          <w:iCs/>
        </w:rPr>
        <w:t xml:space="preserve"> </w:t>
      </w:r>
      <w:r w:rsidRPr="008F0392">
        <w:rPr>
          <w:i/>
          <w:iCs/>
        </w:rPr>
        <w:t>Strategia dotyczy kompetencji Samorządu Województwa Wielkopolskiego oraz kompetencji Samorządu w zakresie wpływania na zachowania innych podmiotów (na przykład przez zarządzanie środkami własnymi i zewnętrznymi)”</w:t>
      </w:r>
      <w:r w:rsidRPr="008F0392">
        <w:t xml:space="preserve"> </w:t>
      </w:r>
    </w:p>
    <w:p w14:paraId="72DC34F4" w14:textId="77777777" w:rsidR="002C2855" w:rsidRDefault="002C2855" w:rsidP="002C2855">
      <w:pPr>
        <w:rPr>
          <w:lang w:eastAsia="pl-PL"/>
        </w:rPr>
      </w:pPr>
      <w:r w:rsidRPr="018C161B">
        <w:t>Wynika z tego, że Strategia realizowana jest we wszystkich wymienionych 3 trzech sferach.</w:t>
      </w:r>
    </w:p>
    <w:p w14:paraId="04E86809" w14:textId="77777777" w:rsidR="002C2855" w:rsidRDefault="002C2855" w:rsidP="00624AA4">
      <w:pPr>
        <w:pStyle w:val="Nagwek2"/>
      </w:pPr>
      <w:bookmarkStart w:id="176" w:name="_Toc536653111"/>
      <w:bookmarkStart w:id="177" w:name="_Toc1904783"/>
      <w:bookmarkStart w:id="178" w:name="_Toc5699477"/>
      <w:r>
        <w:t>Cele i kierunki interwencji a kompetencje</w:t>
      </w:r>
      <w:bookmarkEnd w:id="176"/>
      <w:bookmarkEnd w:id="177"/>
      <w:bookmarkEnd w:id="178"/>
    </w:p>
    <w:p w14:paraId="62EBCA41" w14:textId="77777777" w:rsidR="002C2855" w:rsidRPr="00BF08D5" w:rsidRDefault="002C2855" w:rsidP="00BF08D5">
      <w:pPr>
        <w:ind w:left="4536"/>
        <w:jc w:val="left"/>
        <w:rPr>
          <w:b/>
          <w:i/>
          <w:color w:val="001E50"/>
        </w:rPr>
      </w:pPr>
      <w:r w:rsidRPr="00BF08D5">
        <w:rPr>
          <w:b/>
          <w:i/>
          <w:color w:val="001E50"/>
        </w:rPr>
        <w:t>Kompetencje Samorządu są szerokie, ale wśród departamentów UM brakuje poczucia współodpowiedzialności za realizację Strategii</w:t>
      </w:r>
    </w:p>
    <w:p w14:paraId="0ABB072B" w14:textId="39D7B35D" w:rsidR="002C2855" w:rsidRDefault="002C2855" w:rsidP="002C2855">
      <w:pPr>
        <w:spacing w:after="160" w:line="259" w:lineRule="auto"/>
        <w:rPr>
          <w:rFonts w:cs="Times New Roman"/>
        </w:rPr>
      </w:pPr>
      <w:r w:rsidRPr="018C161B">
        <w:rPr>
          <w:rFonts w:cs="Times New Roman"/>
          <w:lang w:eastAsia="pl-PL"/>
        </w:rPr>
        <w:t>Zad</w:t>
      </w:r>
      <w:r>
        <w:rPr>
          <w:rFonts w:cs="Times New Roman"/>
          <w:lang w:eastAsia="pl-PL"/>
        </w:rPr>
        <w:t>a</w:t>
      </w:r>
      <w:r w:rsidRPr="018C161B">
        <w:rPr>
          <w:rFonts w:cs="Times New Roman"/>
          <w:lang w:eastAsia="pl-PL"/>
        </w:rPr>
        <w:t>nia samorządu</w:t>
      </w:r>
      <w:r w:rsidR="008D146A">
        <w:rPr>
          <w:rFonts w:cs="Times New Roman"/>
          <w:lang w:eastAsia="pl-PL"/>
        </w:rPr>
        <w:t>,</w:t>
      </w:r>
      <w:r w:rsidRPr="018C161B">
        <w:rPr>
          <w:rFonts w:cs="Times New Roman"/>
          <w:lang w:eastAsia="pl-PL"/>
        </w:rPr>
        <w:t xml:space="preserve"> choć prawnie uregulowane są zagadnieniem problematycznym, </w:t>
      </w:r>
      <w:r w:rsidR="008D146A">
        <w:rPr>
          <w:rFonts w:cs="Times New Roman"/>
          <w:lang w:eastAsia="pl-PL"/>
        </w:rPr>
        <w:t>ze względu na złożoność i tempo zachodzących zmian.</w:t>
      </w:r>
      <w:r w:rsidRPr="018C161B">
        <w:rPr>
          <w:rStyle w:val="Odwoanieprzypisudolnego"/>
          <w:lang w:eastAsia="pl-PL"/>
        </w:rPr>
        <w:t xml:space="preserve"> </w:t>
      </w:r>
      <w:r w:rsidRPr="018C161B">
        <w:rPr>
          <w:rFonts w:cs="Times New Roman"/>
        </w:rPr>
        <w:t xml:space="preserve">Ogrom zjawisk i procesów </w:t>
      </w:r>
      <w:r w:rsidR="008D146A">
        <w:rPr>
          <w:rFonts w:cs="Times New Roman"/>
        </w:rPr>
        <w:t>mających miejsce</w:t>
      </w:r>
      <w:r w:rsidRPr="018C161B">
        <w:rPr>
          <w:rFonts w:cs="Times New Roman"/>
        </w:rPr>
        <w:t xml:space="preserve"> na obszarze województwa, wpływających na poziom rozwoju regionalnego sprawia, że nie jest on wynikiem jedynie działalności samorządu, ale wielu różnych podmiotów z danego regionu</w:t>
      </w:r>
      <w:r>
        <w:rPr>
          <w:lang w:eastAsia="pl-PL"/>
        </w:rPr>
        <w:t xml:space="preserve"> (Dahlke 2017).</w:t>
      </w:r>
      <w:r w:rsidRPr="018C161B">
        <w:rPr>
          <w:rFonts w:cs="Times New Roman"/>
        </w:rPr>
        <w:t xml:space="preserve"> </w:t>
      </w:r>
    </w:p>
    <w:p w14:paraId="1BE3E739" w14:textId="56F7066A" w:rsidR="56862DA9" w:rsidRDefault="7AA741B9" w:rsidP="7AA741B9">
      <w:pPr>
        <w:shd w:val="clear" w:color="auto" w:fill="FFFFFF" w:themeFill="background1"/>
        <w:spacing w:after="160" w:line="259" w:lineRule="auto"/>
        <w:rPr>
          <w:lang w:eastAsia="pl-PL"/>
        </w:rPr>
      </w:pPr>
      <w:r w:rsidRPr="7AA741B9">
        <w:rPr>
          <w:lang w:eastAsia="pl-PL"/>
        </w:rPr>
        <w:t xml:space="preserve">Przegląd regulaminów organizacyjnych UMWW pozwala stwierdzić, że zakres pola interwencji pokrywa się z kompetencjami Urzędu, choćby w działaniach pośrednich (regulaminy uwzględniają także obszary współpracy z innymi instytucjami). Ogólny wniosek z przeglądu regulaminów jest taki, że dokumenty te w małym stopniu uwzględniają rolę Strategii. W większości zapisana jest informacja o współpracy przy opracowaniu i monitoringu Strategii, a zaledwie w nielicznych o jej realizacji. Przekłada się to także na postrzeganie przez departamenty, Strategii, jako dokumentu, za który odpowiedzialny jest Departament Polityki Regionalnej (często to stwierdzenie pojawiało się podczas wywiadów IDI). </w:t>
      </w:r>
      <w:r w:rsidRPr="7AA741B9">
        <w:rPr>
          <w:rFonts w:eastAsia="Calibri"/>
        </w:rPr>
        <w:t>Widoczna jest zatem potrzeba zmiany postrzegania SRWW 2020 i podkreślenia współodpowiedzialności za realizację jej założeń, przez wszystkie departamenty, bowiem Departament Polityki Regionalnej, jak zapisano w jego regulaminie organizacyjnym, jest jedynie „menadżerem” Strategii.</w:t>
      </w:r>
    </w:p>
    <w:p w14:paraId="02AEBEF3" w14:textId="77777777" w:rsidR="002C2855" w:rsidRDefault="7AA741B9" w:rsidP="7AA741B9">
      <w:pPr>
        <w:shd w:val="clear" w:color="auto" w:fill="FFFFFF" w:themeFill="background1"/>
        <w:spacing w:after="160" w:line="259" w:lineRule="auto"/>
        <w:rPr>
          <w:lang w:eastAsia="pl-PL"/>
        </w:rPr>
      </w:pPr>
      <w:r w:rsidRPr="7AA741B9">
        <w:rPr>
          <w:lang w:eastAsia="pl-PL"/>
        </w:rPr>
        <w:t xml:space="preserve">Na podstawie przeglądu regulaminów i obowiązujących ustaw, przygotowano macierz celów z podziałem na kompetencje Samorządu – </w:t>
      </w:r>
      <w:r w:rsidRPr="7AA741B9">
        <w:rPr>
          <w:b/>
          <w:bCs/>
          <w:lang w:eastAsia="pl-PL"/>
        </w:rPr>
        <w:t xml:space="preserve">B </w:t>
      </w:r>
      <w:r w:rsidRPr="7AA741B9">
        <w:rPr>
          <w:lang w:eastAsia="pl-PL"/>
        </w:rPr>
        <w:t xml:space="preserve">(bezpośrednie kompetencje); </w:t>
      </w:r>
      <w:r w:rsidRPr="7AA741B9">
        <w:rPr>
          <w:b/>
          <w:bCs/>
          <w:lang w:eastAsia="pl-PL"/>
        </w:rPr>
        <w:t xml:space="preserve">P </w:t>
      </w:r>
      <w:r w:rsidRPr="7AA741B9">
        <w:rPr>
          <w:lang w:eastAsia="pl-PL"/>
        </w:rPr>
        <w:t xml:space="preserve">(pośrednie odziaływanie) i </w:t>
      </w:r>
      <w:r w:rsidRPr="7AA741B9">
        <w:rPr>
          <w:b/>
          <w:bCs/>
          <w:lang w:eastAsia="pl-PL"/>
        </w:rPr>
        <w:t xml:space="preserve">O </w:t>
      </w:r>
      <w:r w:rsidRPr="7AA741B9">
        <w:rPr>
          <w:lang w:eastAsia="pl-PL"/>
        </w:rPr>
        <w:t xml:space="preserve">(sfera poza zakresem kompetencji – odziaływanie za pomocą działań promocyjnych, lobbingowych, doradczych etc.). Podział ten przygotowany został w oparciu o wyznaczone w ramach celów </w:t>
      </w:r>
      <w:r w:rsidRPr="7AA741B9">
        <w:rPr>
          <w:lang w:eastAsia="pl-PL"/>
        </w:rPr>
        <w:lastRenderedPageBreak/>
        <w:t>operacyjnych kierunki działań. Należy jednak założyć pewien margines błędu, ze względu na ich ogólny charakter.</w:t>
      </w:r>
    </w:p>
    <w:p w14:paraId="04E00FFA" w14:textId="2A36137E" w:rsidR="002C2855" w:rsidRPr="00F236F2" w:rsidRDefault="002C2855" w:rsidP="002C2855">
      <w:pPr>
        <w:pStyle w:val="Legenda"/>
        <w:rPr>
          <w:color w:val="000000" w:themeColor="text1"/>
          <w:szCs w:val="22"/>
        </w:rPr>
      </w:pPr>
      <w:bookmarkStart w:id="179" w:name="_Toc5699549"/>
      <w:r w:rsidRPr="00F236F2">
        <w:rPr>
          <w:color w:val="000000" w:themeColor="text1"/>
        </w:rPr>
        <w:t xml:space="preserve">Tabela </w:t>
      </w:r>
      <w:r w:rsidRPr="1FA2818E">
        <w:fldChar w:fldCharType="begin"/>
      </w:r>
      <w:r w:rsidRPr="00F236F2">
        <w:rPr>
          <w:noProof/>
          <w:color w:val="000000" w:themeColor="text1"/>
        </w:rPr>
        <w:instrText xml:space="preserve"> SEQ Tabela \* ARABIC </w:instrText>
      </w:r>
      <w:r w:rsidRPr="1FA2818E">
        <w:rPr>
          <w:noProof/>
          <w:color w:val="000000" w:themeColor="text1"/>
        </w:rPr>
        <w:fldChar w:fldCharType="separate"/>
      </w:r>
      <w:r w:rsidR="007F4FA2">
        <w:rPr>
          <w:noProof/>
          <w:color w:val="000000" w:themeColor="text1"/>
        </w:rPr>
        <w:t>16</w:t>
      </w:r>
      <w:r w:rsidRPr="1FA2818E">
        <w:fldChar w:fldCharType="end"/>
      </w:r>
      <w:r w:rsidRPr="00F236F2">
        <w:rPr>
          <w:color w:val="000000" w:themeColor="text1"/>
        </w:rPr>
        <w:t>. Wpływ Samorządu Województwa na realizację celów SRWW 2020</w:t>
      </w:r>
      <w:bookmarkEnd w:id="179"/>
      <w:r w:rsidRPr="00F236F2">
        <w:rPr>
          <w:color w:val="000000" w:themeColor="text1"/>
        </w:rPr>
        <w:t xml:space="preserve"> </w:t>
      </w:r>
    </w:p>
    <w:tbl>
      <w:tblPr>
        <w:tblStyle w:val="Zwykatabela2"/>
        <w:tblW w:w="9215" w:type="dxa"/>
        <w:tblBorders>
          <w:top w:val="none" w:sz="0" w:space="0" w:color="auto"/>
          <w:bottom w:val="single" w:sz="4" w:space="0" w:color="F6BB00"/>
          <w:insideH w:val="single" w:sz="4" w:space="0" w:color="F6BB00"/>
        </w:tblBorders>
        <w:tblLayout w:type="fixed"/>
        <w:tblLook w:val="04A0" w:firstRow="1" w:lastRow="0" w:firstColumn="1" w:lastColumn="0" w:noHBand="0" w:noVBand="1"/>
        <w:tblCaption w:val="Tabela 15. Wpływ Samorządu Województwa na realizację celów SRWW 2020 "/>
        <w:tblDescription w:val="Tabela przedstawia zakres kompetencji Samorządu w następującym podziale: B(bezpośrednie kompetencje); P(pośrednie odziaływanie) i O(sfera poza zakresem kompetencji. Z tabeli wynika, że Samorząd ma duży wpływ na realizację celów Strategii."/>
      </w:tblPr>
      <w:tblGrid>
        <w:gridCol w:w="2268"/>
        <w:gridCol w:w="6096"/>
        <w:gridCol w:w="284"/>
        <w:gridCol w:w="283"/>
        <w:gridCol w:w="284"/>
      </w:tblGrid>
      <w:tr w:rsidR="002C2855" w:rsidRPr="00F236F2" w14:paraId="151E97FF" w14:textId="77777777" w:rsidTr="00356C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nil"/>
              <w:bottom w:val="nil"/>
            </w:tcBorders>
            <w:shd w:val="clear" w:color="auto" w:fill="F6BB00"/>
            <w:vAlign w:val="center"/>
          </w:tcPr>
          <w:p w14:paraId="22D196EE" w14:textId="77777777" w:rsidR="002C2855" w:rsidRPr="00F236F2" w:rsidRDefault="002C2855" w:rsidP="00624AA4">
            <w:pPr>
              <w:spacing w:after="0"/>
              <w:jc w:val="left"/>
              <w:rPr>
                <w:rFonts w:asciiTheme="minorHAnsi" w:hAnsiTheme="minorHAnsi"/>
                <w:sz w:val="18"/>
                <w:szCs w:val="18"/>
              </w:rPr>
            </w:pPr>
            <w:r w:rsidRPr="00F236F2">
              <w:rPr>
                <w:rFonts w:asciiTheme="minorHAnsi" w:hAnsiTheme="minorHAnsi"/>
                <w:sz w:val="18"/>
                <w:szCs w:val="18"/>
              </w:rPr>
              <w:t>Cele strategiczne</w:t>
            </w:r>
          </w:p>
        </w:tc>
        <w:tc>
          <w:tcPr>
            <w:tcW w:w="6096" w:type="dxa"/>
            <w:vMerge w:val="restart"/>
            <w:tcBorders>
              <w:top w:val="nil"/>
              <w:bottom w:val="nil"/>
            </w:tcBorders>
            <w:shd w:val="clear" w:color="auto" w:fill="F6BB00"/>
            <w:vAlign w:val="center"/>
          </w:tcPr>
          <w:p w14:paraId="5D980044" w14:textId="77777777" w:rsidR="002C2855" w:rsidRPr="00F236F2" w:rsidRDefault="002C2855" w:rsidP="00624AA4">
            <w:pPr>
              <w:spacing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F236F2">
              <w:rPr>
                <w:rFonts w:asciiTheme="minorHAnsi" w:hAnsiTheme="minorHAnsi"/>
                <w:sz w:val="18"/>
                <w:szCs w:val="18"/>
              </w:rPr>
              <w:t>Cele operacyjne</w:t>
            </w:r>
          </w:p>
        </w:tc>
        <w:tc>
          <w:tcPr>
            <w:tcW w:w="851" w:type="dxa"/>
            <w:gridSpan w:val="3"/>
            <w:tcBorders>
              <w:top w:val="nil"/>
              <w:bottom w:val="nil"/>
            </w:tcBorders>
            <w:shd w:val="clear" w:color="auto" w:fill="F6BB00"/>
            <w:vAlign w:val="center"/>
          </w:tcPr>
          <w:p w14:paraId="2B4F1D2A" w14:textId="77777777" w:rsidR="002C2855" w:rsidRPr="00F236F2" w:rsidRDefault="002C2855" w:rsidP="00624AA4">
            <w:pPr>
              <w:spacing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F236F2">
              <w:rPr>
                <w:rFonts w:asciiTheme="minorHAnsi" w:hAnsiTheme="minorHAnsi"/>
                <w:sz w:val="18"/>
                <w:szCs w:val="18"/>
              </w:rPr>
              <w:t>Zakres</w:t>
            </w:r>
          </w:p>
        </w:tc>
      </w:tr>
      <w:tr w:rsidR="002C2855" w:rsidRPr="00F236F2" w14:paraId="3359EB20" w14:textId="77777777" w:rsidTr="00356C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vMerge/>
            <w:tcBorders>
              <w:top w:val="nil"/>
              <w:bottom w:val="nil"/>
            </w:tcBorders>
            <w:vAlign w:val="center"/>
          </w:tcPr>
          <w:p w14:paraId="51B9CCE7" w14:textId="77777777" w:rsidR="002C2855" w:rsidRPr="00F236F2" w:rsidRDefault="002C2855" w:rsidP="00624AA4">
            <w:pPr>
              <w:spacing w:after="0"/>
              <w:jc w:val="left"/>
              <w:rPr>
                <w:rFonts w:asciiTheme="minorHAnsi" w:hAnsiTheme="minorHAnsi"/>
                <w:sz w:val="18"/>
                <w:szCs w:val="18"/>
              </w:rPr>
            </w:pPr>
          </w:p>
        </w:tc>
        <w:tc>
          <w:tcPr>
            <w:tcW w:w="6096" w:type="dxa"/>
            <w:vMerge/>
            <w:tcBorders>
              <w:top w:val="nil"/>
              <w:bottom w:val="nil"/>
            </w:tcBorders>
            <w:vAlign w:val="center"/>
          </w:tcPr>
          <w:p w14:paraId="5FF6ADC1" w14:textId="77777777" w:rsidR="002C2855" w:rsidRPr="00F236F2" w:rsidRDefault="002C2855" w:rsidP="00624AA4">
            <w:pPr>
              <w:spacing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84" w:type="dxa"/>
            <w:tcBorders>
              <w:top w:val="nil"/>
              <w:bottom w:val="nil"/>
            </w:tcBorders>
            <w:shd w:val="clear" w:color="auto" w:fill="F6BB00"/>
            <w:vAlign w:val="center"/>
          </w:tcPr>
          <w:p w14:paraId="1574BE46" w14:textId="77777777" w:rsidR="002C2855" w:rsidRPr="00F236F2" w:rsidRDefault="002C2855" w:rsidP="00624AA4">
            <w:pPr>
              <w:spacing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F236F2">
              <w:rPr>
                <w:rFonts w:asciiTheme="minorHAnsi" w:hAnsiTheme="minorHAnsi" w:cs="Arial"/>
                <w:sz w:val="18"/>
                <w:szCs w:val="18"/>
              </w:rPr>
              <w:t>B</w:t>
            </w:r>
          </w:p>
        </w:tc>
        <w:tc>
          <w:tcPr>
            <w:tcW w:w="283" w:type="dxa"/>
            <w:tcBorders>
              <w:top w:val="nil"/>
              <w:bottom w:val="nil"/>
            </w:tcBorders>
            <w:shd w:val="clear" w:color="auto" w:fill="F6BB00"/>
            <w:vAlign w:val="center"/>
          </w:tcPr>
          <w:p w14:paraId="3AB45241" w14:textId="77777777" w:rsidR="002C2855" w:rsidRPr="00F236F2" w:rsidRDefault="002C2855" w:rsidP="00624AA4">
            <w:pPr>
              <w:spacing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F236F2">
              <w:rPr>
                <w:rFonts w:asciiTheme="minorHAnsi" w:hAnsiTheme="minorHAnsi"/>
                <w:sz w:val="18"/>
                <w:szCs w:val="18"/>
              </w:rPr>
              <w:t>P</w:t>
            </w:r>
          </w:p>
        </w:tc>
        <w:tc>
          <w:tcPr>
            <w:tcW w:w="284" w:type="dxa"/>
            <w:tcBorders>
              <w:top w:val="nil"/>
              <w:bottom w:val="nil"/>
            </w:tcBorders>
            <w:shd w:val="clear" w:color="auto" w:fill="F6BB00"/>
            <w:vAlign w:val="center"/>
          </w:tcPr>
          <w:p w14:paraId="32C464C0" w14:textId="77777777" w:rsidR="002C2855" w:rsidRPr="00F236F2" w:rsidRDefault="002C2855" w:rsidP="00624AA4">
            <w:pPr>
              <w:spacing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F236F2">
              <w:rPr>
                <w:rFonts w:asciiTheme="minorHAnsi" w:hAnsiTheme="minorHAnsi"/>
                <w:sz w:val="18"/>
                <w:szCs w:val="18"/>
              </w:rPr>
              <w:t>O</w:t>
            </w:r>
          </w:p>
        </w:tc>
      </w:tr>
      <w:tr w:rsidR="002C2855" w:rsidRPr="00F236F2" w14:paraId="52D0C78A" w14:textId="77777777" w:rsidTr="00356C6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nil"/>
              <w:bottom w:val="none" w:sz="0" w:space="0" w:color="auto"/>
            </w:tcBorders>
            <w:vAlign w:val="center"/>
          </w:tcPr>
          <w:p w14:paraId="1B9DE825" w14:textId="77777777" w:rsidR="002C2855" w:rsidRPr="006F4057" w:rsidRDefault="002C2855" w:rsidP="006F4057">
            <w:pPr>
              <w:pStyle w:val="Default"/>
              <w:spacing w:after="0"/>
              <w:rPr>
                <w:rFonts w:asciiTheme="minorHAnsi" w:hAnsiTheme="minorHAnsi"/>
                <w:color w:val="000000" w:themeColor="text1"/>
                <w:sz w:val="18"/>
                <w:szCs w:val="18"/>
              </w:rPr>
            </w:pPr>
            <w:r w:rsidRPr="00F236F2">
              <w:rPr>
                <w:rFonts w:asciiTheme="minorHAnsi" w:hAnsiTheme="minorHAnsi"/>
                <w:color w:val="000000" w:themeColor="text1"/>
                <w:sz w:val="18"/>
                <w:szCs w:val="18"/>
              </w:rPr>
              <w:t>1. Poprawa dostępności i s</w:t>
            </w:r>
            <w:r w:rsidR="006F4057">
              <w:rPr>
                <w:rFonts w:asciiTheme="minorHAnsi" w:hAnsiTheme="minorHAnsi"/>
                <w:color w:val="000000" w:themeColor="text1"/>
                <w:sz w:val="18"/>
                <w:szCs w:val="18"/>
              </w:rPr>
              <w:t>pójności komunikacyjnej regionu</w:t>
            </w:r>
          </w:p>
        </w:tc>
        <w:tc>
          <w:tcPr>
            <w:tcW w:w="6096" w:type="dxa"/>
            <w:tcBorders>
              <w:top w:val="nil"/>
              <w:bottom w:val="none" w:sz="0" w:space="0" w:color="auto"/>
            </w:tcBorders>
            <w:vAlign w:val="center"/>
          </w:tcPr>
          <w:p w14:paraId="13DF8BCA" w14:textId="77777777" w:rsidR="002C2855" w:rsidRPr="00F236F2" w:rsidRDefault="002C2855" w:rsidP="00624AA4">
            <w:pPr>
              <w:pStyle w:val="Defaul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sidRPr="00F236F2">
              <w:rPr>
                <w:rFonts w:asciiTheme="minorHAnsi" w:hAnsiTheme="minorHAnsi"/>
                <w:color w:val="000000" w:themeColor="text1"/>
                <w:sz w:val="18"/>
                <w:szCs w:val="18"/>
              </w:rPr>
              <w:t xml:space="preserve">1.1. Zwiększenie spójności sieci drogowej </w:t>
            </w:r>
          </w:p>
        </w:tc>
        <w:tc>
          <w:tcPr>
            <w:tcW w:w="284" w:type="dxa"/>
            <w:tcBorders>
              <w:top w:val="nil"/>
              <w:bottom w:val="none" w:sz="0" w:space="0" w:color="auto"/>
            </w:tcBorders>
            <w:shd w:val="clear" w:color="auto" w:fill="FFE599" w:themeFill="accent4" w:themeFillTint="66"/>
            <w:vAlign w:val="center"/>
          </w:tcPr>
          <w:p w14:paraId="02028EA4"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3" w:type="dxa"/>
            <w:tcBorders>
              <w:top w:val="nil"/>
              <w:bottom w:val="none" w:sz="0" w:space="0" w:color="auto"/>
            </w:tcBorders>
            <w:shd w:val="clear" w:color="auto" w:fill="FFE599" w:themeFill="accent4" w:themeFillTint="66"/>
            <w:vAlign w:val="center"/>
          </w:tcPr>
          <w:p w14:paraId="3726DD48"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4" w:type="dxa"/>
            <w:tcBorders>
              <w:top w:val="nil"/>
              <w:bottom w:val="none" w:sz="0" w:space="0" w:color="auto"/>
            </w:tcBorders>
            <w:shd w:val="clear" w:color="auto" w:fill="FFE599" w:themeFill="accent4" w:themeFillTint="66"/>
            <w:vAlign w:val="center"/>
          </w:tcPr>
          <w:p w14:paraId="6903D35F"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r>
      <w:tr w:rsidR="002C2855" w:rsidRPr="00F236F2" w14:paraId="56D6BB0A" w14:textId="77777777" w:rsidTr="7AA741B9">
        <w:trPr>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2E83E5C8"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vAlign w:val="center"/>
          </w:tcPr>
          <w:p w14:paraId="1512EBAC" w14:textId="77777777" w:rsidR="002C2855" w:rsidRPr="00F236F2" w:rsidRDefault="002C2855" w:rsidP="00624AA4">
            <w:pPr>
              <w:pStyle w:val="Defaul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F236F2">
              <w:rPr>
                <w:rFonts w:asciiTheme="minorHAnsi" w:hAnsiTheme="minorHAnsi"/>
                <w:color w:val="000000" w:themeColor="text1"/>
                <w:sz w:val="18"/>
                <w:szCs w:val="18"/>
              </w:rPr>
              <w:t>1.2. Wzrost różnorodności oraz upowszechnianie efektywnych form transportu</w:t>
            </w:r>
          </w:p>
        </w:tc>
        <w:tc>
          <w:tcPr>
            <w:tcW w:w="284" w:type="dxa"/>
            <w:shd w:val="clear" w:color="auto" w:fill="FFE599" w:themeFill="accent4" w:themeFillTint="66"/>
            <w:vAlign w:val="center"/>
          </w:tcPr>
          <w:p w14:paraId="11E7D9F0"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3" w:type="dxa"/>
            <w:shd w:val="clear" w:color="auto" w:fill="FFE599" w:themeFill="accent4" w:themeFillTint="66"/>
            <w:vAlign w:val="center"/>
          </w:tcPr>
          <w:p w14:paraId="06A0855D"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4" w:type="dxa"/>
            <w:shd w:val="clear" w:color="auto" w:fill="FFE599" w:themeFill="accent4" w:themeFillTint="66"/>
            <w:vAlign w:val="center"/>
          </w:tcPr>
          <w:p w14:paraId="5728E49A"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r>
      <w:tr w:rsidR="002C2855" w:rsidRPr="00F236F2" w14:paraId="3860B6F9" w14:textId="77777777" w:rsidTr="7AA741B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6D25956"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tcBorders>
              <w:top w:val="none" w:sz="0" w:space="0" w:color="auto"/>
              <w:bottom w:val="none" w:sz="0" w:space="0" w:color="auto"/>
            </w:tcBorders>
            <w:vAlign w:val="center"/>
          </w:tcPr>
          <w:p w14:paraId="4EB9DE88" w14:textId="77777777" w:rsidR="002C2855" w:rsidRPr="00F236F2" w:rsidRDefault="002C2855" w:rsidP="00624AA4">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imes New Roman"/>
                <w:sz w:val="18"/>
                <w:szCs w:val="18"/>
              </w:rPr>
            </w:pPr>
            <w:r w:rsidRPr="00F236F2">
              <w:rPr>
                <w:rFonts w:asciiTheme="minorHAnsi" w:eastAsiaTheme="minorHAnsi" w:hAnsiTheme="minorHAnsi" w:cs="Times New Roman"/>
                <w:sz w:val="18"/>
                <w:szCs w:val="18"/>
              </w:rPr>
              <w:t xml:space="preserve">1.3. Rozbudowa infrastruktury na rzecz społeczeństwa informacyjnego </w:t>
            </w:r>
          </w:p>
        </w:tc>
        <w:tc>
          <w:tcPr>
            <w:tcW w:w="284" w:type="dxa"/>
            <w:tcBorders>
              <w:top w:val="none" w:sz="0" w:space="0" w:color="auto"/>
              <w:bottom w:val="none" w:sz="0" w:space="0" w:color="auto"/>
            </w:tcBorders>
            <w:shd w:val="clear" w:color="auto" w:fill="FFE599" w:themeFill="accent4" w:themeFillTint="66"/>
            <w:vAlign w:val="center"/>
          </w:tcPr>
          <w:p w14:paraId="4B9ADA47"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3" w:type="dxa"/>
            <w:tcBorders>
              <w:top w:val="none" w:sz="0" w:space="0" w:color="auto"/>
              <w:bottom w:val="none" w:sz="0" w:space="0" w:color="auto"/>
            </w:tcBorders>
            <w:shd w:val="clear" w:color="auto" w:fill="FFE599" w:themeFill="accent4" w:themeFillTint="66"/>
            <w:vAlign w:val="center"/>
          </w:tcPr>
          <w:p w14:paraId="0EB4AB97"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4" w:type="dxa"/>
            <w:tcBorders>
              <w:top w:val="none" w:sz="0" w:space="0" w:color="auto"/>
              <w:bottom w:val="none" w:sz="0" w:space="0" w:color="auto"/>
            </w:tcBorders>
            <w:vAlign w:val="center"/>
          </w:tcPr>
          <w:p w14:paraId="44277282"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r>
      <w:tr w:rsidR="002C2855" w:rsidRPr="00F236F2" w14:paraId="2EE3C06E" w14:textId="77777777" w:rsidTr="7AA741B9">
        <w:trPr>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1584ED0"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vAlign w:val="center"/>
          </w:tcPr>
          <w:p w14:paraId="63D47207" w14:textId="77777777" w:rsidR="002C2855" w:rsidRPr="00F236F2" w:rsidRDefault="002C2855" w:rsidP="00624AA4">
            <w:pPr>
              <w:pStyle w:val="Defaul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F236F2">
              <w:rPr>
                <w:rFonts w:asciiTheme="minorHAnsi" w:eastAsiaTheme="minorHAnsi" w:hAnsiTheme="minorHAnsi" w:cs="Times New Roman"/>
                <w:color w:val="000000" w:themeColor="text1"/>
                <w:sz w:val="18"/>
                <w:szCs w:val="18"/>
              </w:rPr>
              <w:t>1.4. Lepsze wykorzystanie dróg wodnych</w:t>
            </w:r>
          </w:p>
        </w:tc>
        <w:tc>
          <w:tcPr>
            <w:tcW w:w="284" w:type="dxa"/>
            <w:shd w:val="clear" w:color="auto" w:fill="FFE599" w:themeFill="accent4" w:themeFillTint="66"/>
            <w:vAlign w:val="center"/>
          </w:tcPr>
          <w:p w14:paraId="6827691B"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3" w:type="dxa"/>
            <w:shd w:val="clear" w:color="auto" w:fill="FFE599" w:themeFill="accent4" w:themeFillTint="66"/>
            <w:vAlign w:val="center"/>
          </w:tcPr>
          <w:p w14:paraId="4AF82698"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4" w:type="dxa"/>
            <w:shd w:val="clear" w:color="auto" w:fill="FFE599" w:themeFill="accent4" w:themeFillTint="66"/>
            <w:vAlign w:val="center"/>
          </w:tcPr>
          <w:p w14:paraId="2CED83BD"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r>
      <w:tr w:rsidR="002C2855" w:rsidRPr="00F236F2" w14:paraId="2BCE25A1" w14:textId="77777777" w:rsidTr="7AA741B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259FC79"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tcBorders>
              <w:top w:val="none" w:sz="0" w:space="0" w:color="auto"/>
              <w:bottom w:val="none" w:sz="0" w:space="0" w:color="auto"/>
            </w:tcBorders>
            <w:vAlign w:val="center"/>
          </w:tcPr>
          <w:p w14:paraId="013796DC" w14:textId="77777777" w:rsidR="002C2855" w:rsidRPr="00F236F2" w:rsidRDefault="002C2855" w:rsidP="00624AA4">
            <w:pPr>
              <w:pStyle w:val="Defaul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sidRPr="00F236F2">
              <w:rPr>
                <w:rFonts w:asciiTheme="minorHAnsi" w:eastAsiaTheme="minorHAnsi" w:hAnsiTheme="minorHAnsi" w:cs="Times New Roman"/>
                <w:color w:val="000000" w:themeColor="text1"/>
                <w:sz w:val="18"/>
                <w:szCs w:val="18"/>
              </w:rPr>
              <w:t>1.5. Rozwój transportu zbiorowego</w:t>
            </w:r>
          </w:p>
        </w:tc>
        <w:tc>
          <w:tcPr>
            <w:tcW w:w="284" w:type="dxa"/>
            <w:tcBorders>
              <w:top w:val="none" w:sz="0" w:space="0" w:color="auto"/>
              <w:bottom w:val="none" w:sz="0" w:space="0" w:color="auto"/>
            </w:tcBorders>
            <w:shd w:val="clear" w:color="auto" w:fill="FFE599" w:themeFill="accent4" w:themeFillTint="66"/>
            <w:vAlign w:val="center"/>
          </w:tcPr>
          <w:p w14:paraId="4CA334C9"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3" w:type="dxa"/>
            <w:tcBorders>
              <w:top w:val="none" w:sz="0" w:space="0" w:color="auto"/>
              <w:bottom w:val="none" w:sz="0" w:space="0" w:color="auto"/>
            </w:tcBorders>
            <w:shd w:val="clear" w:color="auto" w:fill="FFE599" w:themeFill="accent4" w:themeFillTint="66"/>
            <w:vAlign w:val="center"/>
          </w:tcPr>
          <w:p w14:paraId="2C2CEC12"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4" w:type="dxa"/>
            <w:tcBorders>
              <w:top w:val="none" w:sz="0" w:space="0" w:color="auto"/>
              <w:bottom w:val="none" w:sz="0" w:space="0" w:color="auto"/>
            </w:tcBorders>
            <w:shd w:val="clear" w:color="auto" w:fill="FFE599" w:themeFill="accent4" w:themeFillTint="66"/>
            <w:vAlign w:val="center"/>
          </w:tcPr>
          <w:p w14:paraId="526946CE"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r>
      <w:tr w:rsidR="002C2855" w:rsidRPr="00F236F2" w14:paraId="2B1FDCFB" w14:textId="77777777" w:rsidTr="7AA741B9">
        <w:trPr>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E864E55"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vAlign w:val="center"/>
          </w:tcPr>
          <w:p w14:paraId="2177D93D" w14:textId="77777777" w:rsidR="002C2855" w:rsidRPr="00F236F2" w:rsidRDefault="002C2855" w:rsidP="00624AA4">
            <w:pPr>
              <w:pStyle w:val="Defaul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F236F2">
              <w:rPr>
                <w:rFonts w:asciiTheme="minorHAnsi" w:eastAsiaTheme="minorHAnsi" w:hAnsiTheme="minorHAnsi" w:cs="Times New Roman"/>
                <w:color w:val="000000" w:themeColor="text1"/>
                <w:sz w:val="18"/>
                <w:szCs w:val="18"/>
              </w:rPr>
              <w:t>1.6. Rozwój komunikacji lotniczej</w:t>
            </w:r>
          </w:p>
        </w:tc>
        <w:tc>
          <w:tcPr>
            <w:tcW w:w="284" w:type="dxa"/>
            <w:shd w:val="clear" w:color="auto" w:fill="FFE599" w:themeFill="accent4" w:themeFillTint="66"/>
            <w:vAlign w:val="center"/>
          </w:tcPr>
          <w:p w14:paraId="0DD5C225"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3" w:type="dxa"/>
            <w:shd w:val="clear" w:color="auto" w:fill="FFE599" w:themeFill="accent4" w:themeFillTint="66"/>
            <w:vAlign w:val="center"/>
          </w:tcPr>
          <w:p w14:paraId="5C85B5C5"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4" w:type="dxa"/>
            <w:shd w:val="clear" w:color="auto" w:fill="FFE599" w:themeFill="accent4" w:themeFillTint="66"/>
            <w:vAlign w:val="center"/>
          </w:tcPr>
          <w:p w14:paraId="109B267A"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r>
      <w:tr w:rsidR="002C2855" w:rsidRPr="00F236F2" w14:paraId="07FB57E0" w14:textId="77777777" w:rsidTr="7AA741B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none" w:sz="0" w:space="0" w:color="auto"/>
              <w:bottom w:val="none" w:sz="0" w:space="0" w:color="auto"/>
            </w:tcBorders>
            <w:vAlign w:val="center"/>
          </w:tcPr>
          <w:p w14:paraId="006D47AE" w14:textId="77777777" w:rsidR="002C2855" w:rsidRPr="006F4057" w:rsidRDefault="002C2855" w:rsidP="006F4057">
            <w:pPr>
              <w:pStyle w:val="Default"/>
              <w:spacing w:after="0"/>
              <w:rPr>
                <w:rFonts w:asciiTheme="minorHAnsi" w:hAnsiTheme="minorHAnsi"/>
                <w:color w:val="000000" w:themeColor="text1"/>
                <w:sz w:val="18"/>
                <w:szCs w:val="18"/>
              </w:rPr>
            </w:pPr>
            <w:r w:rsidRPr="00F236F2">
              <w:rPr>
                <w:rFonts w:asciiTheme="minorHAnsi" w:hAnsiTheme="minorHAnsi"/>
                <w:color w:val="000000" w:themeColor="text1"/>
                <w:sz w:val="18"/>
                <w:szCs w:val="18"/>
              </w:rPr>
              <w:t>2. Poprawa stanu środowiska i racjonaln</w:t>
            </w:r>
            <w:r w:rsidR="006F4057">
              <w:rPr>
                <w:rFonts w:asciiTheme="minorHAnsi" w:hAnsiTheme="minorHAnsi"/>
                <w:color w:val="000000" w:themeColor="text1"/>
                <w:sz w:val="18"/>
                <w:szCs w:val="18"/>
              </w:rPr>
              <w:t xml:space="preserve">e gospodarowanie jego zasobami </w:t>
            </w:r>
          </w:p>
        </w:tc>
        <w:tc>
          <w:tcPr>
            <w:tcW w:w="6096" w:type="dxa"/>
            <w:tcBorders>
              <w:top w:val="none" w:sz="0" w:space="0" w:color="auto"/>
              <w:bottom w:val="none" w:sz="0" w:space="0" w:color="auto"/>
            </w:tcBorders>
            <w:vAlign w:val="center"/>
          </w:tcPr>
          <w:p w14:paraId="7B637E0D" w14:textId="77777777" w:rsidR="002C2855" w:rsidRPr="00F236F2" w:rsidRDefault="002C2855" w:rsidP="00624AA4">
            <w:pPr>
              <w:pStyle w:val="Defaul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sidRPr="00F236F2">
              <w:rPr>
                <w:rFonts w:asciiTheme="minorHAnsi" w:hAnsiTheme="minorHAnsi"/>
                <w:color w:val="000000" w:themeColor="text1"/>
                <w:sz w:val="18"/>
                <w:szCs w:val="18"/>
              </w:rPr>
              <w:t>2.1. Wsparcie ochrony przyrody</w:t>
            </w:r>
          </w:p>
        </w:tc>
        <w:tc>
          <w:tcPr>
            <w:tcW w:w="284" w:type="dxa"/>
            <w:tcBorders>
              <w:top w:val="none" w:sz="0" w:space="0" w:color="auto"/>
              <w:bottom w:val="none" w:sz="0" w:space="0" w:color="auto"/>
            </w:tcBorders>
            <w:shd w:val="clear" w:color="auto" w:fill="FFE599" w:themeFill="accent4" w:themeFillTint="66"/>
            <w:vAlign w:val="center"/>
          </w:tcPr>
          <w:p w14:paraId="32E7C07F"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3" w:type="dxa"/>
            <w:tcBorders>
              <w:top w:val="none" w:sz="0" w:space="0" w:color="auto"/>
              <w:bottom w:val="none" w:sz="0" w:space="0" w:color="auto"/>
            </w:tcBorders>
            <w:shd w:val="clear" w:color="auto" w:fill="FFE599" w:themeFill="accent4" w:themeFillTint="66"/>
            <w:vAlign w:val="center"/>
          </w:tcPr>
          <w:p w14:paraId="7FD08C3E"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4" w:type="dxa"/>
            <w:tcBorders>
              <w:top w:val="none" w:sz="0" w:space="0" w:color="auto"/>
              <w:bottom w:val="none" w:sz="0" w:space="0" w:color="auto"/>
            </w:tcBorders>
            <w:vAlign w:val="center"/>
          </w:tcPr>
          <w:p w14:paraId="7EA12AFE"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2C2855" w:rsidRPr="00F236F2" w14:paraId="1DFF8430" w14:textId="77777777" w:rsidTr="7AA741B9">
        <w:trPr>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5066DAC1"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vAlign w:val="center"/>
          </w:tcPr>
          <w:p w14:paraId="14E308AA" w14:textId="77777777" w:rsidR="002C2855" w:rsidRPr="00F236F2" w:rsidRDefault="002C2855" w:rsidP="00624AA4">
            <w:pPr>
              <w:pStyle w:val="Defaul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F236F2">
              <w:rPr>
                <w:rFonts w:asciiTheme="minorHAnsi" w:hAnsiTheme="minorHAnsi"/>
                <w:color w:val="000000" w:themeColor="text1"/>
                <w:sz w:val="18"/>
                <w:szCs w:val="18"/>
              </w:rPr>
              <w:t xml:space="preserve">2.2. Ochrona krajobrazu </w:t>
            </w:r>
          </w:p>
        </w:tc>
        <w:tc>
          <w:tcPr>
            <w:tcW w:w="284" w:type="dxa"/>
            <w:shd w:val="clear" w:color="auto" w:fill="FFE599" w:themeFill="accent4" w:themeFillTint="66"/>
            <w:vAlign w:val="center"/>
          </w:tcPr>
          <w:p w14:paraId="64D02079"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83" w:type="dxa"/>
            <w:shd w:val="clear" w:color="auto" w:fill="FFE599" w:themeFill="accent4" w:themeFillTint="66"/>
            <w:vAlign w:val="center"/>
          </w:tcPr>
          <w:p w14:paraId="1F7A9D12"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84" w:type="dxa"/>
            <w:vAlign w:val="center"/>
          </w:tcPr>
          <w:p w14:paraId="3DE89095"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2C2855" w:rsidRPr="00F236F2" w14:paraId="29B22249" w14:textId="77777777" w:rsidTr="7AA741B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E7EFA07"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tcBorders>
              <w:top w:val="none" w:sz="0" w:space="0" w:color="auto"/>
              <w:bottom w:val="none" w:sz="0" w:space="0" w:color="auto"/>
            </w:tcBorders>
            <w:vAlign w:val="center"/>
          </w:tcPr>
          <w:p w14:paraId="184AE185" w14:textId="77777777" w:rsidR="002C2855" w:rsidRPr="00F236F2" w:rsidRDefault="002C2855" w:rsidP="00624AA4">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imes New Roman"/>
                <w:sz w:val="18"/>
                <w:szCs w:val="18"/>
              </w:rPr>
            </w:pPr>
            <w:r w:rsidRPr="00F236F2">
              <w:rPr>
                <w:rFonts w:asciiTheme="minorHAnsi" w:eastAsiaTheme="minorHAnsi" w:hAnsiTheme="minorHAnsi" w:cs="Times New Roman"/>
                <w:sz w:val="18"/>
                <w:szCs w:val="18"/>
              </w:rPr>
              <w:t xml:space="preserve">2.3. Ochrona zasobów leśnych i racjonalne ich wykorzystanie </w:t>
            </w:r>
          </w:p>
        </w:tc>
        <w:tc>
          <w:tcPr>
            <w:tcW w:w="284" w:type="dxa"/>
            <w:tcBorders>
              <w:top w:val="none" w:sz="0" w:space="0" w:color="auto"/>
              <w:bottom w:val="none" w:sz="0" w:space="0" w:color="auto"/>
            </w:tcBorders>
            <w:shd w:val="clear" w:color="auto" w:fill="FFE599" w:themeFill="accent4" w:themeFillTint="66"/>
            <w:vAlign w:val="center"/>
          </w:tcPr>
          <w:p w14:paraId="0BBA7247"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3" w:type="dxa"/>
            <w:tcBorders>
              <w:top w:val="none" w:sz="0" w:space="0" w:color="auto"/>
              <w:bottom w:val="none" w:sz="0" w:space="0" w:color="auto"/>
            </w:tcBorders>
            <w:shd w:val="clear" w:color="auto" w:fill="FFE599" w:themeFill="accent4" w:themeFillTint="66"/>
            <w:vAlign w:val="center"/>
          </w:tcPr>
          <w:p w14:paraId="0ABEC1CC"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4" w:type="dxa"/>
            <w:tcBorders>
              <w:top w:val="none" w:sz="0" w:space="0" w:color="auto"/>
              <w:bottom w:val="none" w:sz="0" w:space="0" w:color="auto"/>
            </w:tcBorders>
            <w:shd w:val="clear" w:color="auto" w:fill="FFE599" w:themeFill="accent4" w:themeFillTint="66"/>
            <w:vAlign w:val="center"/>
          </w:tcPr>
          <w:p w14:paraId="531D64D5"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r>
      <w:tr w:rsidR="002C2855" w:rsidRPr="00F236F2" w14:paraId="599BD17A" w14:textId="77777777" w:rsidTr="7AA741B9">
        <w:trPr>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31DA1B5E"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vAlign w:val="center"/>
          </w:tcPr>
          <w:p w14:paraId="1758BE9E" w14:textId="77777777" w:rsidR="002C2855" w:rsidRPr="00F236F2" w:rsidRDefault="002C2855" w:rsidP="00624AA4">
            <w:pPr>
              <w:pStyle w:val="Defaul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F236F2">
              <w:rPr>
                <w:rFonts w:asciiTheme="minorHAnsi" w:hAnsiTheme="minorHAnsi"/>
                <w:color w:val="000000" w:themeColor="text1"/>
                <w:sz w:val="18"/>
                <w:szCs w:val="18"/>
              </w:rPr>
              <w:t>2.4. Wykorzystanie, racjonalizacja gospodarki zasobami kopalin oraz ograniczanie skutków ich eksploatacji</w:t>
            </w:r>
          </w:p>
        </w:tc>
        <w:tc>
          <w:tcPr>
            <w:tcW w:w="284" w:type="dxa"/>
            <w:shd w:val="clear" w:color="auto" w:fill="FFE599" w:themeFill="accent4" w:themeFillTint="66"/>
            <w:vAlign w:val="center"/>
          </w:tcPr>
          <w:p w14:paraId="4295623B"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83" w:type="dxa"/>
            <w:shd w:val="clear" w:color="auto" w:fill="FFE599" w:themeFill="accent4" w:themeFillTint="66"/>
            <w:vAlign w:val="center"/>
          </w:tcPr>
          <w:p w14:paraId="77E63910"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84" w:type="dxa"/>
            <w:shd w:val="clear" w:color="auto" w:fill="FFE599" w:themeFill="accent4" w:themeFillTint="66"/>
            <w:vAlign w:val="center"/>
          </w:tcPr>
          <w:p w14:paraId="56280D87"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2C2855" w:rsidRPr="00F236F2" w14:paraId="259FCABB" w14:textId="77777777" w:rsidTr="7AA741B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49C02291"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tcBorders>
              <w:top w:val="none" w:sz="0" w:space="0" w:color="auto"/>
              <w:bottom w:val="none" w:sz="0" w:space="0" w:color="auto"/>
            </w:tcBorders>
            <w:vAlign w:val="center"/>
          </w:tcPr>
          <w:p w14:paraId="6AFAE812" w14:textId="77777777" w:rsidR="002C2855" w:rsidRPr="00F236F2" w:rsidRDefault="002C2855" w:rsidP="00624AA4">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236F2">
              <w:rPr>
                <w:rFonts w:asciiTheme="minorHAnsi" w:eastAsiaTheme="minorHAnsi" w:hAnsiTheme="minorHAnsi" w:cs="Times New Roman"/>
                <w:sz w:val="18"/>
                <w:szCs w:val="18"/>
              </w:rPr>
              <w:t>2.5 Ograniczanie emisji substancji do atmosfery</w:t>
            </w:r>
          </w:p>
        </w:tc>
        <w:tc>
          <w:tcPr>
            <w:tcW w:w="284" w:type="dxa"/>
            <w:tcBorders>
              <w:top w:val="none" w:sz="0" w:space="0" w:color="auto"/>
              <w:bottom w:val="none" w:sz="0" w:space="0" w:color="auto"/>
            </w:tcBorders>
            <w:shd w:val="clear" w:color="auto" w:fill="FFE599" w:themeFill="accent4" w:themeFillTint="66"/>
            <w:vAlign w:val="center"/>
          </w:tcPr>
          <w:p w14:paraId="36A5DABF"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3" w:type="dxa"/>
            <w:tcBorders>
              <w:top w:val="none" w:sz="0" w:space="0" w:color="auto"/>
              <w:bottom w:val="none" w:sz="0" w:space="0" w:color="auto"/>
            </w:tcBorders>
            <w:shd w:val="clear" w:color="auto" w:fill="FFE599" w:themeFill="accent4" w:themeFillTint="66"/>
            <w:vAlign w:val="center"/>
          </w:tcPr>
          <w:p w14:paraId="13C5B3EC"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4" w:type="dxa"/>
            <w:tcBorders>
              <w:top w:val="none" w:sz="0" w:space="0" w:color="auto"/>
              <w:bottom w:val="none" w:sz="0" w:space="0" w:color="auto"/>
            </w:tcBorders>
            <w:vAlign w:val="center"/>
          </w:tcPr>
          <w:p w14:paraId="229412BE"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2C2855" w:rsidRPr="00F236F2" w14:paraId="4062D4A7" w14:textId="77777777" w:rsidTr="7AA741B9">
        <w:trPr>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E313B40"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vAlign w:val="center"/>
          </w:tcPr>
          <w:p w14:paraId="41BB05DA" w14:textId="77777777" w:rsidR="002C2855" w:rsidRPr="00F236F2" w:rsidRDefault="002C2855" w:rsidP="00624AA4">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236F2">
              <w:rPr>
                <w:rFonts w:asciiTheme="minorHAnsi" w:eastAsiaTheme="minorHAnsi" w:hAnsiTheme="minorHAnsi" w:cs="Times New Roman"/>
                <w:sz w:val="18"/>
                <w:szCs w:val="18"/>
              </w:rPr>
              <w:t xml:space="preserve">2.6. Uporządkowanie gospodarki odpadami </w:t>
            </w:r>
          </w:p>
        </w:tc>
        <w:tc>
          <w:tcPr>
            <w:tcW w:w="284" w:type="dxa"/>
            <w:shd w:val="clear" w:color="auto" w:fill="FFFFFF" w:themeFill="background1"/>
            <w:vAlign w:val="center"/>
          </w:tcPr>
          <w:p w14:paraId="3EDC62EC"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83" w:type="dxa"/>
            <w:shd w:val="clear" w:color="auto" w:fill="FFE599" w:themeFill="accent4" w:themeFillTint="66"/>
            <w:vAlign w:val="center"/>
          </w:tcPr>
          <w:p w14:paraId="27CBD2B3"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84" w:type="dxa"/>
            <w:vAlign w:val="center"/>
          </w:tcPr>
          <w:p w14:paraId="515EE422"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2C2855" w:rsidRPr="00F236F2" w14:paraId="049A10D8" w14:textId="77777777" w:rsidTr="7AA741B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2A84DE84"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tcBorders>
              <w:top w:val="none" w:sz="0" w:space="0" w:color="auto"/>
              <w:bottom w:val="none" w:sz="0" w:space="0" w:color="auto"/>
            </w:tcBorders>
            <w:vAlign w:val="center"/>
          </w:tcPr>
          <w:p w14:paraId="46592B3F" w14:textId="77777777" w:rsidR="002C2855" w:rsidRPr="00F236F2" w:rsidRDefault="002C2855" w:rsidP="00624AA4">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18"/>
                <w:szCs w:val="18"/>
              </w:rPr>
            </w:pPr>
            <w:r w:rsidRPr="00F236F2">
              <w:rPr>
                <w:rFonts w:asciiTheme="minorHAnsi" w:eastAsiaTheme="minorHAnsi" w:hAnsiTheme="minorHAnsi" w:cs="Times New Roman"/>
                <w:sz w:val="18"/>
                <w:szCs w:val="18"/>
              </w:rPr>
              <w:t>2.7. Poprawa gospodarki wodno-ściekowej</w:t>
            </w:r>
          </w:p>
        </w:tc>
        <w:tc>
          <w:tcPr>
            <w:tcW w:w="284" w:type="dxa"/>
            <w:tcBorders>
              <w:top w:val="none" w:sz="0" w:space="0" w:color="auto"/>
              <w:bottom w:val="none" w:sz="0" w:space="0" w:color="auto"/>
            </w:tcBorders>
            <w:vAlign w:val="center"/>
          </w:tcPr>
          <w:p w14:paraId="65DCD9B0"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3" w:type="dxa"/>
            <w:tcBorders>
              <w:top w:val="none" w:sz="0" w:space="0" w:color="auto"/>
              <w:bottom w:val="none" w:sz="0" w:space="0" w:color="auto"/>
            </w:tcBorders>
            <w:shd w:val="clear" w:color="auto" w:fill="FFE599" w:themeFill="accent4" w:themeFillTint="66"/>
            <w:vAlign w:val="center"/>
          </w:tcPr>
          <w:p w14:paraId="649831EA"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4" w:type="dxa"/>
            <w:tcBorders>
              <w:top w:val="none" w:sz="0" w:space="0" w:color="auto"/>
              <w:bottom w:val="none" w:sz="0" w:space="0" w:color="auto"/>
            </w:tcBorders>
            <w:shd w:val="clear" w:color="auto" w:fill="FFFFFF" w:themeFill="background1"/>
            <w:vAlign w:val="center"/>
          </w:tcPr>
          <w:p w14:paraId="3DBFDD50"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2C2855" w:rsidRPr="00F236F2" w14:paraId="4ACA60A6" w14:textId="77777777" w:rsidTr="7AA741B9">
        <w:trPr>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2584EC96"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vAlign w:val="center"/>
          </w:tcPr>
          <w:p w14:paraId="77750038" w14:textId="77777777" w:rsidR="002C2855" w:rsidRPr="00F236F2" w:rsidRDefault="002C2855" w:rsidP="00624AA4">
            <w:pPr>
              <w:pStyle w:val="Defaul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F236F2">
              <w:rPr>
                <w:rFonts w:asciiTheme="minorHAnsi" w:hAnsiTheme="minorHAnsi"/>
                <w:color w:val="000000" w:themeColor="text1"/>
                <w:sz w:val="18"/>
                <w:szCs w:val="18"/>
              </w:rPr>
              <w:t xml:space="preserve">2.8. Ochrona zasobów wodnych i wzrost bezpieczeństwa powodziowego </w:t>
            </w:r>
          </w:p>
        </w:tc>
        <w:tc>
          <w:tcPr>
            <w:tcW w:w="284" w:type="dxa"/>
            <w:shd w:val="clear" w:color="auto" w:fill="FFFFFF" w:themeFill="background1"/>
            <w:vAlign w:val="center"/>
          </w:tcPr>
          <w:p w14:paraId="5E965A5B"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83" w:type="dxa"/>
            <w:shd w:val="clear" w:color="auto" w:fill="FFE599" w:themeFill="accent4" w:themeFillTint="66"/>
            <w:vAlign w:val="center"/>
          </w:tcPr>
          <w:p w14:paraId="49153232"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84" w:type="dxa"/>
            <w:shd w:val="clear" w:color="auto" w:fill="FFE599" w:themeFill="accent4" w:themeFillTint="66"/>
            <w:vAlign w:val="center"/>
          </w:tcPr>
          <w:p w14:paraId="4D337989"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2C2855" w:rsidRPr="00F236F2" w14:paraId="1BDCD22E" w14:textId="77777777" w:rsidTr="7AA741B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50EA9F03"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tcBorders>
              <w:top w:val="none" w:sz="0" w:space="0" w:color="auto"/>
              <w:bottom w:val="none" w:sz="0" w:space="0" w:color="auto"/>
            </w:tcBorders>
            <w:vAlign w:val="center"/>
          </w:tcPr>
          <w:p w14:paraId="53E326B5" w14:textId="77777777" w:rsidR="002C2855" w:rsidRPr="00F236F2" w:rsidRDefault="002C2855" w:rsidP="00624AA4">
            <w:pPr>
              <w:pStyle w:val="Defaul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sidRPr="00F236F2">
              <w:rPr>
                <w:rFonts w:asciiTheme="minorHAnsi" w:hAnsiTheme="minorHAnsi"/>
                <w:color w:val="000000" w:themeColor="text1"/>
                <w:sz w:val="18"/>
                <w:szCs w:val="18"/>
              </w:rPr>
              <w:t>2.9. Poprawa przyrodniczych warunków dla rolnictwa</w:t>
            </w:r>
          </w:p>
        </w:tc>
        <w:tc>
          <w:tcPr>
            <w:tcW w:w="284" w:type="dxa"/>
            <w:tcBorders>
              <w:top w:val="none" w:sz="0" w:space="0" w:color="auto"/>
              <w:bottom w:val="none" w:sz="0" w:space="0" w:color="auto"/>
            </w:tcBorders>
            <w:shd w:val="clear" w:color="auto" w:fill="FFE599" w:themeFill="accent4" w:themeFillTint="66"/>
            <w:vAlign w:val="center"/>
          </w:tcPr>
          <w:p w14:paraId="4C50C7D1"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3" w:type="dxa"/>
            <w:tcBorders>
              <w:top w:val="none" w:sz="0" w:space="0" w:color="auto"/>
              <w:bottom w:val="none" w:sz="0" w:space="0" w:color="auto"/>
            </w:tcBorders>
            <w:shd w:val="clear" w:color="auto" w:fill="FFE599" w:themeFill="accent4" w:themeFillTint="66"/>
            <w:vAlign w:val="center"/>
          </w:tcPr>
          <w:p w14:paraId="520E8380"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4" w:type="dxa"/>
            <w:tcBorders>
              <w:top w:val="none" w:sz="0" w:space="0" w:color="auto"/>
              <w:bottom w:val="none" w:sz="0" w:space="0" w:color="auto"/>
            </w:tcBorders>
            <w:vAlign w:val="center"/>
          </w:tcPr>
          <w:p w14:paraId="11D7B8E5"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2C2855" w:rsidRPr="00F236F2" w14:paraId="4789227C" w14:textId="77777777" w:rsidTr="7AA741B9">
        <w:trPr>
          <w:trHeight w:val="27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177EFE7"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vAlign w:val="center"/>
          </w:tcPr>
          <w:p w14:paraId="713B2571" w14:textId="77777777" w:rsidR="002C2855" w:rsidRPr="00F236F2" w:rsidRDefault="002C2855" w:rsidP="00624AA4">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18"/>
                <w:szCs w:val="18"/>
              </w:rPr>
            </w:pPr>
            <w:r w:rsidRPr="00F236F2">
              <w:rPr>
                <w:rFonts w:asciiTheme="minorHAnsi" w:eastAsiaTheme="minorHAnsi" w:hAnsiTheme="minorHAnsi" w:cs="Times New Roman"/>
                <w:sz w:val="18"/>
                <w:szCs w:val="18"/>
              </w:rPr>
              <w:t>2.10</w:t>
            </w:r>
            <w:r>
              <w:rPr>
                <w:rFonts w:asciiTheme="minorHAnsi" w:eastAsiaTheme="minorHAnsi" w:hAnsiTheme="minorHAnsi" w:cs="Times New Roman"/>
                <w:sz w:val="18"/>
                <w:szCs w:val="18"/>
              </w:rPr>
              <w:t>.</w:t>
            </w:r>
            <w:r w:rsidRPr="00F236F2">
              <w:rPr>
                <w:rFonts w:asciiTheme="minorHAnsi" w:eastAsiaTheme="minorHAnsi" w:hAnsiTheme="minorHAnsi" w:cs="Times New Roman"/>
                <w:sz w:val="18"/>
                <w:szCs w:val="18"/>
              </w:rPr>
              <w:t xml:space="preserve"> Promocja postaw ekologicznych </w:t>
            </w:r>
          </w:p>
        </w:tc>
        <w:tc>
          <w:tcPr>
            <w:tcW w:w="284" w:type="dxa"/>
            <w:shd w:val="clear" w:color="auto" w:fill="FFE599" w:themeFill="accent4" w:themeFillTint="66"/>
            <w:vAlign w:val="center"/>
          </w:tcPr>
          <w:p w14:paraId="0518468F"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3" w:type="dxa"/>
            <w:shd w:val="clear" w:color="auto" w:fill="FFE599" w:themeFill="accent4" w:themeFillTint="66"/>
            <w:vAlign w:val="center"/>
          </w:tcPr>
          <w:p w14:paraId="0F578730"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4" w:type="dxa"/>
            <w:shd w:val="clear" w:color="auto" w:fill="FFFFFF" w:themeFill="background1"/>
            <w:vAlign w:val="center"/>
          </w:tcPr>
          <w:p w14:paraId="2BE9E87F"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r>
      <w:tr w:rsidR="002C2855" w:rsidRPr="00F236F2" w14:paraId="1066826C" w14:textId="77777777" w:rsidTr="7AA741B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2FCBA6C"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tcBorders>
              <w:top w:val="none" w:sz="0" w:space="0" w:color="auto"/>
              <w:bottom w:val="none" w:sz="0" w:space="0" w:color="auto"/>
            </w:tcBorders>
            <w:vAlign w:val="center"/>
          </w:tcPr>
          <w:p w14:paraId="6488B718" w14:textId="77777777" w:rsidR="002C2855" w:rsidRPr="00F236F2" w:rsidRDefault="002C2855" w:rsidP="00624AA4">
            <w:pPr>
              <w:pStyle w:val="Defaul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sidRPr="00F236F2">
              <w:rPr>
                <w:rFonts w:asciiTheme="minorHAnsi" w:eastAsiaTheme="minorHAnsi" w:hAnsiTheme="minorHAnsi" w:cs="Times New Roman"/>
                <w:color w:val="000000" w:themeColor="text1"/>
                <w:sz w:val="18"/>
                <w:szCs w:val="18"/>
              </w:rPr>
              <w:t>2.11. Zintegrowany system zarządzania środowiskiem przyrodniczym</w:t>
            </w:r>
          </w:p>
        </w:tc>
        <w:tc>
          <w:tcPr>
            <w:tcW w:w="284" w:type="dxa"/>
            <w:tcBorders>
              <w:top w:val="none" w:sz="0" w:space="0" w:color="auto"/>
              <w:bottom w:val="none" w:sz="0" w:space="0" w:color="auto"/>
            </w:tcBorders>
            <w:shd w:val="clear" w:color="auto" w:fill="FFE599" w:themeFill="accent4" w:themeFillTint="66"/>
            <w:vAlign w:val="center"/>
          </w:tcPr>
          <w:p w14:paraId="6BE50947"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3" w:type="dxa"/>
            <w:tcBorders>
              <w:top w:val="none" w:sz="0" w:space="0" w:color="auto"/>
              <w:bottom w:val="none" w:sz="0" w:space="0" w:color="auto"/>
            </w:tcBorders>
            <w:vAlign w:val="center"/>
          </w:tcPr>
          <w:p w14:paraId="4CA1E8C5"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4" w:type="dxa"/>
            <w:tcBorders>
              <w:top w:val="none" w:sz="0" w:space="0" w:color="auto"/>
              <w:bottom w:val="none" w:sz="0" w:space="0" w:color="auto"/>
            </w:tcBorders>
            <w:vAlign w:val="center"/>
          </w:tcPr>
          <w:p w14:paraId="7A6BB0B1"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r>
      <w:tr w:rsidR="002C2855" w:rsidRPr="00F236F2" w14:paraId="65D24936" w14:textId="77777777" w:rsidTr="7AA741B9">
        <w:trPr>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47A6101F"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vAlign w:val="center"/>
          </w:tcPr>
          <w:p w14:paraId="48C55984" w14:textId="77777777" w:rsidR="002C2855" w:rsidRPr="00F236F2" w:rsidRDefault="002C2855" w:rsidP="00624AA4">
            <w:pPr>
              <w:pStyle w:val="Defaul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F236F2">
              <w:rPr>
                <w:rFonts w:asciiTheme="minorHAnsi" w:eastAsiaTheme="minorHAnsi" w:hAnsiTheme="minorHAnsi" w:cs="Times New Roman"/>
                <w:color w:val="000000" w:themeColor="text1"/>
                <w:sz w:val="18"/>
                <w:szCs w:val="18"/>
              </w:rPr>
              <w:t>2.12. Poprawa stanu akustycznego województwa</w:t>
            </w:r>
          </w:p>
        </w:tc>
        <w:tc>
          <w:tcPr>
            <w:tcW w:w="284" w:type="dxa"/>
            <w:shd w:val="clear" w:color="auto" w:fill="FFE599" w:themeFill="accent4" w:themeFillTint="66"/>
            <w:vAlign w:val="center"/>
          </w:tcPr>
          <w:p w14:paraId="5607F824"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3" w:type="dxa"/>
            <w:shd w:val="clear" w:color="auto" w:fill="FFE599" w:themeFill="accent4" w:themeFillTint="66"/>
            <w:vAlign w:val="center"/>
          </w:tcPr>
          <w:p w14:paraId="0AC75918"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4" w:type="dxa"/>
            <w:shd w:val="clear" w:color="auto" w:fill="FFE599" w:themeFill="accent4" w:themeFillTint="66"/>
            <w:vAlign w:val="center"/>
          </w:tcPr>
          <w:p w14:paraId="1CB1A34C"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r>
      <w:tr w:rsidR="002C2855" w:rsidRPr="00F236F2" w14:paraId="55F7BE5A" w14:textId="77777777" w:rsidTr="7AA741B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none" w:sz="0" w:space="0" w:color="auto"/>
              <w:bottom w:val="none" w:sz="0" w:space="0" w:color="auto"/>
            </w:tcBorders>
            <w:vAlign w:val="center"/>
          </w:tcPr>
          <w:p w14:paraId="4F4F9C12" w14:textId="77777777" w:rsidR="002C2855" w:rsidRPr="00F236F2" w:rsidRDefault="002C2855" w:rsidP="00624AA4">
            <w:pPr>
              <w:pStyle w:val="Default"/>
              <w:spacing w:after="0"/>
              <w:rPr>
                <w:rFonts w:asciiTheme="minorHAnsi" w:hAnsiTheme="minorHAnsi"/>
                <w:color w:val="000000" w:themeColor="text1"/>
                <w:sz w:val="18"/>
                <w:szCs w:val="18"/>
              </w:rPr>
            </w:pPr>
            <w:r w:rsidRPr="00F236F2">
              <w:rPr>
                <w:rFonts w:asciiTheme="minorHAnsi" w:hAnsiTheme="minorHAnsi"/>
                <w:color w:val="000000" w:themeColor="text1"/>
                <w:sz w:val="18"/>
                <w:szCs w:val="18"/>
              </w:rPr>
              <w:t>3. Lepsze zarządzanie energią</w:t>
            </w:r>
          </w:p>
        </w:tc>
        <w:tc>
          <w:tcPr>
            <w:tcW w:w="6096" w:type="dxa"/>
            <w:tcBorders>
              <w:top w:val="none" w:sz="0" w:space="0" w:color="auto"/>
              <w:bottom w:val="none" w:sz="0" w:space="0" w:color="auto"/>
            </w:tcBorders>
            <w:vAlign w:val="center"/>
          </w:tcPr>
          <w:p w14:paraId="3C233741" w14:textId="77777777" w:rsidR="002C2855" w:rsidRPr="00F236F2" w:rsidRDefault="002C2855" w:rsidP="00624AA4">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imes New Roman"/>
                <w:sz w:val="18"/>
                <w:szCs w:val="18"/>
              </w:rPr>
            </w:pPr>
            <w:r w:rsidRPr="00F236F2">
              <w:rPr>
                <w:rFonts w:asciiTheme="minorHAnsi" w:eastAsiaTheme="minorHAnsi" w:hAnsiTheme="minorHAnsi" w:cs="Times New Roman"/>
                <w:sz w:val="18"/>
                <w:szCs w:val="18"/>
              </w:rPr>
              <w:t xml:space="preserve">3.1. Optymalizacja gospodarowania energią </w:t>
            </w:r>
          </w:p>
        </w:tc>
        <w:tc>
          <w:tcPr>
            <w:tcW w:w="284" w:type="dxa"/>
            <w:tcBorders>
              <w:top w:val="none" w:sz="0" w:space="0" w:color="auto"/>
              <w:bottom w:val="none" w:sz="0" w:space="0" w:color="auto"/>
            </w:tcBorders>
            <w:vAlign w:val="center"/>
          </w:tcPr>
          <w:p w14:paraId="2E0B94DA"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3" w:type="dxa"/>
            <w:tcBorders>
              <w:top w:val="none" w:sz="0" w:space="0" w:color="auto"/>
              <w:bottom w:val="none" w:sz="0" w:space="0" w:color="auto"/>
            </w:tcBorders>
            <w:shd w:val="clear" w:color="auto" w:fill="FFE599" w:themeFill="accent4" w:themeFillTint="66"/>
            <w:vAlign w:val="center"/>
          </w:tcPr>
          <w:p w14:paraId="0D5A39AD"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4" w:type="dxa"/>
            <w:tcBorders>
              <w:top w:val="none" w:sz="0" w:space="0" w:color="auto"/>
              <w:bottom w:val="none" w:sz="0" w:space="0" w:color="auto"/>
            </w:tcBorders>
            <w:shd w:val="clear" w:color="auto" w:fill="FFE599" w:themeFill="accent4" w:themeFillTint="66"/>
            <w:vAlign w:val="center"/>
          </w:tcPr>
          <w:p w14:paraId="59636A74"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r>
      <w:tr w:rsidR="002C2855" w:rsidRPr="00F236F2" w14:paraId="7A2F4687" w14:textId="77777777" w:rsidTr="7AA741B9">
        <w:trPr>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C4E7736"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vAlign w:val="center"/>
          </w:tcPr>
          <w:p w14:paraId="09401768" w14:textId="77777777" w:rsidR="002C2855" w:rsidRPr="00F236F2" w:rsidRDefault="002C2855" w:rsidP="00624AA4">
            <w:pPr>
              <w:pStyle w:val="Defaul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F236F2">
              <w:rPr>
                <w:rFonts w:asciiTheme="minorHAnsi" w:eastAsiaTheme="minorHAnsi" w:hAnsiTheme="minorHAnsi" w:cs="Times New Roman"/>
                <w:color w:val="000000" w:themeColor="text1"/>
                <w:sz w:val="18"/>
                <w:szCs w:val="18"/>
              </w:rPr>
              <w:t>3.2. Rozwój produkcji i wykorzystanie alternatywnych źródeł energii</w:t>
            </w:r>
          </w:p>
        </w:tc>
        <w:tc>
          <w:tcPr>
            <w:tcW w:w="284" w:type="dxa"/>
            <w:vAlign w:val="center"/>
          </w:tcPr>
          <w:p w14:paraId="7ACE9A83"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3" w:type="dxa"/>
            <w:shd w:val="clear" w:color="auto" w:fill="FFE599" w:themeFill="accent4" w:themeFillTint="66"/>
            <w:vAlign w:val="center"/>
          </w:tcPr>
          <w:p w14:paraId="630A9A75"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4" w:type="dxa"/>
            <w:shd w:val="clear" w:color="auto" w:fill="FFE599" w:themeFill="accent4" w:themeFillTint="66"/>
            <w:vAlign w:val="center"/>
          </w:tcPr>
          <w:p w14:paraId="28D478E9"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r>
      <w:tr w:rsidR="002C2855" w:rsidRPr="00F236F2" w14:paraId="469F00AA" w14:textId="77777777" w:rsidTr="7AA741B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2B1989E"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tcBorders>
              <w:top w:val="none" w:sz="0" w:space="0" w:color="auto"/>
              <w:bottom w:val="none" w:sz="0" w:space="0" w:color="auto"/>
            </w:tcBorders>
            <w:vAlign w:val="center"/>
          </w:tcPr>
          <w:p w14:paraId="72388457" w14:textId="77777777" w:rsidR="002C2855" w:rsidRPr="00F236F2" w:rsidRDefault="002C2855" w:rsidP="00624AA4">
            <w:pPr>
              <w:pStyle w:val="Defaul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sidRPr="00F236F2">
              <w:rPr>
                <w:rFonts w:asciiTheme="minorHAnsi" w:eastAsiaTheme="minorHAnsi" w:hAnsiTheme="minorHAnsi" w:cs="Times New Roman"/>
                <w:color w:val="000000" w:themeColor="text1"/>
                <w:sz w:val="18"/>
                <w:szCs w:val="18"/>
              </w:rPr>
              <w:t>3.3. Poprawa bezpieczeństwa energetycznego regionu</w:t>
            </w:r>
          </w:p>
        </w:tc>
        <w:tc>
          <w:tcPr>
            <w:tcW w:w="284" w:type="dxa"/>
            <w:tcBorders>
              <w:top w:val="none" w:sz="0" w:space="0" w:color="auto"/>
              <w:bottom w:val="none" w:sz="0" w:space="0" w:color="auto"/>
            </w:tcBorders>
            <w:vAlign w:val="center"/>
          </w:tcPr>
          <w:p w14:paraId="7D39FE7B"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3" w:type="dxa"/>
            <w:tcBorders>
              <w:top w:val="none" w:sz="0" w:space="0" w:color="auto"/>
              <w:bottom w:val="none" w:sz="0" w:space="0" w:color="auto"/>
            </w:tcBorders>
            <w:shd w:val="clear" w:color="auto" w:fill="FFE599" w:themeFill="accent4" w:themeFillTint="66"/>
            <w:vAlign w:val="center"/>
          </w:tcPr>
          <w:p w14:paraId="34E4B5C9"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4" w:type="dxa"/>
            <w:tcBorders>
              <w:top w:val="none" w:sz="0" w:space="0" w:color="auto"/>
              <w:bottom w:val="none" w:sz="0" w:space="0" w:color="auto"/>
            </w:tcBorders>
            <w:shd w:val="clear" w:color="auto" w:fill="FFE599" w:themeFill="accent4" w:themeFillTint="66"/>
            <w:vAlign w:val="center"/>
          </w:tcPr>
          <w:p w14:paraId="451EB8A9"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r>
      <w:tr w:rsidR="002C2855" w:rsidRPr="00F236F2" w14:paraId="681BEB92" w14:textId="77777777" w:rsidTr="7AA741B9">
        <w:trPr>
          <w:trHeight w:val="748"/>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5CE9485B" w14:textId="77777777" w:rsidR="002C2855" w:rsidRPr="006F4057" w:rsidRDefault="002C2855" w:rsidP="006F4057">
            <w:pPr>
              <w:pStyle w:val="Default"/>
              <w:spacing w:after="0"/>
              <w:rPr>
                <w:rFonts w:asciiTheme="minorHAnsi" w:hAnsiTheme="minorHAnsi"/>
                <w:color w:val="000000" w:themeColor="text1"/>
                <w:sz w:val="18"/>
                <w:szCs w:val="18"/>
              </w:rPr>
            </w:pPr>
            <w:r w:rsidRPr="00F236F2">
              <w:rPr>
                <w:rFonts w:asciiTheme="minorHAnsi" w:hAnsiTheme="minorHAnsi"/>
                <w:color w:val="000000" w:themeColor="text1"/>
                <w:sz w:val="18"/>
                <w:szCs w:val="18"/>
              </w:rPr>
              <w:t xml:space="preserve">4. Zwiększanie konkurencyjności metropolii poznańskiej i innych </w:t>
            </w:r>
            <w:r w:rsidR="006F4057">
              <w:rPr>
                <w:rFonts w:asciiTheme="minorHAnsi" w:hAnsiTheme="minorHAnsi"/>
                <w:color w:val="000000" w:themeColor="text1"/>
                <w:sz w:val="18"/>
                <w:szCs w:val="18"/>
              </w:rPr>
              <w:t>ośrodków wzrostu w województwie</w:t>
            </w:r>
          </w:p>
        </w:tc>
        <w:tc>
          <w:tcPr>
            <w:tcW w:w="6096" w:type="dxa"/>
            <w:vAlign w:val="center"/>
          </w:tcPr>
          <w:p w14:paraId="7C89B9A6" w14:textId="77777777" w:rsidR="002C2855" w:rsidRPr="00F236F2" w:rsidRDefault="002C2855" w:rsidP="00624AA4">
            <w:pPr>
              <w:pStyle w:val="Defaul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F236F2">
              <w:rPr>
                <w:rFonts w:asciiTheme="minorHAnsi" w:hAnsiTheme="minorHAnsi"/>
                <w:color w:val="000000" w:themeColor="text1"/>
                <w:sz w:val="18"/>
                <w:szCs w:val="18"/>
              </w:rPr>
              <w:t xml:space="preserve">4.1. Rozwój metropolii poznańskiej </w:t>
            </w:r>
          </w:p>
        </w:tc>
        <w:tc>
          <w:tcPr>
            <w:tcW w:w="284" w:type="dxa"/>
            <w:shd w:val="clear" w:color="auto" w:fill="FFE599" w:themeFill="accent4" w:themeFillTint="66"/>
            <w:vAlign w:val="center"/>
          </w:tcPr>
          <w:p w14:paraId="4AA41967"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83" w:type="dxa"/>
            <w:shd w:val="clear" w:color="auto" w:fill="FFE599" w:themeFill="accent4" w:themeFillTint="66"/>
            <w:vAlign w:val="center"/>
          </w:tcPr>
          <w:p w14:paraId="146F6740"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84" w:type="dxa"/>
            <w:shd w:val="clear" w:color="auto" w:fill="FFE599" w:themeFill="accent4" w:themeFillTint="66"/>
            <w:vAlign w:val="center"/>
          </w:tcPr>
          <w:p w14:paraId="10D8CC22"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2C2855" w:rsidRPr="00F236F2" w14:paraId="6E1A73AB" w14:textId="77777777" w:rsidTr="7AA741B9">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2293B39"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tcBorders>
              <w:top w:val="none" w:sz="0" w:space="0" w:color="auto"/>
              <w:bottom w:val="none" w:sz="0" w:space="0" w:color="auto"/>
            </w:tcBorders>
            <w:vAlign w:val="center"/>
          </w:tcPr>
          <w:p w14:paraId="52D1C4DC" w14:textId="77777777" w:rsidR="002C2855" w:rsidRPr="00F236F2" w:rsidRDefault="002C2855" w:rsidP="00624AA4">
            <w:pPr>
              <w:pStyle w:val="Defaul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sidRPr="00F236F2">
              <w:rPr>
                <w:rFonts w:asciiTheme="minorHAnsi" w:hAnsiTheme="minorHAnsi"/>
                <w:color w:val="000000" w:themeColor="text1"/>
                <w:sz w:val="18"/>
                <w:szCs w:val="18"/>
              </w:rPr>
              <w:t xml:space="preserve">4.2. Wzmocnienie biegunów wzrostu w subregionach </w:t>
            </w:r>
          </w:p>
        </w:tc>
        <w:tc>
          <w:tcPr>
            <w:tcW w:w="284" w:type="dxa"/>
            <w:tcBorders>
              <w:top w:val="none" w:sz="0" w:space="0" w:color="auto"/>
              <w:bottom w:val="none" w:sz="0" w:space="0" w:color="auto"/>
            </w:tcBorders>
            <w:shd w:val="clear" w:color="auto" w:fill="FFE599" w:themeFill="accent4" w:themeFillTint="66"/>
            <w:vAlign w:val="center"/>
          </w:tcPr>
          <w:p w14:paraId="547A0CE1"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3" w:type="dxa"/>
            <w:tcBorders>
              <w:top w:val="none" w:sz="0" w:space="0" w:color="auto"/>
              <w:bottom w:val="none" w:sz="0" w:space="0" w:color="auto"/>
            </w:tcBorders>
            <w:shd w:val="clear" w:color="auto" w:fill="FFE599" w:themeFill="accent4" w:themeFillTint="66"/>
            <w:vAlign w:val="center"/>
          </w:tcPr>
          <w:p w14:paraId="694CEF39"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4" w:type="dxa"/>
            <w:tcBorders>
              <w:top w:val="none" w:sz="0" w:space="0" w:color="auto"/>
              <w:bottom w:val="none" w:sz="0" w:space="0" w:color="auto"/>
            </w:tcBorders>
            <w:shd w:val="clear" w:color="auto" w:fill="FFE599" w:themeFill="accent4" w:themeFillTint="66"/>
            <w:vAlign w:val="center"/>
          </w:tcPr>
          <w:p w14:paraId="47825598"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2C2855" w:rsidRPr="00F236F2" w14:paraId="161F5094" w14:textId="77777777" w:rsidTr="7AA741B9">
        <w:trPr>
          <w:trHeight w:val="244"/>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07D463F5" w14:textId="77777777" w:rsidR="002C2855" w:rsidRPr="006F4057" w:rsidRDefault="002C2855" w:rsidP="006F4057">
            <w:pPr>
              <w:pStyle w:val="Default"/>
              <w:spacing w:after="0"/>
              <w:rPr>
                <w:rFonts w:asciiTheme="minorHAnsi" w:hAnsiTheme="minorHAnsi"/>
                <w:color w:val="000000" w:themeColor="text1"/>
                <w:sz w:val="18"/>
                <w:szCs w:val="18"/>
              </w:rPr>
            </w:pPr>
            <w:r w:rsidRPr="00F236F2">
              <w:rPr>
                <w:rFonts w:asciiTheme="minorHAnsi" w:hAnsiTheme="minorHAnsi"/>
                <w:color w:val="000000" w:themeColor="text1"/>
                <w:sz w:val="18"/>
                <w:szCs w:val="18"/>
              </w:rPr>
              <w:t>5. Zw</w:t>
            </w:r>
            <w:r w:rsidR="006F4057">
              <w:rPr>
                <w:rFonts w:asciiTheme="minorHAnsi" w:hAnsiTheme="minorHAnsi"/>
                <w:color w:val="000000" w:themeColor="text1"/>
                <w:sz w:val="18"/>
                <w:szCs w:val="18"/>
              </w:rPr>
              <w:t>iększenie spójności województwa</w:t>
            </w:r>
          </w:p>
        </w:tc>
        <w:tc>
          <w:tcPr>
            <w:tcW w:w="6096" w:type="dxa"/>
            <w:vAlign w:val="center"/>
          </w:tcPr>
          <w:p w14:paraId="7A0B52CA" w14:textId="77777777" w:rsidR="002C2855" w:rsidRPr="00F236F2" w:rsidRDefault="002C2855" w:rsidP="00624AA4">
            <w:pPr>
              <w:pStyle w:val="Defaul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F236F2">
              <w:rPr>
                <w:rFonts w:asciiTheme="minorHAnsi" w:hAnsiTheme="minorHAnsi"/>
                <w:color w:val="000000" w:themeColor="text1"/>
                <w:sz w:val="18"/>
                <w:szCs w:val="18"/>
              </w:rPr>
              <w:t xml:space="preserve">5.1. Wsparcie ośrodków lokalnych </w:t>
            </w:r>
          </w:p>
        </w:tc>
        <w:tc>
          <w:tcPr>
            <w:tcW w:w="284" w:type="dxa"/>
            <w:shd w:val="clear" w:color="auto" w:fill="FFE599" w:themeFill="accent4" w:themeFillTint="66"/>
            <w:vAlign w:val="center"/>
          </w:tcPr>
          <w:p w14:paraId="1F7416B5"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83" w:type="dxa"/>
            <w:shd w:val="clear" w:color="auto" w:fill="FFE599" w:themeFill="accent4" w:themeFillTint="66"/>
            <w:vAlign w:val="center"/>
          </w:tcPr>
          <w:p w14:paraId="4397D307"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84" w:type="dxa"/>
            <w:shd w:val="clear" w:color="auto" w:fill="FFFFFF" w:themeFill="background1"/>
            <w:vAlign w:val="center"/>
          </w:tcPr>
          <w:p w14:paraId="32879301"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2C2855" w:rsidRPr="00F236F2" w14:paraId="3447ADAE" w14:textId="77777777" w:rsidTr="7AA741B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4A62EE9E"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tcBorders>
              <w:top w:val="none" w:sz="0" w:space="0" w:color="auto"/>
              <w:bottom w:val="none" w:sz="0" w:space="0" w:color="auto"/>
            </w:tcBorders>
            <w:vAlign w:val="center"/>
          </w:tcPr>
          <w:p w14:paraId="50690DB9" w14:textId="77777777" w:rsidR="002C2855" w:rsidRPr="00F236F2" w:rsidRDefault="002C2855" w:rsidP="00624AA4">
            <w:pPr>
              <w:pStyle w:val="Defaul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sidRPr="00F236F2">
              <w:rPr>
                <w:rFonts w:asciiTheme="minorHAnsi" w:hAnsiTheme="minorHAnsi"/>
                <w:color w:val="000000" w:themeColor="text1"/>
                <w:sz w:val="18"/>
                <w:szCs w:val="18"/>
              </w:rPr>
              <w:t xml:space="preserve">5.2. Rozwój obszarów wiejskich </w:t>
            </w:r>
          </w:p>
        </w:tc>
        <w:tc>
          <w:tcPr>
            <w:tcW w:w="284" w:type="dxa"/>
            <w:tcBorders>
              <w:top w:val="none" w:sz="0" w:space="0" w:color="auto"/>
              <w:bottom w:val="none" w:sz="0" w:space="0" w:color="auto"/>
            </w:tcBorders>
            <w:shd w:val="clear" w:color="auto" w:fill="FFE599" w:themeFill="accent4" w:themeFillTint="66"/>
            <w:vAlign w:val="center"/>
          </w:tcPr>
          <w:p w14:paraId="69404261"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3" w:type="dxa"/>
            <w:tcBorders>
              <w:top w:val="none" w:sz="0" w:space="0" w:color="auto"/>
              <w:bottom w:val="none" w:sz="0" w:space="0" w:color="auto"/>
            </w:tcBorders>
            <w:shd w:val="clear" w:color="auto" w:fill="FFE599" w:themeFill="accent4" w:themeFillTint="66"/>
            <w:vAlign w:val="center"/>
          </w:tcPr>
          <w:p w14:paraId="613F6AB6"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4" w:type="dxa"/>
            <w:tcBorders>
              <w:top w:val="none" w:sz="0" w:space="0" w:color="auto"/>
              <w:bottom w:val="none" w:sz="0" w:space="0" w:color="auto"/>
            </w:tcBorders>
            <w:shd w:val="clear" w:color="auto" w:fill="FFE599" w:themeFill="accent4" w:themeFillTint="66"/>
            <w:vAlign w:val="center"/>
          </w:tcPr>
          <w:p w14:paraId="58EDC266"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r>
      <w:tr w:rsidR="002C2855" w:rsidRPr="00F236F2" w14:paraId="276C8D5C" w14:textId="77777777" w:rsidTr="7AA741B9">
        <w:trPr>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3CDEB1E5"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vAlign w:val="center"/>
          </w:tcPr>
          <w:p w14:paraId="465B752F" w14:textId="77777777" w:rsidR="002C2855" w:rsidRPr="00F236F2" w:rsidRDefault="002C2855" w:rsidP="00624AA4">
            <w:pPr>
              <w:pStyle w:val="Defaul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F236F2">
              <w:rPr>
                <w:rFonts w:asciiTheme="minorHAnsi" w:hAnsiTheme="minorHAnsi"/>
                <w:color w:val="000000" w:themeColor="text1"/>
                <w:sz w:val="18"/>
                <w:szCs w:val="18"/>
              </w:rPr>
              <w:t xml:space="preserve">5.3. Aktywizacja obszarów o najniższym stopniu rozwoju i pogarszających się perspektywach rozwojowych </w:t>
            </w:r>
          </w:p>
        </w:tc>
        <w:tc>
          <w:tcPr>
            <w:tcW w:w="284" w:type="dxa"/>
            <w:shd w:val="clear" w:color="auto" w:fill="FFE599" w:themeFill="accent4" w:themeFillTint="66"/>
            <w:vAlign w:val="center"/>
          </w:tcPr>
          <w:p w14:paraId="3DAB617E"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3" w:type="dxa"/>
            <w:shd w:val="clear" w:color="auto" w:fill="FFE599" w:themeFill="accent4" w:themeFillTint="66"/>
            <w:vAlign w:val="center"/>
          </w:tcPr>
          <w:p w14:paraId="72C7FB4F"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4" w:type="dxa"/>
            <w:shd w:val="clear" w:color="auto" w:fill="FFFFFF" w:themeFill="background1"/>
            <w:vAlign w:val="center"/>
          </w:tcPr>
          <w:p w14:paraId="7D00EC0C"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r>
      <w:tr w:rsidR="002C2855" w:rsidRPr="00F236F2" w14:paraId="74C7AB19" w14:textId="77777777" w:rsidTr="7AA741B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A77C5C9"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tcBorders>
              <w:top w:val="none" w:sz="0" w:space="0" w:color="auto"/>
              <w:bottom w:val="none" w:sz="0" w:space="0" w:color="auto"/>
            </w:tcBorders>
            <w:vAlign w:val="center"/>
          </w:tcPr>
          <w:p w14:paraId="2FEB6ED0" w14:textId="77777777" w:rsidR="002C2855" w:rsidRPr="00F236F2" w:rsidRDefault="002C2855" w:rsidP="00624AA4">
            <w:pPr>
              <w:pStyle w:val="Defaul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sidRPr="00F236F2">
              <w:rPr>
                <w:rFonts w:asciiTheme="minorHAnsi" w:hAnsiTheme="minorHAnsi"/>
                <w:color w:val="000000" w:themeColor="text1"/>
                <w:sz w:val="18"/>
                <w:szCs w:val="18"/>
              </w:rPr>
              <w:t>5.4. Wsparcie terenów wymagających restrukturyzacji, odnowy i rewitalizacji</w:t>
            </w:r>
          </w:p>
        </w:tc>
        <w:tc>
          <w:tcPr>
            <w:tcW w:w="284" w:type="dxa"/>
            <w:tcBorders>
              <w:top w:val="none" w:sz="0" w:space="0" w:color="auto"/>
              <w:bottom w:val="none" w:sz="0" w:space="0" w:color="auto"/>
            </w:tcBorders>
            <w:shd w:val="clear" w:color="auto" w:fill="FFE599" w:themeFill="accent4" w:themeFillTint="66"/>
            <w:vAlign w:val="center"/>
          </w:tcPr>
          <w:p w14:paraId="7606DD47"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3" w:type="dxa"/>
            <w:tcBorders>
              <w:top w:val="none" w:sz="0" w:space="0" w:color="auto"/>
              <w:bottom w:val="none" w:sz="0" w:space="0" w:color="auto"/>
            </w:tcBorders>
            <w:shd w:val="clear" w:color="auto" w:fill="FFE599" w:themeFill="accent4" w:themeFillTint="66"/>
            <w:vAlign w:val="center"/>
          </w:tcPr>
          <w:p w14:paraId="0063E415"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4" w:type="dxa"/>
            <w:tcBorders>
              <w:top w:val="none" w:sz="0" w:space="0" w:color="auto"/>
              <w:bottom w:val="none" w:sz="0" w:space="0" w:color="auto"/>
            </w:tcBorders>
            <w:shd w:val="clear" w:color="auto" w:fill="FFFFFF" w:themeFill="background1"/>
            <w:vAlign w:val="center"/>
          </w:tcPr>
          <w:p w14:paraId="1331B3B4"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r>
      <w:tr w:rsidR="002C2855" w:rsidRPr="00F236F2" w14:paraId="2B92FA28" w14:textId="77777777" w:rsidTr="7AA741B9">
        <w:trPr>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2AFBDAD2"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vAlign w:val="center"/>
          </w:tcPr>
          <w:p w14:paraId="1B067632" w14:textId="77777777" w:rsidR="002C2855" w:rsidRPr="00F236F2" w:rsidRDefault="002C2855" w:rsidP="00624AA4">
            <w:pPr>
              <w:pStyle w:val="Defaul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F236F2">
              <w:rPr>
                <w:rFonts w:asciiTheme="minorHAnsi" w:hAnsiTheme="minorHAnsi"/>
                <w:color w:val="000000" w:themeColor="text1"/>
                <w:sz w:val="18"/>
                <w:szCs w:val="18"/>
              </w:rPr>
              <w:t>5.5. Zwiększenie dostępności do podstawowych usług publicznych</w:t>
            </w:r>
          </w:p>
        </w:tc>
        <w:tc>
          <w:tcPr>
            <w:tcW w:w="284" w:type="dxa"/>
            <w:shd w:val="clear" w:color="auto" w:fill="FFE599" w:themeFill="accent4" w:themeFillTint="66"/>
            <w:vAlign w:val="center"/>
          </w:tcPr>
          <w:p w14:paraId="61F10FB7"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3" w:type="dxa"/>
            <w:shd w:val="clear" w:color="auto" w:fill="FFE599" w:themeFill="accent4" w:themeFillTint="66"/>
            <w:vAlign w:val="center"/>
          </w:tcPr>
          <w:p w14:paraId="77F4B81E"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4" w:type="dxa"/>
            <w:shd w:val="clear" w:color="auto" w:fill="FFE599" w:themeFill="accent4" w:themeFillTint="66"/>
            <w:vAlign w:val="center"/>
          </w:tcPr>
          <w:p w14:paraId="02485289"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r>
      <w:tr w:rsidR="002C2855" w:rsidRPr="00F236F2" w14:paraId="085934A9" w14:textId="77777777" w:rsidTr="7AA741B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4093A6B4"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tcBorders>
              <w:top w:val="none" w:sz="0" w:space="0" w:color="auto"/>
              <w:bottom w:val="none" w:sz="0" w:space="0" w:color="auto"/>
            </w:tcBorders>
            <w:vAlign w:val="center"/>
          </w:tcPr>
          <w:p w14:paraId="7B6F0D85" w14:textId="77777777" w:rsidR="002C2855" w:rsidRPr="00F236F2" w:rsidRDefault="002C2855" w:rsidP="00624AA4">
            <w:pPr>
              <w:pStyle w:val="Defaul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sidRPr="00F236F2">
              <w:rPr>
                <w:rFonts w:asciiTheme="minorHAnsi" w:hAnsiTheme="minorHAnsi"/>
                <w:color w:val="000000" w:themeColor="text1"/>
                <w:sz w:val="18"/>
                <w:szCs w:val="18"/>
              </w:rPr>
              <w:t xml:space="preserve">5.6. Wparcie terenów o wyjątkowych walorach środowiska kulturowego </w:t>
            </w:r>
          </w:p>
        </w:tc>
        <w:tc>
          <w:tcPr>
            <w:tcW w:w="284" w:type="dxa"/>
            <w:tcBorders>
              <w:top w:val="none" w:sz="0" w:space="0" w:color="auto"/>
              <w:bottom w:val="none" w:sz="0" w:space="0" w:color="auto"/>
            </w:tcBorders>
            <w:shd w:val="clear" w:color="auto" w:fill="FFE599" w:themeFill="accent4" w:themeFillTint="66"/>
            <w:vAlign w:val="center"/>
          </w:tcPr>
          <w:p w14:paraId="6E66A81E"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3" w:type="dxa"/>
            <w:tcBorders>
              <w:top w:val="none" w:sz="0" w:space="0" w:color="auto"/>
              <w:bottom w:val="none" w:sz="0" w:space="0" w:color="auto"/>
            </w:tcBorders>
            <w:shd w:val="clear" w:color="auto" w:fill="FFE599" w:themeFill="accent4" w:themeFillTint="66"/>
            <w:vAlign w:val="center"/>
          </w:tcPr>
          <w:p w14:paraId="734C6A07"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4" w:type="dxa"/>
            <w:tcBorders>
              <w:top w:val="none" w:sz="0" w:space="0" w:color="auto"/>
              <w:bottom w:val="none" w:sz="0" w:space="0" w:color="auto"/>
            </w:tcBorders>
            <w:shd w:val="clear" w:color="auto" w:fill="FFFFFF" w:themeFill="background1"/>
            <w:vAlign w:val="center"/>
          </w:tcPr>
          <w:p w14:paraId="558C745F"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2C2855" w:rsidRPr="00F236F2" w14:paraId="7A8BCF4B" w14:textId="77777777" w:rsidTr="7AA741B9">
        <w:trPr>
          <w:trHeight w:val="244"/>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6145EA32" w14:textId="77777777" w:rsidR="002C2855" w:rsidRPr="00F236F2" w:rsidRDefault="002C2855" w:rsidP="00624AA4">
            <w:pPr>
              <w:pStyle w:val="Default"/>
              <w:spacing w:after="0"/>
              <w:rPr>
                <w:rFonts w:asciiTheme="minorHAnsi" w:hAnsiTheme="minorHAnsi"/>
                <w:color w:val="000000" w:themeColor="text1"/>
                <w:sz w:val="18"/>
                <w:szCs w:val="18"/>
              </w:rPr>
            </w:pPr>
            <w:r w:rsidRPr="00F236F2">
              <w:rPr>
                <w:rFonts w:asciiTheme="minorHAnsi" w:hAnsiTheme="minorHAnsi"/>
                <w:color w:val="000000" w:themeColor="text1"/>
                <w:sz w:val="18"/>
                <w:szCs w:val="18"/>
              </w:rPr>
              <w:t>6. Wzmocnienie potencjału gospodarczego regionu</w:t>
            </w:r>
          </w:p>
        </w:tc>
        <w:tc>
          <w:tcPr>
            <w:tcW w:w="6096" w:type="dxa"/>
            <w:vAlign w:val="center"/>
          </w:tcPr>
          <w:p w14:paraId="52365FD9" w14:textId="77777777" w:rsidR="002C2855" w:rsidRPr="00F236F2" w:rsidRDefault="002C2855" w:rsidP="00624AA4">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sz w:val="18"/>
                <w:szCs w:val="18"/>
              </w:rPr>
            </w:pPr>
            <w:r w:rsidRPr="00F236F2">
              <w:rPr>
                <w:rFonts w:asciiTheme="minorHAnsi" w:eastAsiaTheme="minorHAnsi" w:hAnsiTheme="minorHAnsi" w:cs="Times New Roman"/>
                <w:sz w:val="18"/>
                <w:szCs w:val="18"/>
              </w:rPr>
              <w:t xml:space="preserve">6.1 Zwiększenie innowacyjności przedsiębiorstw </w:t>
            </w:r>
          </w:p>
        </w:tc>
        <w:tc>
          <w:tcPr>
            <w:tcW w:w="284" w:type="dxa"/>
            <w:shd w:val="clear" w:color="auto" w:fill="FFE599" w:themeFill="accent4" w:themeFillTint="66"/>
            <w:vAlign w:val="center"/>
          </w:tcPr>
          <w:p w14:paraId="0B07DFF4"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83" w:type="dxa"/>
            <w:shd w:val="clear" w:color="auto" w:fill="FFFFFF" w:themeFill="background1"/>
            <w:vAlign w:val="center"/>
          </w:tcPr>
          <w:p w14:paraId="48273821"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84" w:type="dxa"/>
            <w:shd w:val="clear" w:color="auto" w:fill="FFFFFF" w:themeFill="background1"/>
            <w:vAlign w:val="center"/>
          </w:tcPr>
          <w:p w14:paraId="23A13570"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2C2855" w:rsidRPr="00F236F2" w14:paraId="22271A82" w14:textId="77777777" w:rsidTr="7AA741B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09C66A2"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tcBorders>
              <w:top w:val="none" w:sz="0" w:space="0" w:color="auto"/>
              <w:bottom w:val="none" w:sz="0" w:space="0" w:color="auto"/>
            </w:tcBorders>
            <w:vAlign w:val="center"/>
          </w:tcPr>
          <w:p w14:paraId="6B1A2E63" w14:textId="77777777" w:rsidR="002C2855" w:rsidRPr="00F236F2" w:rsidRDefault="002C2855" w:rsidP="00624AA4">
            <w:pPr>
              <w:pStyle w:val="Defaul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sidRPr="00F236F2">
              <w:rPr>
                <w:rFonts w:asciiTheme="minorHAnsi" w:eastAsiaTheme="minorHAnsi" w:hAnsiTheme="minorHAnsi" w:cs="Times New Roman"/>
                <w:color w:val="000000" w:themeColor="text1"/>
                <w:sz w:val="18"/>
                <w:szCs w:val="18"/>
              </w:rPr>
              <w:t>6.2. Wzmocnienie roli nauki i badań dla innowacji i rozwoju gospodarczego</w:t>
            </w:r>
          </w:p>
        </w:tc>
        <w:tc>
          <w:tcPr>
            <w:tcW w:w="284" w:type="dxa"/>
            <w:tcBorders>
              <w:top w:val="none" w:sz="0" w:space="0" w:color="auto"/>
              <w:bottom w:val="none" w:sz="0" w:space="0" w:color="auto"/>
            </w:tcBorders>
            <w:vAlign w:val="center"/>
          </w:tcPr>
          <w:p w14:paraId="66728E7D"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3" w:type="dxa"/>
            <w:tcBorders>
              <w:top w:val="none" w:sz="0" w:space="0" w:color="auto"/>
              <w:bottom w:val="none" w:sz="0" w:space="0" w:color="auto"/>
            </w:tcBorders>
            <w:shd w:val="clear" w:color="auto" w:fill="FFE599" w:themeFill="accent4" w:themeFillTint="66"/>
            <w:vAlign w:val="center"/>
          </w:tcPr>
          <w:p w14:paraId="53D13B6F"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4" w:type="dxa"/>
            <w:tcBorders>
              <w:top w:val="none" w:sz="0" w:space="0" w:color="auto"/>
              <w:bottom w:val="none" w:sz="0" w:space="0" w:color="auto"/>
            </w:tcBorders>
            <w:shd w:val="clear" w:color="auto" w:fill="FFE599" w:themeFill="accent4" w:themeFillTint="66"/>
            <w:vAlign w:val="center"/>
          </w:tcPr>
          <w:p w14:paraId="1CE1EBFD"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r>
      <w:tr w:rsidR="002C2855" w:rsidRPr="00F236F2" w14:paraId="78B6DC01" w14:textId="77777777" w:rsidTr="7AA741B9">
        <w:trPr>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5130BFA6"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vAlign w:val="center"/>
          </w:tcPr>
          <w:p w14:paraId="563515A6" w14:textId="77777777" w:rsidR="002C2855" w:rsidRPr="00F236F2" w:rsidRDefault="002C2855" w:rsidP="00624AA4">
            <w:pPr>
              <w:pStyle w:val="Defaul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F236F2">
              <w:rPr>
                <w:rFonts w:asciiTheme="minorHAnsi" w:eastAsiaTheme="minorHAnsi" w:hAnsiTheme="minorHAnsi" w:cs="Times New Roman"/>
                <w:color w:val="000000" w:themeColor="text1"/>
                <w:sz w:val="18"/>
                <w:szCs w:val="18"/>
              </w:rPr>
              <w:t>6.3. Rozwój sieci i kooperacji w gospodarce regionu</w:t>
            </w:r>
          </w:p>
        </w:tc>
        <w:tc>
          <w:tcPr>
            <w:tcW w:w="284" w:type="dxa"/>
            <w:vAlign w:val="center"/>
          </w:tcPr>
          <w:p w14:paraId="4D8C730C"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3" w:type="dxa"/>
            <w:shd w:val="clear" w:color="auto" w:fill="FFE599" w:themeFill="accent4" w:themeFillTint="66"/>
            <w:vAlign w:val="center"/>
          </w:tcPr>
          <w:p w14:paraId="202662DC"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4" w:type="dxa"/>
            <w:shd w:val="clear" w:color="auto" w:fill="FFE599" w:themeFill="accent4" w:themeFillTint="66"/>
            <w:vAlign w:val="center"/>
          </w:tcPr>
          <w:p w14:paraId="7BAB610B"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r>
      <w:tr w:rsidR="002C2855" w:rsidRPr="00F236F2" w14:paraId="6309938B" w14:textId="77777777" w:rsidTr="7AA741B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A22F9B1"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tcBorders>
              <w:top w:val="none" w:sz="0" w:space="0" w:color="auto"/>
              <w:bottom w:val="none" w:sz="0" w:space="0" w:color="auto"/>
            </w:tcBorders>
            <w:vAlign w:val="center"/>
          </w:tcPr>
          <w:p w14:paraId="4AD1C15C" w14:textId="77777777" w:rsidR="002C2855" w:rsidRPr="00F236F2" w:rsidRDefault="002C2855" w:rsidP="00624AA4">
            <w:pPr>
              <w:pStyle w:val="Defaul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sidRPr="00F236F2">
              <w:rPr>
                <w:rFonts w:asciiTheme="minorHAnsi" w:eastAsiaTheme="minorHAnsi" w:hAnsiTheme="minorHAnsi" w:cs="Times New Roman"/>
                <w:color w:val="000000" w:themeColor="text1"/>
                <w:sz w:val="18"/>
                <w:szCs w:val="18"/>
              </w:rPr>
              <w:t>6.4. Rozbudowa instytucji otoczenia biznesu</w:t>
            </w:r>
          </w:p>
        </w:tc>
        <w:tc>
          <w:tcPr>
            <w:tcW w:w="284" w:type="dxa"/>
            <w:tcBorders>
              <w:top w:val="none" w:sz="0" w:space="0" w:color="auto"/>
              <w:bottom w:val="none" w:sz="0" w:space="0" w:color="auto"/>
            </w:tcBorders>
            <w:vAlign w:val="center"/>
          </w:tcPr>
          <w:p w14:paraId="6BF3B9E4"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3" w:type="dxa"/>
            <w:tcBorders>
              <w:top w:val="none" w:sz="0" w:space="0" w:color="auto"/>
              <w:bottom w:val="none" w:sz="0" w:space="0" w:color="auto"/>
            </w:tcBorders>
            <w:shd w:val="clear" w:color="auto" w:fill="FFE599" w:themeFill="accent4" w:themeFillTint="66"/>
            <w:vAlign w:val="center"/>
          </w:tcPr>
          <w:p w14:paraId="002F4702"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4" w:type="dxa"/>
            <w:tcBorders>
              <w:top w:val="none" w:sz="0" w:space="0" w:color="auto"/>
              <w:bottom w:val="none" w:sz="0" w:space="0" w:color="auto"/>
            </w:tcBorders>
            <w:shd w:val="clear" w:color="auto" w:fill="FFE599" w:themeFill="accent4" w:themeFillTint="66"/>
            <w:vAlign w:val="center"/>
          </w:tcPr>
          <w:p w14:paraId="30C3CFD9"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r>
      <w:tr w:rsidR="002C2855" w:rsidRPr="00F236F2" w14:paraId="72D510FE" w14:textId="77777777" w:rsidTr="7AA741B9">
        <w:trPr>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16E3050"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vAlign w:val="center"/>
          </w:tcPr>
          <w:p w14:paraId="7B40275A" w14:textId="77777777" w:rsidR="002C2855" w:rsidRPr="00F236F2" w:rsidRDefault="002C2855" w:rsidP="00624AA4">
            <w:pPr>
              <w:pStyle w:val="Defaul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F236F2">
              <w:rPr>
                <w:rFonts w:asciiTheme="minorHAnsi" w:eastAsiaTheme="minorHAnsi" w:hAnsiTheme="minorHAnsi" w:cs="Times New Roman"/>
                <w:color w:val="000000" w:themeColor="text1"/>
                <w:sz w:val="18"/>
                <w:szCs w:val="18"/>
              </w:rPr>
              <w:t>6.5. Tworzenie warunków rozwoju inteligentnych specjalizacji, w tym wspierania sektorów kreatywnych w gospodarce</w:t>
            </w:r>
          </w:p>
        </w:tc>
        <w:tc>
          <w:tcPr>
            <w:tcW w:w="284" w:type="dxa"/>
            <w:shd w:val="clear" w:color="auto" w:fill="FFE599" w:themeFill="accent4" w:themeFillTint="66"/>
            <w:vAlign w:val="center"/>
          </w:tcPr>
          <w:p w14:paraId="6732B409"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3" w:type="dxa"/>
            <w:shd w:val="clear" w:color="auto" w:fill="FFE599" w:themeFill="accent4" w:themeFillTint="66"/>
            <w:vAlign w:val="center"/>
          </w:tcPr>
          <w:p w14:paraId="1F31AAE4"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4" w:type="dxa"/>
            <w:shd w:val="clear" w:color="auto" w:fill="FFFFFF" w:themeFill="background1"/>
            <w:vAlign w:val="center"/>
          </w:tcPr>
          <w:p w14:paraId="4F75BCB3"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r>
      <w:tr w:rsidR="002C2855" w:rsidRPr="00F236F2" w14:paraId="61D621C1" w14:textId="77777777" w:rsidTr="7AA741B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2F9C4AD"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tcBorders>
              <w:top w:val="none" w:sz="0" w:space="0" w:color="auto"/>
              <w:bottom w:val="none" w:sz="0" w:space="0" w:color="auto"/>
            </w:tcBorders>
            <w:vAlign w:val="center"/>
          </w:tcPr>
          <w:p w14:paraId="72FB09F8" w14:textId="77777777" w:rsidR="002C2855" w:rsidRPr="00F236F2" w:rsidRDefault="002C2855" w:rsidP="00624AA4">
            <w:pPr>
              <w:pStyle w:val="Defaul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sidRPr="00F236F2">
              <w:rPr>
                <w:rFonts w:asciiTheme="minorHAnsi" w:eastAsiaTheme="minorHAnsi" w:hAnsiTheme="minorHAnsi" w:cs="Times New Roman"/>
                <w:color w:val="000000" w:themeColor="text1"/>
                <w:sz w:val="18"/>
                <w:szCs w:val="18"/>
              </w:rPr>
              <w:t>6.6. Rozwój instrumentów finansowych dla gospodarki</w:t>
            </w:r>
          </w:p>
        </w:tc>
        <w:tc>
          <w:tcPr>
            <w:tcW w:w="284" w:type="dxa"/>
            <w:tcBorders>
              <w:top w:val="none" w:sz="0" w:space="0" w:color="auto"/>
              <w:bottom w:val="none" w:sz="0" w:space="0" w:color="auto"/>
            </w:tcBorders>
            <w:shd w:val="clear" w:color="auto" w:fill="FFE599" w:themeFill="accent4" w:themeFillTint="66"/>
            <w:vAlign w:val="center"/>
          </w:tcPr>
          <w:p w14:paraId="23BA694E"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3" w:type="dxa"/>
            <w:tcBorders>
              <w:top w:val="none" w:sz="0" w:space="0" w:color="auto"/>
              <w:bottom w:val="none" w:sz="0" w:space="0" w:color="auto"/>
            </w:tcBorders>
            <w:shd w:val="clear" w:color="auto" w:fill="FFE599" w:themeFill="accent4" w:themeFillTint="66"/>
            <w:vAlign w:val="center"/>
          </w:tcPr>
          <w:p w14:paraId="416692B4"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4" w:type="dxa"/>
            <w:tcBorders>
              <w:top w:val="none" w:sz="0" w:space="0" w:color="auto"/>
              <w:bottom w:val="none" w:sz="0" w:space="0" w:color="auto"/>
            </w:tcBorders>
            <w:shd w:val="clear" w:color="auto" w:fill="FFE599" w:themeFill="accent4" w:themeFillTint="66"/>
            <w:vAlign w:val="center"/>
          </w:tcPr>
          <w:p w14:paraId="1716D42B"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r>
      <w:tr w:rsidR="002C2855" w:rsidRPr="00F236F2" w14:paraId="66791CC0" w14:textId="77777777" w:rsidTr="7AA741B9">
        <w:trPr>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ED9C26D"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vAlign w:val="center"/>
          </w:tcPr>
          <w:p w14:paraId="3304BD38" w14:textId="77777777" w:rsidR="002C2855" w:rsidRPr="00F236F2" w:rsidRDefault="002C2855" w:rsidP="00624AA4">
            <w:pPr>
              <w:pStyle w:val="Defaul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F236F2">
              <w:rPr>
                <w:rFonts w:asciiTheme="minorHAnsi" w:eastAsiaTheme="minorHAnsi" w:hAnsiTheme="minorHAnsi" w:cs="Times New Roman"/>
                <w:color w:val="000000" w:themeColor="text1"/>
                <w:sz w:val="18"/>
                <w:szCs w:val="18"/>
              </w:rPr>
              <w:t>6.7. Doskonalenie kadr gospodarki</w:t>
            </w:r>
          </w:p>
        </w:tc>
        <w:tc>
          <w:tcPr>
            <w:tcW w:w="284" w:type="dxa"/>
            <w:shd w:val="clear" w:color="auto" w:fill="FFE599" w:themeFill="accent4" w:themeFillTint="66"/>
            <w:vAlign w:val="center"/>
          </w:tcPr>
          <w:p w14:paraId="57DBDD4B"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3" w:type="dxa"/>
            <w:shd w:val="clear" w:color="auto" w:fill="FFE599" w:themeFill="accent4" w:themeFillTint="66"/>
            <w:vAlign w:val="center"/>
          </w:tcPr>
          <w:p w14:paraId="28C558D2"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4" w:type="dxa"/>
            <w:shd w:val="clear" w:color="auto" w:fill="auto"/>
            <w:vAlign w:val="center"/>
          </w:tcPr>
          <w:p w14:paraId="35ED2A36"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r>
      <w:tr w:rsidR="002C2855" w:rsidRPr="00F236F2" w14:paraId="5FF819C3" w14:textId="77777777" w:rsidTr="7AA741B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4F50E85C"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tcBorders>
              <w:top w:val="none" w:sz="0" w:space="0" w:color="auto"/>
              <w:bottom w:val="none" w:sz="0" w:space="0" w:color="auto"/>
            </w:tcBorders>
            <w:vAlign w:val="center"/>
          </w:tcPr>
          <w:p w14:paraId="6DEEFFDD" w14:textId="77777777" w:rsidR="002C2855" w:rsidRPr="00F236F2" w:rsidRDefault="002C2855" w:rsidP="00624AA4">
            <w:pPr>
              <w:pStyle w:val="Defaul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sidRPr="00F236F2">
              <w:rPr>
                <w:rFonts w:asciiTheme="minorHAnsi" w:eastAsiaTheme="minorHAnsi" w:hAnsiTheme="minorHAnsi" w:cs="Times New Roman"/>
                <w:color w:val="000000" w:themeColor="text1"/>
                <w:sz w:val="18"/>
                <w:szCs w:val="18"/>
              </w:rPr>
              <w:t>6.8. Przygotowanie i racjonalne wykorzystanie terenów inwestycyjnych</w:t>
            </w:r>
          </w:p>
        </w:tc>
        <w:tc>
          <w:tcPr>
            <w:tcW w:w="284" w:type="dxa"/>
            <w:tcBorders>
              <w:top w:val="none" w:sz="0" w:space="0" w:color="auto"/>
              <w:bottom w:val="none" w:sz="0" w:space="0" w:color="auto"/>
            </w:tcBorders>
            <w:shd w:val="clear" w:color="auto" w:fill="FFE599" w:themeFill="accent4" w:themeFillTint="66"/>
            <w:vAlign w:val="center"/>
          </w:tcPr>
          <w:p w14:paraId="04DAB773"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3" w:type="dxa"/>
            <w:tcBorders>
              <w:top w:val="none" w:sz="0" w:space="0" w:color="auto"/>
              <w:bottom w:val="none" w:sz="0" w:space="0" w:color="auto"/>
            </w:tcBorders>
            <w:shd w:val="clear" w:color="auto" w:fill="FFE599" w:themeFill="accent4" w:themeFillTint="66"/>
            <w:vAlign w:val="center"/>
          </w:tcPr>
          <w:p w14:paraId="55BC7B7C"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4" w:type="dxa"/>
            <w:tcBorders>
              <w:top w:val="none" w:sz="0" w:space="0" w:color="auto"/>
              <w:bottom w:val="none" w:sz="0" w:space="0" w:color="auto"/>
            </w:tcBorders>
            <w:shd w:val="clear" w:color="auto" w:fill="FFE599" w:themeFill="accent4" w:themeFillTint="66"/>
            <w:vAlign w:val="center"/>
          </w:tcPr>
          <w:p w14:paraId="3ADA338A"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r>
      <w:tr w:rsidR="002C2855" w:rsidRPr="00F236F2" w14:paraId="063FE4CF" w14:textId="77777777" w:rsidTr="7AA741B9">
        <w:trPr>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4C012581"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vAlign w:val="center"/>
          </w:tcPr>
          <w:p w14:paraId="6308B3A2" w14:textId="77777777" w:rsidR="002C2855" w:rsidRPr="00F236F2" w:rsidRDefault="002C2855" w:rsidP="00624AA4">
            <w:pPr>
              <w:pStyle w:val="Defaul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F236F2">
              <w:rPr>
                <w:rFonts w:asciiTheme="minorHAnsi" w:eastAsiaTheme="minorHAnsi" w:hAnsiTheme="minorHAnsi" w:cs="Times New Roman"/>
                <w:color w:val="000000" w:themeColor="text1"/>
                <w:sz w:val="18"/>
                <w:szCs w:val="18"/>
              </w:rPr>
              <w:t>6.9. Tworzenie warunków dla ekspansji gospodarki województwa na rynki zewnętrzne</w:t>
            </w:r>
          </w:p>
        </w:tc>
        <w:tc>
          <w:tcPr>
            <w:tcW w:w="284" w:type="dxa"/>
            <w:shd w:val="clear" w:color="auto" w:fill="FFE599" w:themeFill="accent4" w:themeFillTint="66"/>
            <w:vAlign w:val="center"/>
          </w:tcPr>
          <w:p w14:paraId="5FE02BA9"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3" w:type="dxa"/>
            <w:shd w:val="clear" w:color="auto" w:fill="FFE599" w:themeFill="accent4" w:themeFillTint="66"/>
            <w:vAlign w:val="center"/>
          </w:tcPr>
          <w:p w14:paraId="35F7DC1F"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4" w:type="dxa"/>
            <w:shd w:val="clear" w:color="auto" w:fill="FFE599" w:themeFill="accent4" w:themeFillTint="66"/>
            <w:vAlign w:val="center"/>
          </w:tcPr>
          <w:p w14:paraId="00C4500E"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r>
      <w:tr w:rsidR="002C2855" w:rsidRPr="00F236F2" w14:paraId="370E120B" w14:textId="77777777" w:rsidTr="7AA741B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5C3983C2"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tcBorders>
              <w:top w:val="none" w:sz="0" w:space="0" w:color="auto"/>
              <w:bottom w:val="none" w:sz="0" w:space="0" w:color="auto"/>
            </w:tcBorders>
            <w:vAlign w:val="center"/>
          </w:tcPr>
          <w:p w14:paraId="25809568" w14:textId="77777777" w:rsidR="002C2855" w:rsidRPr="00F236F2" w:rsidRDefault="002C2855" w:rsidP="00624AA4">
            <w:pPr>
              <w:pStyle w:val="Defaul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sidRPr="00F236F2">
              <w:rPr>
                <w:rFonts w:asciiTheme="minorHAnsi" w:hAnsiTheme="minorHAnsi"/>
                <w:color w:val="000000" w:themeColor="text1"/>
                <w:sz w:val="18"/>
                <w:szCs w:val="18"/>
              </w:rPr>
              <w:t>6.10. Poprawa warunków dla rozwoju rolnictwa i przetwórstwa rolnego</w:t>
            </w:r>
          </w:p>
        </w:tc>
        <w:tc>
          <w:tcPr>
            <w:tcW w:w="284" w:type="dxa"/>
            <w:tcBorders>
              <w:top w:val="none" w:sz="0" w:space="0" w:color="auto"/>
              <w:bottom w:val="none" w:sz="0" w:space="0" w:color="auto"/>
            </w:tcBorders>
            <w:shd w:val="clear" w:color="auto" w:fill="FFE599" w:themeFill="accent4" w:themeFillTint="66"/>
            <w:vAlign w:val="center"/>
          </w:tcPr>
          <w:p w14:paraId="50F08EE5"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3" w:type="dxa"/>
            <w:tcBorders>
              <w:top w:val="none" w:sz="0" w:space="0" w:color="auto"/>
              <w:bottom w:val="none" w:sz="0" w:space="0" w:color="auto"/>
            </w:tcBorders>
            <w:shd w:val="clear" w:color="auto" w:fill="FFE599" w:themeFill="accent4" w:themeFillTint="66"/>
            <w:vAlign w:val="center"/>
          </w:tcPr>
          <w:p w14:paraId="37A6D869"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4" w:type="dxa"/>
            <w:tcBorders>
              <w:top w:val="none" w:sz="0" w:space="0" w:color="auto"/>
              <w:bottom w:val="none" w:sz="0" w:space="0" w:color="auto"/>
            </w:tcBorders>
            <w:shd w:val="clear" w:color="auto" w:fill="FFFFFF" w:themeFill="background1"/>
            <w:vAlign w:val="center"/>
          </w:tcPr>
          <w:p w14:paraId="16C8F93B"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r>
      <w:tr w:rsidR="002C2855" w:rsidRPr="00F236F2" w14:paraId="65C8FB60" w14:textId="77777777" w:rsidTr="7AA741B9">
        <w:trPr>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31D70005"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vAlign w:val="center"/>
          </w:tcPr>
          <w:p w14:paraId="2028995C" w14:textId="77777777" w:rsidR="002C2855" w:rsidRPr="00F236F2" w:rsidRDefault="002C2855" w:rsidP="00624AA4">
            <w:pPr>
              <w:pStyle w:val="Defaul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F236F2">
              <w:rPr>
                <w:rFonts w:asciiTheme="minorHAnsi" w:hAnsiTheme="minorHAnsi"/>
                <w:color w:val="000000" w:themeColor="text1"/>
                <w:sz w:val="18"/>
                <w:szCs w:val="18"/>
              </w:rPr>
              <w:t>6.11 Rozwój gospodarki społecznej</w:t>
            </w:r>
          </w:p>
        </w:tc>
        <w:tc>
          <w:tcPr>
            <w:tcW w:w="284" w:type="dxa"/>
            <w:shd w:val="clear" w:color="auto" w:fill="FFE599" w:themeFill="accent4" w:themeFillTint="66"/>
            <w:vAlign w:val="center"/>
          </w:tcPr>
          <w:p w14:paraId="50901438"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83" w:type="dxa"/>
            <w:shd w:val="clear" w:color="auto" w:fill="FFE599" w:themeFill="accent4" w:themeFillTint="66"/>
            <w:vAlign w:val="center"/>
          </w:tcPr>
          <w:p w14:paraId="42649238"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84" w:type="dxa"/>
            <w:shd w:val="clear" w:color="auto" w:fill="FFFFFF" w:themeFill="background1"/>
            <w:vAlign w:val="center"/>
          </w:tcPr>
          <w:p w14:paraId="274A3B12"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2C2855" w:rsidRPr="00F236F2" w14:paraId="4E1764B8" w14:textId="77777777" w:rsidTr="7AA741B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A6089E8"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tcBorders>
              <w:top w:val="none" w:sz="0" w:space="0" w:color="auto"/>
              <w:bottom w:val="none" w:sz="0" w:space="0" w:color="auto"/>
            </w:tcBorders>
            <w:vAlign w:val="center"/>
          </w:tcPr>
          <w:p w14:paraId="14978909" w14:textId="77777777" w:rsidR="002C2855" w:rsidRPr="00F236F2" w:rsidRDefault="002C2855" w:rsidP="00624AA4">
            <w:pPr>
              <w:pStyle w:val="Defaul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sidRPr="00F236F2">
              <w:rPr>
                <w:rFonts w:asciiTheme="minorHAnsi" w:eastAsiaTheme="minorHAnsi" w:hAnsiTheme="minorHAnsi" w:cs="Times New Roman"/>
                <w:color w:val="000000" w:themeColor="text1"/>
                <w:sz w:val="18"/>
                <w:szCs w:val="18"/>
              </w:rPr>
              <w:t>6.12. Rozwój "srebrnego" sektora gospodarki</w:t>
            </w:r>
          </w:p>
        </w:tc>
        <w:tc>
          <w:tcPr>
            <w:tcW w:w="284" w:type="dxa"/>
            <w:tcBorders>
              <w:top w:val="none" w:sz="0" w:space="0" w:color="auto"/>
              <w:bottom w:val="none" w:sz="0" w:space="0" w:color="auto"/>
            </w:tcBorders>
            <w:shd w:val="clear" w:color="auto" w:fill="FFE599" w:themeFill="accent4" w:themeFillTint="66"/>
            <w:vAlign w:val="center"/>
          </w:tcPr>
          <w:p w14:paraId="1470EC7F"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3" w:type="dxa"/>
            <w:tcBorders>
              <w:top w:val="none" w:sz="0" w:space="0" w:color="auto"/>
              <w:bottom w:val="none" w:sz="0" w:space="0" w:color="auto"/>
            </w:tcBorders>
            <w:shd w:val="clear" w:color="auto" w:fill="FFE599" w:themeFill="accent4" w:themeFillTint="66"/>
            <w:vAlign w:val="center"/>
          </w:tcPr>
          <w:p w14:paraId="4B2D8FE4"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4" w:type="dxa"/>
            <w:tcBorders>
              <w:top w:val="none" w:sz="0" w:space="0" w:color="auto"/>
              <w:bottom w:val="none" w:sz="0" w:space="0" w:color="auto"/>
            </w:tcBorders>
            <w:shd w:val="clear" w:color="auto" w:fill="FFFFFF" w:themeFill="background1"/>
            <w:vAlign w:val="center"/>
          </w:tcPr>
          <w:p w14:paraId="2DF5E9CF"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r>
      <w:tr w:rsidR="002C2855" w:rsidRPr="00F236F2" w14:paraId="04039CF1" w14:textId="77777777" w:rsidTr="7AA741B9">
        <w:trPr>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27FBB5C"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vAlign w:val="center"/>
          </w:tcPr>
          <w:p w14:paraId="2943B46E" w14:textId="77777777" w:rsidR="002C2855" w:rsidRPr="00F236F2" w:rsidRDefault="002C2855" w:rsidP="00624AA4">
            <w:pPr>
              <w:pStyle w:val="Defaul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F236F2">
              <w:rPr>
                <w:rFonts w:asciiTheme="minorHAnsi" w:eastAsiaTheme="minorHAnsi" w:hAnsiTheme="minorHAnsi" w:cs="Times New Roman"/>
                <w:color w:val="000000" w:themeColor="text1"/>
                <w:sz w:val="18"/>
                <w:szCs w:val="18"/>
              </w:rPr>
              <w:t>6.13. Rozwój biznesu i usług zdrowotnych</w:t>
            </w:r>
          </w:p>
        </w:tc>
        <w:tc>
          <w:tcPr>
            <w:tcW w:w="284" w:type="dxa"/>
            <w:vAlign w:val="center"/>
          </w:tcPr>
          <w:p w14:paraId="256DAB1E"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3" w:type="dxa"/>
            <w:shd w:val="clear" w:color="auto" w:fill="FFE599" w:themeFill="accent4" w:themeFillTint="66"/>
            <w:vAlign w:val="center"/>
          </w:tcPr>
          <w:p w14:paraId="7B4A587D"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4" w:type="dxa"/>
            <w:shd w:val="clear" w:color="auto" w:fill="FFE599" w:themeFill="accent4" w:themeFillTint="66"/>
            <w:vAlign w:val="center"/>
          </w:tcPr>
          <w:p w14:paraId="6E31B542"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r>
      <w:tr w:rsidR="002C2855" w:rsidRPr="00F236F2" w14:paraId="530BA58B" w14:textId="77777777" w:rsidTr="7AA741B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none" w:sz="0" w:space="0" w:color="auto"/>
              <w:bottom w:val="none" w:sz="0" w:space="0" w:color="auto"/>
            </w:tcBorders>
            <w:vAlign w:val="center"/>
          </w:tcPr>
          <w:p w14:paraId="19A875B0" w14:textId="77777777" w:rsidR="002C2855" w:rsidRPr="00F236F2" w:rsidRDefault="002C2855" w:rsidP="00624AA4">
            <w:pPr>
              <w:pStyle w:val="Default"/>
              <w:spacing w:after="0"/>
              <w:rPr>
                <w:rFonts w:asciiTheme="minorHAnsi" w:hAnsiTheme="minorHAnsi"/>
                <w:color w:val="000000" w:themeColor="text1"/>
                <w:sz w:val="18"/>
                <w:szCs w:val="18"/>
              </w:rPr>
            </w:pPr>
            <w:r w:rsidRPr="00F236F2">
              <w:rPr>
                <w:rFonts w:asciiTheme="minorHAnsi" w:hAnsiTheme="minorHAnsi"/>
                <w:color w:val="000000" w:themeColor="text1"/>
                <w:sz w:val="18"/>
                <w:szCs w:val="18"/>
              </w:rPr>
              <w:t>7. Wzrost kompetencji mieszkańców i zatrudnienia</w:t>
            </w:r>
          </w:p>
        </w:tc>
        <w:tc>
          <w:tcPr>
            <w:tcW w:w="6096" w:type="dxa"/>
            <w:tcBorders>
              <w:top w:val="none" w:sz="0" w:space="0" w:color="auto"/>
              <w:bottom w:val="none" w:sz="0" w:space="0" w:color="auto"/>
            </w:tcBorders>
            <w:vAlign w:val="center"/>
          </w:tcPr>
          <w:p w14:paraId="6EB793E3" w14:textId="77777777" w:rsidR="002C2855" w:rsidRPr="00F236F2" w:rsidRDefault="002C2855" w:rsidP="00624AA4">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236F2">
              <w:rPr>
                <w:rFonts w:asciiTheme="minorHAnsi" w:eastAsiaTheme="minorHAnsi" w:hAnsiTheme="minorHAnsi" w:cs="Times New Roman"/>
                <w:sz w:val="18"/>
                <w:szCs w:val="18"/>
              </w:rPr>
              <w:t>7.1. Poprawa warunków, jakości i dostępności edukacji</w:t>
            </w:r>
          </w:p>
        </w:tc>
        <w:tc>
          <w:tcPr>
            <w:tcW w:w="284" w:type="dxa"/>
            <w:tcBorders>
              <w:top w:val="none" w:sz="0" w:space="0" w:color="auto"/>
              <w:bottom w:val="none" w:sz="0" w:space="0" w:color="auto"/>
            </w:tcBorders>
            <w:shd w:val="clear" w:color="auto" w:fill="FFE599" w:themeFill="accent4" w:themeFillTint="66"/>
            <w:vAlign w:val="center"/>
          </w:tcPr>
          <w:p w14:paraId="13B15917"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3" w:type="dxa"/>
            <w:tcBorders>
              <w:top w:val="none" w:sz="0" w:space="0" w:color="auto"/>
              <w:bottom w:val="none" w:sz="0" w:space="0" w:color="auto"/>
            </w:tcBorders>
            <w:shd w:val="clear" w:color="auto" w:fill="FFE599" w:themeFill="accent4" w:themeFillTint="66"/>
            <w:vAlign w:val="center"/>
          </w:tcPr>
          <w:p w14:paraId="15B370F2"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4" w:type="dxa"/>
            <w:tcBorders>
              <w:top w:val="none" w:sz="0" w:space="0" w:color="auto"/>
              <w:bottom w:val="none" w:sz="0" w:space="0" w:color="auto"/>
            </w:tcBorders>
            <w:vAlign w:val="center"/>
          </w:tcPr>
          <w:p w14:paraId="2000A020"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r>
      <w:tr w:rsidR="002C2855" w:rsidRPr="00F236F2" w14:paraId="5AD04814" w14:textId="77777777" w:rsidTr="7AA741B9">
        <w:trPr>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0DAAF00"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vAlign w:val="center"/>
          </w:tcPr>
          <w:p w14:paraId="60783CE2" w14:textId="77777777" w:rsidR="002C2855" w:rsidRPr="00F236F2" w:rsidRDefault="002C2855" w:rsidP="00624AA4">
            <w:pPr>
              <w:pStyle w:val="Defaul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F236F2">
              <w:rPr>
                <w:rFonts w:asciiTheme="minorHAnsi" w:eastAsiaTheme="minorHAnsi" w:hAnsiTheme="minorHAnsi" w:cs="Times New Roman"/>
                <w:color w:val="000000" w:themeColor="text1"/>
                <w:sz w:val="18"/>
                <w:szCs w:val="18"/>
              </w:rPr>
              <w:t>7.2. Wsparcie szkolnictwa wyższego</w:t>
            </w:r>
          </w:p>
        </w:tc>
        <w:tc>
          <w:tcPr>
            <w:tcW w:w="284" w:type="dxa"/>
            <w:shd w:val="clear" w:color="auto" w:fill="FFFFFF" w:themeFill="background1"/>
            <w:vAlign w:val="center"/>
          </w:tcPr>
          <w:p w14:paraId="7FC4988B"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3" w:type="dxa"/>
            <w:shd w:val="clear" w:color="auto" w:fill="FFE599" w:themeFill="accent4" w:themeFillTint="66"/>
            <w:vAlign w:val="center"/>
          </w:tcPr>
          <w:p w14:paraId="341D0E20"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4" w:type="dxa"/>
            <w:vAlign w:val="center"/>
          </w:tcPr>
          <w:p w14:paraId="59B39E64"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r>
      <w:tr w:rsidR="002C2855" w:rsidRPr="00F236F2" w14:paraId="334BF0BF" w14:textId="77777777" w:rsidTr="7AA741B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36A1ABC"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tcBorders>
              <w:top w:val="none" w:sz="0" w:space="0" w:color="auto"/>
              <w:bottom w:val="none" w:sz="0" w:space="0" w:color="auto"/>
            </w:tcBorders>
            <w:vAlign w:val="center"/>
          </w:tcPr>
          <w:p w14:paraId="18904E41" w14:textId="77777777" w:rsidR="002C2855" w:rsidRPr="00F236F2" w:rsidRDefault="002C2855" w:rsidP="00624AA4">
            <w:pPr>
              <w:pStyle w:val="Defaul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sidRPr="00F236F2">
              <w:rPr>
                <w:rFonts w:asciiTheme="minorHAnsi" w:eastAsiaTheme="minorHAnsi" w:hAnsiTheme="minorHAnsi" w:cs="Times New Roman"/>
                <w:color w:val="000000" w:themeColor="text1"/>
                <w:sz w:val="18"/>
                <w:szCs w:val="18"/>
              </w:rPr>
              <w:t>7.3. Promocja przedsiębiorczości i zatrudnialności</w:t>
            </w:r>
          </w:p>
        </w:tc>
        <w:tc>
          <w:tcPr>
            <w:tcW w:w="284" w:type="dxa"/>
            <w:tcBorders>
              <w:top w:val="none" w:sz="0" w:space="0" w:color="auto"/>
              <w:bottom w:val="none" w:sz="0" w:space="0" w:color="auto"/>
            </w:tcBorders>
            <w:shd w:val="clear" w:color="auto" w:fill="FFE599" w:themeFill="accent4" w:themeFillTint="66"/>
            <w:vAlign w:val="center"/>
          </w:tcPr>
          <w:p w14:paraId="7316D0AD"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3" w:type="dxa"/>
            <w:tcBorders>
              <w:top w:val="none" w:sz="0" w:space="0" w:color="auto"/>
              <w:bottom w:val="none" w:sz="0" w:space="0" w:color="auto"/>
            </w:tcBorders>
            <w:shd w:val="clear" w:color="auto" w:fill="FFE599" w:themeFill="accent4" w:themeFillTint="66"/>
            <w:vAlign w:val="center"/>
          </w:tcPr>
          <w:p w14:paraId="4D507E79"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4" w:type="dxa"/>
            <w:tcBorders>
              <w:top w:val="none" w:sz="0" w:space="0" w:color="auto"/>
              <w:bottom w:val="none" w:sz="0" w:space="0" w:color="auto"/>
            </w:tcBorders>
            <w:vAlign w:val="center"/>
          </w:tcPr>
          <w:p w14:paraId="2410CB17"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r>
      <w:tr w:rsidR="002C2855" w:rsidRPr="00F236F2" w14:paraId="68B5C99A" w14:textId="77777777" w:rsidTr="7AA741B9">
        <w:trPr>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35F9C7E"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vAlign w:val="center"/>
          </w:tcPr>
          <w:p w14:paraId="06033DBB" w14:textId="77777777" w:rsidR="002C2855" w:rsidRPr="00F236F2" w:rsidRDefault="002C2855" w:rsidP="00624AA4">
            <w:pPr>
              <w:pStyle w:val="Defaul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F236F2">
              <w:rPr>
                <w:rFonts w:asciiTheme="minorHAnsi" w:eastAsiaTheme="minorHAnsi" w:hAnsiTheme="minorHAnsi" w:cs="Times New Roman"/>
                <w:color w:val="000000" w:themeColor="text1"/>
                <w:sz w:val="18"/>
                <w:szCs w:val="18"/>
              </w:rPr>
              <w:t>7.4. Rozwój oraz promocja postaw kreatywnych i innowacyjnych</w:t>
            </w:r>
          </w:p>
        </w:tc>
        <w:tc>
          <w:tcPr>
            <w:tcW w:w="284" w:type="dxa"/>
            <w:shd w:val="clear" w:color="auto" w:fill="auto"/>
            <w:vAlign w:val="center"/>
          </w:tcPr>
          <w:p w14:paraId="4563EC00"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3" w:type="dxa"/>
            <w:shd w:val="clear" w:color="auto" w:fill="FFE599" w:themeFill="accent4" w:themeFillTint="66"/>
            <w:vAlign w:val="center"/>
          </w:tcPr>
          <w:p w14:paraId="25619744"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4" w:type="dxa"/>
            <w:shd w:val="clear" w:color="auto" w:fill="FFE599" w:themeFill="accent4" w:themeFillTint="66"/>
            <w:vAlign w:val="center"/>
          </w:tcPr>
          <w:p w14:paraId="2BF4C852"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r>
      <w:tr w:rsidR="002C2855" w:rsidRPr="00F236F2" w14:paraId="367B76E0" w14:textId="77777777" w:rsidTr="7AA741B9">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210414A7"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tcBorders>
              <w:top w:val="none" w:sz="0" w:space="0" w:color="auto"/>
              <w:bottom w:val="none" w:sz="0" w:space="0" w:color="auto"/>
            </w:tcBorders>
            <w:vAlign w:val="center"/>
          </w:tcPr>
          <w:p w14:paraId="3499203D" w14:textId="77777777" w:rsidR="002C2855" w:rsidRPr="00F236F2" w:rsidRDefault="002C2855" w:rsidP="00624AA4">
            <w:pPr>
              <w:pStyle w:val="Defaul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sidRPr="00F236F2">
              <w:rPr>
                <w:rFonts w:asciiTheme="minorHAnsi" w:eastAsiaTheme="minorHAnsi" w:hAnsiTheme="minorHAnsi" w:cs="Times New Roman"/>
                <w:color w:val="000000" w:themeColor="text1"/>
                <w:sz w:val="18"/>
                <w:szCs w:val="18"/>
              </w:rPr>
              <w:t>7.5. Wzmocnienie szkolnictwa zawodowego i technicznego oraz poprawa organizacji rynku pracy</w:t>
            </w:r>
          </w:p>
        </w:tc>
        <w:tc>
          <w:tcPr>
            <w:tcW w:w="284" w:type="dxa"/>
            <w:tcBorders>
              <w:top w:val="none" w:sz="0" w:space="0" w:color="auto"/>
              <w:bottom w:val="none" w:sz="0" w:space="0" w:color="auto"/>
            </w:tcBorders>
            <w:shd w:val="clear" w:color="auto" w:fill="FFFFFF" w:themeFill="background1"/>
            <w:vAlign w:val="center"/>
          </w:tcPr>
          <w:p w14:paraId="71768844"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3" w:type="dxa"/>
            <w:tcBorders>
              <w:top w:val="none" w:sz="0" w:space="0" w:color="auto"/>
              <w:bottom w:val="none" w:sz="0" w:space="0" w:color="auto"/>
            </w:tcBorders>
            <w:shd w:val="clear" w:color="auto" w:fill="FFE599" w:themeFill="accent4" w:themeFillTint="66"/>
            <w:vAlign w:val="center"/>
          </w:tcPr>
          <w:p w14:paraId="6B569D2D"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4" w:type="dxa"/>
            <w:tcBorders>
              <w:top w:val="none" w:sz="0" w:space="0" w:color="auto"/>
              <w:bottom w:val="none" w:sz="0" w:space="0" w:color="auto"/>
            </w:tcBorders>
            <w:vAlign w:val="center"/>
          </w:tcPr>
          <w:p w14:paraId="74D8A694"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r>
      <w:tr w:rsidR="002C2855" w:rsidRPr="00F236F2" w14:paraId="7156DBDD" w14:textId="77777777" w:rsidTr="7AA741B9">
        <w:trPr>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398C33A3"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vAlign w:val="center"/>
          </w:tcPr>
          <w:p w14:paraId="52A5B9E6" w14:textId="77777777" w:rsidR="002C2855" w:rsidRPr="00F236F2" w:rsidRDefault="002C2855" w:rsidP="00624AA4">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sz w:val="18"/>
                <w:szCs w:val="18"/>
              </w:rPr>
            </w:pPr>
            <w:r w:rsidRPr="00F236F2">
              <w:rPr>
                <w:rFonts w:asciiTheme="minorHAnsi" w:eastAsiaTheme="minorHAnsi" w:hAnsiTheme="minorHAnsi" w:cs="Times New Roman"/>
                <w:sz w:val="18"/>
                <w:szCs w:val="18"/>
              </w:rPr>
              <w:t xml:space="preserve">7.6. Rozwój kształcenia ustawicznego </w:t>
            </w:r>
          </w:p>
        </w:tc>
        <w:tc>
          <w:tcPr>
            <w:tcW w:w="284" w:type="dxa"/>
            <w:shd w:val="clear" w:color="auto" w:fill="FFFFFF" w:themeFill="background1"/>
            <w:vAlign w:val="center"/>
          </w:tcPr>
          <w:p w14:paraId="3AD9838C"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3" w:type="dxa"/>
            <w:shd w:val="clear" w:color="auto" w:fill="FFE599" w:themeFill="accent4" w:themeFillTint="66"/>
            <w:vAlign w:val="center"/>
          </w:tcPr>
          <w:p w14:paraId="45986747"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4" w:type="dxa"/>
            <w:vAlign w:val="center"/>
          </w:tcPr>
          <w:p w14:paraId="02BEEB55"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r>
      <w:tr w:rsidR="002C2855" w:rsidRPr="00F236F2" w14:paraId="4179D835" w14:textId="77777777" w:rsidTr="7AA741B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none" w:sz="0" w:space="0" w:color="auto"/>
              <w:bottom w:val="none" w:sz="0" w:space="0" w:color="auto"/>
            </w:tcBorders>
            <w:vAlign w:val="center"/>
          </w:tcPr>
          <w:p w14:paraId="2C3DB223" w14:textId="77777777" w:rsidR="002C2855" w:rsidRPr="00F236F2" w:rsidRDefault="002C2855" w:rsidP="00624AA4">
            <w:pPr>
              <w:pStyle w:val="Default"/>
              <w:spacing w:after="0"/>
              <w:rPr>
                <w:rFonts w:asciiTheme="minorHAnsi" w:hAnsiTheme="minorHAnsi"/>
                <w:color w:val="000000" w:themeColor="text1"/>
                <w:sz w:val="18"/>
                <w:szCs w:val="18"/>
              </w:rPr>
            </w:pPr>
            <w:r w:rsidRPr="00F236F2">
              <w:rPr>
                <w:rFonts w:asciiTheme="minorHAnsi" w:hAnsiTheme="minorHAnsi"/>
                <w:color w:val="000000" w:themeColor="text1"/>
                <w:sz w:val="18"/>
                <w:szCs w:val="18"/>
              </w:rPr>
              <w:t>8. Zwiększanie zasobów oraz wyrównywanie potencjałów społecznych województwa</w:t>
            </w:r>
          </w:p>
        </w:tc>
        <w:tc>
          <w:tcPr>
            <w:tcW w:w="6096" w:type="dxa"/>
            <w:tcBorders>
              <w:top w:val="none" w:sz="0" w:space="0" w:color="auto"/>
              <w:bottom w:val="none" w:sz="0" w:space="0" w:color="auto"/>
            </w:tcBorders>
            <w:vAlign w:val="center"/>
          </w:tcPr>
          <w:p w14:paraId="55E7B511" w14:textId="77777777" w:rsidR="002C2855" w:rsidRPr="00F236F2" w:rsidRDefault="002C2855" w:rsidP="00624AA4">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imes New Roman"/>
                <w:sz w:val="18"/>
                <w:szCs w:val="18"/>
              </w:rPr>
            </w:pPr>
            <w:r w:rsidRPr="00F236F2">
              <w:rPr>
                <w:rFonts w:asciiTheme="minorHAnsi" w:eastAsiaTheme="minorHAnsi" w:hAnsiTheme="minorHAnsi" w:cs="Times New Roman"/>
                <w:sz w:val="18"/>
                <w:szCs w:val="18"/>
              </w:rPr>
              <w:t>8.1. Wzmacnianie aktywności zawodowej</w:t>
            </w:r>
          </w:p>
        </w:tc>
        <w:tc>
          <w:tcPr>
            <w:tcW w:w="284" w:type="dxa"/>
            <w:tcBorders>
              <w:top w:val="none" w:sz="0" w:space="0" w:color="auto"/>
              <w:bottom w:val="none" w:sz="0" w:space="0" w:color="auto"/>
            </w:tcBorders>
            <w:shd w:val="clear" w:color="auto" w:fill="FFE599" w:themeFill="accent4" w:themeFillTint="66"/>
            <w:vAlign w:val="center"/>
          </w:tcPr>
          <w:p w14:paraId="351A2A8A"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3" w:type="dxa"/>
            <w:tcBorders>
              <w:top w:val="none" w:sz="0" w:space="0" w:color="auto"/>
              <w:bottom w:val="none" w:sz="0" w:space="0" w:color="auto"/>
            </w:tcBorders>
            <w:shd w:val="clear" w:color="auto" w:fill="FFE599" w:themeFill="accent4" w:themeFillTint="66"/>
            <w:vAlign w:val="center"/>
          </w:tcPr>
          <w:p w14:paraId="47DEB00C"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4" w:type="dxa"/>
            <w:tcBorders>
              <w:top w:val="none" w:sz="0" w:space="0" w:color="auto"/>
              <w:bottom w:val="none" w:sz="0" w:space="0" w:color="auto"/>
            </w:tcBorders>
            <w:vAlign w:val="center"/>
          </w:tcPr>
          <w:p w14:paraId="451493E0"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r>
      <w:tr w:rsidR="002C2855" w:rsidRPr="00F236F2" w14:paraId="0FE09C2E" w14:textId="77777777" w:rsidTr="7AA741B9">
        <w:trPr>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A684F4E"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vAlign w:val="center"/>
          </w:tcPr>
          <w:p w14:paraId="0EB74C50" w14:textId="77777777" w:rsidR="002C2855" w:rsidRPr="00F236F2" w:rsidRDefault="002C2855" w:rsidP="00624AA4">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sz w:val="18"/>
                <w:szCs w:val="18"/>
              </w:rPr>
            </w:pPr>
            <w:r w:rsidRPr="00F236F2">
              <w:rPr>
                <w:rFonts w:asciiTheme="minorHAnsi" w:eastAsiaTheme="minorHAnsi" w:hAnsiTheme="minorHAnsi" w:cs="Times New Roman"/>
                <w:sz w:val="18"/>
                <w:szCs w:val="18"/>
              </w:rPr>
              <w:t xml:space="preserve">8.2. Poprawa sytuacji i przeciwdziałanie zagrożeniom demograficznym </w:t>
            </w:r>
          </w:p>
        </w:tc>
        <w:tc>
          <w:tcPr>
            <w:tcW w:w="284" w:type="dxa"/>
            <w:shd w:val="clear" w:color="auto" w:fill="FFFFFF" w:themeFill="background1"/>
            <w:vAlign w:val="center"/>
          </w:tcPr>
          <w:p w14:paraId="28F75EF9"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3" w:type="dxa"/>
            <w:shd w:val="clear" w:color="auto" w:fill="FFE599" w:themeFill="accent4" w:themeFillTint="66"/>
            <w:vAlign w:val="center"/>
          </w:tcPr>
          <w:p w14:paraId="35033BFE"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4" w:type="dxa"/>
            <w:vAlign w:val="center"/>
          </w:tcPr>
          <w:p w14:paraId="58214854"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r>
      <w:tr w:rsidR="002C2855" w:rsidRPr="00F236F2" w14:paraId="64F52102" w14:textId="77777777" w:rsidTr="7AA741B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36D44623"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tcBorders>
              <w:top w:val="none" w:sz="0" w:space="0" w:color="auto"/>
              <w:bottom w:val="none" w:sz="0" w:space="0" w:color="auto"/>
            </w:tcBorders>
            <w:vAlign w:val="center"/>
          </w:tcPr>
          <w:p w14:paraId="089373C0" w14:textId="77777777" w:rsidR="002C2855" w:rsidRPr="00F236F2" w:rsidRDefault="002C2855" w:rsidP="00624AA4">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imes New Roman"/>
                <w:sz w:val="18"/>
                <w:szCs w:val="18"/>
              </w:rPr>
            </w:pPr>
            <w:r w:rsidRPr="00F236F2">
              <w:rPr>
                <w:rFonts w:asciiTheme="minorHAnsi" w:eastAsiaTheme="minorHAnsi" w:hAnsiTheme="minorHAnsi" w:cs="Times New Roman"/>
                <w:sz w:val="18"/>
                <w:szCs w:val="18"/>
              </w:rPr>
              <w:t xml:space="preserve">8.3. Poprawa stanu zdrowia mieszkańców i opieki zdrowotnej </w:t>
            </w:r>
          </w:p>
        </w:tc>
        <w:tc>
          <w:tcPr>
            <w:tcW w:w="284" w:type="dxa"/>
            <w:tcBorders>
              <w:top w:val="none" w:sz="0" w:space="0" w:color="auto"/>
              <w:bottom w:val="none" w:sz="0" w:space="0" w:color="auto"/>
            </w:tcBorders>
            <w:shd w:val="clear" w:color="auto" w:fill="FFE599" w:themeFill="accent4" w:themeFillTint="66"/>
            <w:vAlign w:val="center"/>
          </w:tcPr>
          <w:p w14:paraId="1BCC47B9"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3" w:type="dxa"/>
            <w:tcBorders>
              <w:top w:val="none" w:sz="0" w:space="0" w:color="auto"/>
              <w:bottom w:val="none" w:sz="0" w:space="0" w:color="auto"/>
            </w:tcBorders>
            <w:shd w:val="clear" w:color="auto" w:fill="FFE599" w:themeFill="accent4" w:themeFillTint="66"/>
            <w:vAlign w:val="center"/>
          </w:tcPr>
          <w:p w14:paraId="06E835D0"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4" w:type="dxa"/>
            <w:tcBorders>
              <w:top w:val="none" w:sz="0" w:space="0" w:color="auto"/>
              <w:bottom w:val="none" w:sz="0" w:space="0" w:color="auto"/>
            </w:tcBorders>
            <w:vAlign w:val="center"/>
          </w:tcPr>
          <w:p w14:paraId="1565297B"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r>
      <w:tr w:rsidR="002C2855" w:rsidRPr="00F236F2" w14:paraId="60D60C00" w14:textId="77777777" w:rsidTr="7AA741B9">
        <w:trPr>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2B0034F3"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vAlign w:val="center"/>
          </w:tcPr>
          <w:p w14:paraId="41FC2558" w14:textId="77777777" w:rsidR="002C2855" w:rsidRPr="00F236F2" w:rsidRDefault="002C2855" w:rsidP="00624AA4">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sz w:val="18"/>
                <w:szCs w:val="18"/>
              </w:rPr>
            </w:pPr>
            <w:r w:rsidRPr="00F236F2">
              <w:rPr>
                <w:rFonts w:asciiTheme="minorHAnsi" w:eastAsiaTheme="minorHAnsi" w:hAnsiTheme="minorHAnsi" w:cs="Times New Roman"/>
                <w:sz w:val="18"/>
                <w:szCs w:val="18"/>
              </w:rPr>
              <w:t xml:space="preserve">8.4. Promocja zdrowego stylu życia. </w:t>
            </w:r>
          </w:p>
        </w:tc>
        <w:tc>
          <w:tcPr>
            <w:tcW w:w="284" w:type="dxa"/>
            <w:shd w:val="clear" w:color="auto" w:fill="FFE599" w:themeFill="accent4" w:themeFillTint="66"/>
            <w:vAlign w:val="center"/>
          </w:tcPr>
          <w:p w14:paraId="01317D5C"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3" w:type="dxa"/>
            <w:shd w:val="clear" w:color="auto" w:fill="FFE599" w:themeFill="accent4" w:themeFillTint="66"/>
            <w:vAlign w:val="center"/>
          </w:tcPr>
          <w:p w14:paraId="62A2E479"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4" w:type="dxa"/>
            <w:vAlign w:val="center"/>
          </w:tcPr>
          <w:p w14:paraId="1E23DCB0"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r>
      <w:tr w:rsidR="002C2855" w:rsidRPr="00F236F2" w14:paraId="6FEF338B" w14:textId="77777777" w:rsidTr="7AA741B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E974175"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tcBorders>
              <w:top w:val="none" w:sz="0" w:space="0" w:color="auto"/>
              <w:bottom w:val="none" w:sz="0" w:space="0" w:color="auto"/>
            </w:tcBorders>
            <w:vAlign w:val="center"/>
          </w:tcPr>
          <w:p w14:paraId="5BB6D6BB" w14:textId="77777777" w:rsidR="002C2855" w:rsidRPr="00F236F2" w:rsidRDefault="002C2855" w:rsidP="00624AA4">
            <w:pPr>
              <w:pStyle w:val="Defaul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sidRPr="00F236F2">
              <w:rPr>
                <w:rFonts w:asciiTheme="minorHAnsi" w:eastAsiaTheme="minorHAnsi" w:hAnsiTheme="minorHAnsi" w:cs="Times New Roman"/>
                <w:color w:val="000000" w:themeColor="text1"/>
                <w:sz w:val="18"/>
                <w:szCs w:val="18"/>
              </w:rPr>
              <w:t>8.5. Wzmacnianie włączenia społecznego</w:t>
            </w:r>
          </w:p>
        </w:tc>
        <w:tc>
          <w:tcPr>
            <w:tcW w:w="284" w:type="dxa"/>
            <w:tcBorders>
              <w:top w:val="none" w:sz="0" w:space="0" w:color="auto"/>
              <w:bottom w:val="none" w:sz="0" w:space="0" w:color="auto"/>
            </w:tcBorders>
            <w:shd w:val="clear" w:color="auto" w:fill="FFE599" w:themeFill="accent4" w:themeFillTint="66"/>
            <w:vAlign w:val="center"/>
          </w:tcPr>
          <w:p w14:paraId="1058AABD"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3" w:type="dxa"/>
            <w:tcBorders>
              <w:top w:val="none" w:sz="0" w:space="0" w:color="auto"/>
              <w:bottom w:val="none" w:sz="0" w:space="0" w:color="auto"/>
            </w:tcBorders>
            <w:shd w:val="clear" w:color="auto" w:fill="FFE599" w:themeFill="accent4" w:themeFillTint="66"/>
            <w:vAlign w:val="center"/>
          </w:tcPr>
          <w:p w14:paraId="349AD03B"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4" w:type="dxa"/>
            <w:tcBorders>
              <w:top w:val="none" w:sz="0" w:space="0" w:color="auto"/>
              <w:bottom w:val="none" w:sz="0" w:space="0" w:color="auto"/>
            </w:tcBorders>
            <w:vAlign w:val="center"/>
          </w:tcPr>
          <w:p w14:paraId="32332A6C"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r>
      <w:tr w:rsidR="002C2855" w:rsidRPr="00F236F2" w14:paraId="380E94E6" w14:textId="77777777" w:rsidTr="7AA741B9">
        <w:trPr>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4699522F"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vAlign w:val="center"/>
          </w:tcPr>
          <w:p w14:paraId="02F2A421" w14:textId="77777777" w:rsidR="002C2855" w:rsidRPr="00F236F2" w:rsidRDefault="002C2855" w:rsidP="00624AA4">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sz w:val="18"/>
                <w:szCs w:val="18"/>
              </w:rPr>
            </w:pPr>
            <w:r w:rsidRPr="00F236F2">
              <w:rPr>
                <w:rFonts w:asciiTheme="minorHAnsi" w:eastAsiaTheme="minorHAnsi" w:hAnsiTheme="minorHAnsi" w:cs="Times New Roman"/>
                <w:sz w:val="18"/>
                <w:szCs w:val="18"/>
              </w:rPr>
              <w:t xml:space="preserve">8.6. Wzmocnienie systemu usług i pomocy społecznej </w:t>
            </w:r>
          </w:p>
        </w:tc>
        <w:tc>
          <w:tcPr>
            <w:tcW w:w="284" w:type="dxa"/>
            <w:shd w:val="clear" w:color="auto" w:fill="FFE599" w:themeFill="accent4" w:themeFillTint="66"/>
            <w:vAlign w:val="center"/>
          </w:tcPr>
          <w:p w14:paraId="318F2B4E"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3" w:type="dxa"/>
            <w:shd w:val="clear" w:color="auto" w:fill="FFE599" w:themeFill="accent4" w:themeFillTint="66"/>
            <w:vAlign w:val="center"/>
          </w:tcPr>
          <w:p w14:paraId="5C7D1459"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4" w:type="dxa"/>
            <w:vAlign w:val="center"/>
          </w:tcPr>
          <w:p w14:paraId="45826FFA"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r>
      <w:tr w:rsidR="002C2855" w:rsidRPr="00F236F2" w14:paraId="060F7553" w14:textId="77777777" w:rsidTr="7AA741B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2273158C"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tcBorders>
              <w:top w:val="none" w:sz="0" w:space="0" w:color="auto"/>
              <w:bottom w:val="none" w:sz="0" w:space="0" w:color="auto"/>
            </w:tcBorders>
            <w:vAlign w:val="center"/>
          </w:tcPr>
          <w:p w14:paraId="340E551B" w14:textId="77777777" w:rsidR="002C2855" w:rsidRPr="00F236F2" w:rsidRDefault="002C2855" w:rsidP="00624AA4">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imes New Roman"/>
                <w:sz w:val="18"/>
                <w:szCs w:val="18"/>
              </w:rPr>
            </w:pPr>
            <w:r w:rsidRPr="00F236F2">
              <w:rPr>
                <w:rFonts w:asciiTheme="minorHAnsi" w:eastAsiaTheme="minorHAnsi" w:hAnsiTheme="minorHAnsi" w:cs="Times New Roman"/>
                <w:sz w:val="18"/>
                <w:szCs w:val="18"/>
              </w:rPr>
              <w:t>8.7. Kształtowanie skłonności mieszkańców do zaspokajania potrzeb wyższego rzędu</w:t>
            </w:r>
          </w:p>
        </w:tc>
        <w:tc>
          <w:tcPr>
            <w:tcW w:w="284" w:type="dxa"/>
            <w:tcBorders>
              <w:top w:val="none" w:sz="0" w:space="0" w:color="auto"/>
              <w:bottom w:val="none" w:sz="0" w:space="0" w:color="auto"/>
            </w:tcBorders>
            <w:shd w:val="clear" w:color="auto" w:fill="FFE599" w:themeFill="accent4" w:themeFillTint="66"/>
            <w:vAlign w:val="center"/>
          </w:tcPr>
          <w:p w14:paraId="24E3BDF5"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3" w:type="dxa"/>
            <w:tcBorders>
              <w:top w:val="none" w:sz="0" w:space="0" w:color="auto"/>
              <w:bottom w:val="none" w:sz="0" w:space="0" w:color="auto"/>
            </w:tcBorders>
            <w:shd w:val="clear" w:color="auto" w:fill="FFE599" w:themeFill="accent4" w:themeFillTint="66"/>
            <w:vAlign w:val="center"/>
          </w:tcPr>
          <w:p w14:paraId="4FFB2EFA"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4" w:type="dxa"/>
            <w:tcBorders>
              <w:top w:val="none" w:sz="0" w:space="0" w:color="auto"/>
              <w:bottom w:val="none" w:sz="0" w:space="0" w:color="auto"/>
            </w:tcBorders>
            <w:vAlign w:val="center"/>
          </w:tcPr>
          <w:p w14:paraId="724617E4"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r>
      <w:tr w:rsidR="002C2855" w:rsidRPr="00F236F2" w14:paraId="2B523C96" w14:textId="77777777" w:rsidTr="7AA741B9">
        <w:trPr>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A14AF6C"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vAlign w:val="center"/>
          </w:tcPr>
          <w:p w14:paraId="269A738A" w14:textId="77777777" w:rsidR="002C2855" w:rsidRPr="00F236F2" w:rsidRDefault="002C2855" w:rsidP="00624AA4">
            <w:pPr>
              <w:pStyle w:val="Defaul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F236F2">
              <w:rPr>
                <w:rFonts w:asciiTheme="minorHAnsi" w:eastAsiaTheme="minorHAnsi" w:hAnsiTheme="minorHAnsi" w:cs="Times New Roman"/>
                <w:color w:val="000000" w:themeColor="text1"/>
                <w:sz w:val="18"/>
                <w:szCs w:val="18"/>
              </w:rPr>
              <w:t>8.8. Budowa kapitału społecznego na rzecz społeczeństwa obywatelskiego</w:t>
            </w:r>
          </w:p>
        </w:tc>
        <w:tc>
          <w:tcPr>
            <w:tcW w:w="284" w:type="dxa"/>
            <w:shd w:val="clear" w:color="auto" w:fill="FFE599" w:themeFill="accent4" w:themeFillTint="66"/>
            <w:vAlign w:val="center"/>
          </w:tcPr>
          <w:p w14:paraId="0E4F3C8B"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3" w:type="dxa"/>
            <w:shd w:val="clear" w:color="auto" w:fill="FFE599" w:themeFill="accent4" w:themeFillTint="66"/>
            <w:vAlign w:val="center"/>
          </w:tcPr>
          <w:p w14:paraId="10D257F2"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4" w:type="dxa"/>
            <w:vAlign w:val="center"/>
          </w:tcPr>
          <w:p w14:paraId="7084A246"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r>
      <w:tr w:rsidR="002C2855" w:rsidRPr="00F236F2" w14:paraId="6DC4C51E" w14:textId="77777777" w:rsidTr="7AA741B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CEB025D"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tcBorders>
              <w:top w:val="none" w:sz="0" w:space="0" w:color="auto"/>
              <w:bottom w:val="none" w:sz="0" w:space="0" w:color="auto"/>
            </w:tcBorders>
            <w:vAlign w:val="center"/>
          </w:tcPr>
          <w:p w14:paraId="2EC66248" w14:textId="77777777" w:rsidR="002C2855" w:rsidRPr="00F236F2" w:rsidRDefault="002C2855" w:rsidP="00624AA4">
            <w:pPr>
              <w:pStyle w:val="Defaul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sidRPr="00F236F2">
              <w:rPr>
                <w:rFonts w:asciiTheme="minorHAnsi" w:eastAsiaTheme="minorHAnsi" w:hAnsiTheme="minorHAnsi" w:cs="Times New Roman"/>
                <w:color w:val="000000" w:themeColor="text1"/>
                <w:sz w:val="18"/>
                <w:szCs w:val="18"/>
              </w:rPr>
              <w:t>8.9. Ochrona zasobów, standardu i jakości życia rodziny</w:t>
            </w:r>
          </w:p>
        </w:tc>
        <w:tc>
          <w:tcPr>
            <w:tcW w:w="284" w:type="dxa"/>
            <w:tcBorders>
              <w:top w:val="none" w:sz="0" w:space="0" w:color="auto"/>
              <w:bottom w:val="none" w:sz="0" w:space="0" w:color="auto"/>
            </w:tcBorders>
            <w:shd w:val="clear" w:color="auto" w:fill="FFE599" w:themeFill="accent4" w:themeFillTint="66"/>
            <w:vAlign w:val="center"/>
          </w:tcPr>
          <w:p w14:paraId="0BB53C5A"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3" w:type="dxa"/>
            <w:tcBorders>
              <w:top w:val="none" w:sz="0" w:space="0" w:color="auto"/>
              <w:bottom w:val="none" w:sz="0" w:space="0" w:color="auto"/>
            </w:tcBorders>
            <w:shd w:val="clear" w:color="auto" w:fill="FFE599" w:themeFill="accent4" w:themeFillTint="66"/>
            <w:vAlign w:val="center"/>
          </w:tcPr>
          <w:p w14:paraId="42D8F427"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4" w:type="dxa"/>
            <w:tcBorders>
              <w:top w:val="none" w:sz="0" w:space="0" w:color="auto"/>
              <w:bottom w:val="none" w:sz="0" w:space="0" w:color="auto"/>
            </w:tcBorders>
            <w:vAlign w:val="center"/>
          </w:tcPr>
          <w:p w14:paraId="181B637F"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r>
      <w:tr w:rsidR="002C2855" w:rsidRPr="00F236F2" w14:paraId="645F4718" w14:textId="77777777" w:rsidTr="7AA741B9">
        <w:trPr>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30CB02C4"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vAlign w:val="center"/>
          </w:tcPr>
          <w:p w14:paraId="7735DE36" w14:textId="77777777" w:rsidR="002C2855" w:rsidRPr="00F236F2" w:rsidRDefault="002C2855" w:rsidP="00624AA4">
            <w:pPr>
              <w:pStyle w:val="Defaul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F236F2">
              <w:rPr>
                <w:rFonts w:asciiTheme="minorHAnsi" w:eastAsiaTheme="minorHAnsi" w:hAnsiTheme="minorHAnsi" w:cs="Times New Roman"/>
                <w:color w:val="000000" w:themeColor="text1"/>
                <w:sz w:val="18"/>
                <w:szCs w:val="18"/>
              </w:rPr>
              <w:t>8.10. Ochrona i utrwalanie dziedzictwa kulturowego</w:t>
            </w:r>
          </w:p>
        </w:tc>
        <w:tc>
          <w:tcPr>
            <w:tcW w:w="284" w:type="dxa"/>
            <w:shd w:val="clear" w:color="auto" w:fill="FFE599" w:themeFill="accent4" w:themeFillTint="66"/>
            <w:vAlign w:val="center"/>
          </w:tcPr>
          <w:p w14:paraId="689AA29E"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3" w:type="dxa"/>
            <w:shd w:val="clear" w:color="auto" w:fill="FFE599" w:themeFill="accent4" w:themeFillTint="66"/>
            <w:vAlign w:val="center"/>
          </w:tcPr>
          <w:p w14:paraId="0F5D81E9"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4" w:type="dxa"/>
            <w:vAlign w:val="center"/>
          </w:tcPr>
          <w:p w14:paraId="114D7A73"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r>
      <w:tr w:rsidR="002C2855" w:rsidRPr="00F236F2" w14:paraId="113CC3A5" w14:textId="77777777" w:rsidTr="7AA741B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36376233"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tcBorders>
              <w:top w:val="none" w:sz="0" w:space="0" w:color="auto"/>
              <w:bottom w:val="none" w:sz="0" w:space="0" w:color="auto"/>
            </w:tcBorders>
            <w:vAlign w:val="center"/>
          </w:tcPr>
          <w:p w14:paraId="05BF0962" w14:textId="77777777" w:rsidR="002C2855" w:rsidRPr="00F236F2" w:rsidRDefault="002C2855" w:rsidP="00624AA4">
            <w:pPr>
              <w:pStyle w:val="Defaul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sidRPr="00F236F2">
              <w:rPr>
                <w:rFonts w:asciiTheme="minorHAnsi" w:eastAsiaTheme="minorHAnsi" w:hAnsiTheme="minorHAnsi" w:cs="Times New Roman"/>
                <w:color w:val="000000" w:themeColor="text1"/>
                <w:sz w:val="18"/>
                <w:szCs w:val="18"/>
              </w:rPr>
              <w:t>8.11. Poprawa warunków mieszkaniowych</w:t>
            </w:r>
          </w:p>
        </w:tc>
        <w:tc>
          <w:tcPr>
            <w:tcW w:w="284" w:type="dxa"/>
            <w:tcBorders>
              <w:top w:val="none" w:sz="0" w:space="0" w:color="auto"/>
              <w:bottom w:val="none" w:sz="0" w:space="0" w:color="auto"/>
            </w:tcBorders>
            <w:vAlign w:val="center"/>
          </w:tcPr>
          <w:p w14:paraId="0CD7B9B0"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3" w:type="dxa"/>
            <w:tcBorders>
              <w:top w:val="none" w:sz="0" w:space="0" w:color="auto"/>
              <w:bottom w:val="none" w:sz="0" w:space="0" w:color="auto"/>
            </w:tcBorders>
            <w:shd w:val="clear" w:color="auto" w:fill="FFE599" w:themeFill="accent4" w:themeFillTint="66"/>
            <w:vAlign w:val="center"/>
          </w:tcPr>
          <w:p w14:paraId="4AFB5A8C"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4" w:type="dxa"/>
            <w:tcBorders>
              <w:top w:val="none" w:sz="0" w:space="0" w:color="auto"/>
              <w:bottom w:val="none" w:sz="0" w:space="0" w:color="auto"/>
            </w:tcBorders>
            <w:vAlign w:val="center"/>
          </w:tcPr>
          <w:p w14:paraId="27CD7CE2"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r>
      <w:tr w:rsidR="002C2855" w:rsidRPr="00F236F2" w14:paraId="25D7FA2A" w14:textId="77777777" w:rsidTr="7AA741B9">
        <w:trPr>
          <w:trHeight w:val="244"/>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632A46BD" w14:textId="77777777" w:rsidR="002C2855" w:rsidRPr="00F236F2" w:rsidRDefault="002C2855" w:rsidP="00624AA4">
            <w:pPr>
              <w:pStyle w:val="Default"/>
              <w:spacing w:after="0"/>
              <w:rPr>
                <w:rFonts w:asciiTheme="minorHAnsi" w:eastAsiaTheme="minorHAnsi" w:hAnsiTheme="minorHAnsi" w:cs="Times New Roman"/>
                <w:color w:val="000000" w:themeColor="text1"/>
                <w:sz w:val="18"/>
                <w:szCs w:val="18"/>
              </w:rPr>
            </w:pPr>
            <w:r w:rsidRPr="00F236F2">
              <w:rPr>
                <w:rFonts w:asciiTheme="minorHAnsi" w:hAnsiTheme="minorHAnsi"/>
                <w:color w:val="000000" w:themeColor="text1"/>
                <w:sz w:val="18"/>
                <w:szCs w:val="18"/>
              </w:rPr>
              <w:t xml:space="preserve">9. </w:t>
            </w:r>
            <w:r w:rsidRPr="00F236F2">
              <w:rPr>
                <w:rFonts w:asciiTheme="minorHAnsi" w:eastAsiaTheme="minorHAnsi" w:hAnsiTheme="minorHAnsi" w:cs="Times New Roman"/>
                <w:color w:val="000000" w:themeColor="text1"/>
                <w:sz w:val="18"/>
                <w:szCs w:val="18"/>
              </w:rPr>
              <w:t>Wzrost bezpieczeństwa i sprawności zarządzania regionem</w:t>
            </w:r>
            <w:r w:rsidRPr="00F236F2">
              <w:rPr>
                <w:rFonts w:asciiTheme="minorHAnsi" w:hAnsiTheme="minorHAnsi"/>
                <w:color w:val="000000" w:themeColor="text1"/>
                <w:sz w:val="18"/>
                <w:szCs w:val="18"/>
              </w:rPr>
              <w:t xml:space="preserve"> </w:t>
            </w:r>
          </w:p>
        </w:tc>
        <w:tc>
          <w:tcPr>
            <w:tcW w:w="6096" w:type="dxa"/>
            <w:vAlign w:val="center"/>
          </w:tcPr>
          <w:p w14:paraId="67E8AA88" w14:textId="77777777" w:rsidR="002C2855" w:rsidRPr="00F236F2" w:rsidRDefault="002C2855" w:rsidP="00624AA4">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sz w:val="18"/>
                <w:szCs w:val="18"/>
              </w:rPr>
            </w:pPr>
            <w:r w:rsidRPr="00F236F2">
              <w:rPr>
                <w:rFonts w:asciiTheme="minorHAnsi" w:eastAsiaTheme="minorHAnsi" w:hAnsiTheme="minorHAnsi" w:cs="Times New Roman"/>
                <w:sz w:val="18"/>
                <w:szCs w:val="18"/>
              </w:rPr>
              <w:t xml:space="preserve">9.1. Tworzenie warunków dla zarządzania rozwojem regionu </w:t>
            </w:r>
          </w:p>
        </w:tc>
        <w:tc>
          <w:tcPr>
            <w:tcW w:w="284" w:type="dxa"/>
            <w:shd w:val="clear" w:color="auto" w:fill="FFE599" w:themeFill="accent4" w:themeFillTint="66"/>
            <w:vAlign w:val="center"/>
          </w:tcPr>
          <w:p w14:paraId="63E3167F"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3" w:type="dxa"/>
            <w:vAlign w:val="center"/>
          </w:tcPr>
          <w:p w14:paraId="19E2DFFA"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4" w:type="dxa"/>
            <w:vAlign w:val="center"/>
          </w:tcPr>
          <w:p w14:paraId="2FB74B7E"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r>
      <w:tr w:rsidR="002C2855" w:rsidRPr="00F236F2" w14:paraId="232B646F" w14:textId="77777777" w:rsidTr="7AA741B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9A4EB7B"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tcBorders>
              <w:top w:val="none" w:sz="0" w:space="0" w:color="auto"/>
              <w:bottom w:val="none" w:sz="0" w:space="0" w:color="auto"/>
            </w:tcBorders>
            <w:vAlign w:val="center"/>
          </w:tcPr>
          <w:p w14:paraId="76EABFCC" w14:textId="77777777" w:rsidR="002C2855" w:rsidRPr="00F236F2" w:rsidRDefault="002C2855" w:rsidP="00624AA4">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imes New Roman"/>
                <w:sz w:val="18"/>
                <w:szCs w:val="18"/>
              </w:rPr>
            </w:pPr>
            <w:r w:rsidRPr="00F236F2">
              <w:rPr>
                <w:rFonts w:asciiTheme="minorHAnsi" w:eastAsiaTheme="minorHAnsi" w:hAnsiTheme="minorHAnsi" w:cs="Times New Roman"/>
                <w:sz w:val="18"/>
                <w:szCs w:val="18"/>
              </w:rPr>
              <w:t xml:space="preserve">9.2. Budowa wizerunku województwa i jego promocja </w:t>
            </w:r>
          </w:p>
        </w:tc>
        <w:tc>
          <w:tcPr>
            <w:tcW w:w="284" w:type="dxa"/>
            <w:tcBorders>
              <w:top w:val="none" w:sz="0" w:space="0" w:color="auto"/>
              <w:bottom w:val="none" w:sz="0" w:space="0" w:color="auto"/>
            </w:tcBorders>
            <w:shd w:val="clear" w:color="auto" w:fill="FFE599" w:themeFill="accent4" w:themeFillTint="66"/>
            <w:vAlign w:val="center"/>
          </w:tcPr>
          <w:p w14:paraId="26CCE774"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3" w:type="dxa"/>
            <w:tcBorders>
              <w:top w:val="none" w:sz="0" w:space="0" w:color="auto"/>
              <w:bottom w:val="none" w:sz="0" w:space="0" w:color="auto"/>
            </w:tcBorders>
            <w:vAlign w:val="center"/>
          </w:tcPr>
          <w:p w14:paraId="1DD807D0"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4" w:type="dxa"/>
            <w:tcBorders>
              <w:top w:val="none" w:sz="0" w:space="0" w:color="auto"/>
              <w:bottom w:val="none" w:sz="0" w:space="0" w:color="auto"/>
            </w:tcBorders>
            <w:vAlign w:val="center"/>
          </w:tcPr>
          <w:p w14:paraId="03B072A9"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r>
      <w:tr w:rsidR="002C2855" w:rsidRPr="00F236F2" w14:paraId="6F2CA461" w14:textId="77777777" w:rsidTr="7AA741B9">
        <w:trPr>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52B8C227"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vAlign w:val="center"/>
          </w:tcPr>
          <w:p w14:paraId="14FD251E" w14:textId="77777777" w:rsidR="002C2855" w:rsidRPr="00F236F2" w:rsidRDefault="002C2855" w:rsidP="00624AA4">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sz w:val="18"/>
                <w:szCs w:val="18"/>
              </w:rPr>
            </w:pPr>
            <w:r w:rsidRPr="00F236F2">
              <w:rPr>
                <w:rFonts w:asciiTheme="minorHAnsi" w:eastAsiaTheme="minorHAnsi" w:hAnsiTheme="minorHAnsi" w:cs="Times New Roman"/>
                <w:sz w:val="18"/>
                <w:szCs w:val="18"/>
              </w:rPr>
              <w:t xml:space="preserve">9.3. Sprawna, innowacyjna administracja samorządowa </w:t>
            </w:r>
          </w:p>
        </w:tc>
        <w:tc>
          <w:tcPr>
            <w:tcW w:w="284" w:type="dxa"/>
            <w:shd w:val="clear" w:color="auto" w:fill="FFE599" w:themeFill="accent4" w:themeFillTint="66"/>
            <w:vAlign w:val="center"/>
          </w:tcPr>
          <w:p w14:paraId="4E85A64C"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3" w:type="dxa"/>
            <w:vAlign w:val="center"/>
          </w:tcPr>
          <w:p w14:paraId="78498680"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4" w:type="dxa"/>
            <w:vAlign w:val="center"/>
          </w:tcPr>
          <w:p w14:paraId="37B9D4FC"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r>
      <w:tr w:rsidR="002C2855" w:rsidRPr="00F236F2" w14:paraId="4F3DEFD4" w14:textId="77777777" w:rsidTr="7AA741B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EAB1F77"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tcBorders>
              <w:top w:val="none" w:sz="0" w:space="0" w:color="auto"/>
              <w:bottom w:val="none" w:sz="0" w:space="0" w:color="auto"/>
            </w:tcBorders>
            <w:vAlign w:val="center"/>
          </w:tcPr>
          <w:p w14:paraId="25E2E662" w14:textId="77777777" w:rsidR="002C2855" w:rsidRPr="00F236F2" w:rsidRDefault="002C2855" w:rsidP="00624AA4">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imes New Roman"/>
                <w:sz w:val="18"/>
                <w:szCs w:val="18"/>
              </w:rPr>
            </w:pPr>
            <w:r w:rsidRPr="00F236F2">
              <w:rPr>
                <w:rFonts w:asciiTheme="minorHAnsi" w:eastAsiaTheme="minorHAnsi" w:hAnsiTheme="minorHAnsi" w:cs="Times New Roman"/>
                <w:sz w:val="18"/>
                <w:szCs w:val="18"/>
              </w:rPr>
              <w:t>9.4. Budowa partnerstwa dla innowacji</w:t>
            </w:r>
          </w:p>
        </w:tc>
        <w:tc>
          <w:tcPr>
            <w:tcW w:w="284" w:type="dxa"/>
            <w:tcBorders>
              <w:top w:val="none" w:sz="0" w:space="0" w:color="auto"/>
              <w:bottom w:val="none" w:sz="0" w:space="0" w:color="auto"/>
            </w:tcBorders>
            <w:shd w:val="clear" w:color="auto" w:fill="FFE599" w:themeFill="accent4" w:themeFillTint="66"/>
            <w:vAlign w:val="center"/>
          </w:tcPr>
          <w:p w14:paraId="0CAD0264"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3" w:type="dxa"/>
            <w:tcBorders>
              <w:top w:val="none" w:sz="0" w:space="0" w:color="auto"/>
              <w:bottom w:val="none" w:sz="0" w:space="0" w:color="auto"/>
            </w:tcBorders>
            <w:shd w:val="clear" w:color="auto" w:fill="FFE599" w:themeFill="accent4" w:themeFillTint="66"/>
            <w:vAlign w:val="center"/>
          </w:tcPr>
          <w:p w14:paraId="64416010"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4" w:type="dxa"/>
            <w:tcBorders>
              <w:top w:val="none" w:sz="0" w:space="0" w:color="auto"/>
              <w:bottom w:val="none" w:sz="0" w:space="0" w:color="auto"/>
            </w:tcBorders>
            <w:shd w:val="clear" w:color="auto" w:fill="FFE599" w:themeFill="accent4" w:themeFillTint="66"/>
            <w:vAlign w:val="center"/>
          </w:tcPr>
          <w:p w14:paraId="3B0F2652"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r>
      <w:tr w:rsidR="002C2855" w:rsidRPr="00F236F2" w14:paraId="07E56D44" w14:textId="77777777" w:rsidTr="7AA741B9">
        <w:trPr>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6268244"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vAlign w:val="center"/>
          </w:tcPr>
          <w:p w14:paraId="5E6033E8" w14:textId="77777777" w:rsidR="002C2855" w:rsidRPr="00F236F2" w:rsidRDefault="002C2855" w:rsidP="00624AA4">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sz w:val="18"/>
                <w:szCs w:val="18"/>
              </w:rPr>
            </w:pPr>
            <w:r w:rsidRPr="00F236F2">
              <w:rPr>
                <w:rFonts w:asciiTheme="minorHAnsi" w:eastAsiaTheme="minorHAnsi" w:hAnsiTheme="minorHAnsi" w:cs="Times New Roman"/>
                <w:sz w:val="18"/>
                <w:szCs w:val="18"/>
              </w:rPr>
              <w:t xml:space="preserve">9.5. Budowa regionalnych systemów zabezpieczania i reagowania na zagrożenia </w:t>
            </w:r>
          </w:p>
        </w:tc>
        <w:tc>
          <w:tcPr>
            <w:tcW w:w="284" w:type="dxa"/>
            <w:shd w:val="clear" w:color="auto" w:fill="FFE599" w:themeFill="accent4" w:themeFillTint="66"/>
            <w:vAlign w:val="center"/>
          </w:tcPr>
          <w:p w14:paraId="2BB436E1"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3" w:type="dxa"/>
            <w:shd w:val="clear" w:color="auto" w:fill="FFE599" w:themeFill="accent4" w:themeFillTint="66"/>
            <w:vAlign w:val="center"/>
          </w:tcPr>
          <w:p w14:paraId="3BAA2949"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284" w:type="dxa"/>
            <w:vAlign w:val="center"/>
          </w:tcPr>
          <w:p w14:paraId="09FE9D4E" w14:textId="77777777" w:rsidR="002C2855" w:rsidRPr="00F236F2" w:rsidRDefault="002C2855" w:rsidP="00624AA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p>
        </w:tc>
      </w:tr>
      <w:tr w:rsidR="002C2855" w:rsidRPr="00F236F2" w14:paraId="0430297D" w14:textId="77777777" w:rsidTr="7AA741B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79D7876" w14:textId="77777777" w:rsidR="002C2855" w:rsidRPr="00F236F2" w:rsidRDefault="002C2855" w:rsidP="00624AA4">
            <w:pPr>
              <w:pStyle w:val="Default"/>
              <w:spacing w:after="0"/>
              <w:rPr>
                <w:rFonts w:asciiTheme="minorHAnsi" w:hAnsiTheme="minorHAnsi"/>
                <w:color w:val="000000" w:themeColor="text1"/>
                <w:sz w:val="18"/>
                <w:szCs w:val="18"/>
              </w:rPr>
            </w:pPr>
          </w:p>
        </w:tc>
        <w:tc>
          <w:tcPr>
            <w:tcW w:w="6096" w:type="dxa"/>
            <w:tcBorders>
              <w:top w:val="none" w:sz="0" w:space="0" w:color="auto"/>
              <w:bottom w:val="none" w:sz="0" w:space="0" w:color="auto"/>
            </w:tcBorders>
            <w:vAlign w:val="center"/>
          </w:tcPr>
          <w:p w14:paraId="3F230788" w14:textId="77777777" w:rsidR="002C2855" w:rsidRPr="00F236F2" w:rsidRDefault="002C2855" w:rsidP="00624AA4">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imes New Roman"/>
                <w:sz w:val="18"/>
                <w:szCs w:val="18"/>
              </w:rPr>
            </w:pPr>
            <w:r w:rsidRPr="00F236F2">
              <w:rPr>
                <w:rFonts w:asciiTheme="minorHAnsi" w:eastAsiaTheme="minorHAnsi" w:hAnsiTheme="minorHAnsi" w:cs="Times New Roman"/>
                <w:sz w:val="18"/>
                <w:szCs w:val="18"/>
              </w:rPr>
              <w:t>9.6. Rozwój współpracy terytorialnej</w:t>
            </w:r>
          </w:p>
        </w:tc>
        <w:tc>
          <w:tcPr>
            <w:tcW w:w="284" w:type="dxa"/>
            <w:tcBorders>
              <w:top w:val="none" w:sz="0" w:space="0" w:color="auto"/>
              <w:bottom w:val="none" w:sz="0" w:space="0" w:color="auto"/>
            </w:tcBorders>
            <w:shd w:val="clear" w:color="auto" w:fill="FFE599" w:themeFill="accent4" w:themeFillTint="66"/>
            <w:vAlign w:val="center"/>
          </w:tcPr>
          <w:p w14:paraId="3DE4BCE1"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3" w:type="dxa"/>
            <w:tcBorders>
              <w:top w:val="none" w:sz="0" w:space="0" w:color="auto"/>
              <w:bottom w:val="none" w:sz="0" w:space="0" w:color="auto"/>
            </w:tcBorders>
            <w:vAlign w:val="center"/>
          </w:tcPr>
          <w:p w14:paraId="0B2EE0BA"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c>
          <w:tcPr>
            <w:tcW w:w="284" w:type="dxa"/>
            <w:tcBorders>
              <w:top w:val="none" w:sz="0" w:space="0" w:color="auto"/>
              <w:bottom w:val="none" w:sz="0" w:space="0" w:color="auto"/>
            </w:tcBorders>
            <w:vAlign w:val="center"/>
          </w:tcPr>
          <w:p w14:paraId="20700302" w14:textId="77777777" w:rsidR="002C2855" w:rsidRPr="00F236F2" w:rsidRDefault="002C2855" w:rsidP="00624AA4">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p>
        </w:tc>
      </w:tr>
    </w:tbl>
    <w:p w14:paraId="46B45802" w14:textId="77777777" w:rsidR="002C2855" w:rsidRPr="002476D8" w:rsidRDefault="002C2855" w:rsidP="002C2855">
      <w:pPr>
        <w:spacing w:after="160" w:line="259" w:lineRule="auto"/>
        <w:rPr>
          <w:sz w:val="14"/>
          <w:lang w:eastAsia="pl-PL"/>
        </w:rPr>
      </w:pPr>
      <w:r w:rsidRPr="002476D8">
        <w:rPr>
          <w:sz w:val="14"/>
          <w:lang w:eastAsia="pl-PL"/>
        </w:rPr>
        <w:t xml:space="preserve">Źródło: </w:t>
      </w:r>
      <w:r w:rsidR="006F4057">
        <w:rPr>
          <w:sz w:val="14"/>
          <w:lang w:eastAsia="pl-PL"/>
        </w:rPr>
        <w:t>o</w:t>
      </w:r>
      <w:r w:rsidRPr="002476D8">
        <w:rPr>
          <w:sz w:val="14"/>
          <w:lang w:eastAsia="pl-PL"/>
        </w:rPr>
        <w:t>pracowanie własne</w:t>
      </w:r>
      <w:r w:rsidR="006F4057">
        <w:rPr>
          <w:sz w:val="14"/>
          <w:lang w:eastAsia="pl-PL"/>
        </w:rPr>
        <w:t>.</w:t>
      </w:r>
    </w:p>
    <w:p w14:paraId="0FA11607" w14:textId="77777777" w:rsidR="002C2855" w:rsidRPr="00BF08D5" w:rsidRDefault="002C2855" w:rsidP="00BF08D5">
      <w:pPr>
        <w:ind w:left="4536"/>
        <w:jc w:val="left"/>
        <w:rPr>
          <w:b/>
          <w:i/>
          <w:color w:val="001E50"/>
        </w:rPr>
      </w:pPr>
      <w:r w:rsidRPr="00BF08D5">
        <w:rPr>
          <w:b/>
          <w:i/>
          <w:color w:val="001E50"/>
        </w:rPr>
        <w:t>Zakres kompetencji Samorządu w najbliższym czasie może się zmienić…</w:t>
      </w:r>
    </w:p>
    <w:p w14:paraId="31D6C118" w14:textId="77777777" w:rsidR="002C2855" w:rsidRDefault="002C2855" w:rsidP="002C2855">
      <w:pPr>
        <w:rPr>
          <w:szCs w:val="22"/>
          <w:lang w:eastAsia="pl-PL"/>
        </w:rPr>
      </w:pPr>
      <w:r>
        <w:rPr>
          <w:lang w:eastAsia="pl-PL"/>
        </w:rPr>
        <w:t>Z</w:t>
      </w:r>
      <w:r w:rsidRPr="018C161B">
        <w:rPr>
          <w:lang w:eastAsia="pl-PL"/>
        </w:rPr>
        <w:t xml:space="preserve">bliżające się uregulowania prawne, wynikające m.in. z przyjętego nowego paradygmatu polityki rozwoju, mogą w pewnym zakresie zmienić zakres kompetencji </w:t>
      </w:r>
      <w:r>
        <w:rPr>
          <w:lang w:eastAsia="pl-PL"/>
        </w:rPr>
        <w:t>S</w:t>
      </w:r>
      <w:r w:rsidRPr="018C161B">
        <w:rPr>
          <w:lang w:eastAsia="pl-PL"/>
        </w:rPr>
        <w:t xml:space="preserve">amorządu, a przez to i jego wpływ na realizację polityki regionu. </w:t>
      </w:r>
      <w:r>
        <w:rPr>
          <w:szCs w:val="22"/>
          <w:lang w:eastAsia="pl-PL"/>
        </w:rPr>
        <w:t xml:space="preserve">Na tym etapie nie mamy jeszcze wiedzy o kształcie i zakresie nowych uregulowań prawnych. Można natomiast na podstawie przyjętych krajowych koncepcji i dokumentów strategicznych nakreślić, na czym polegać będą najważniejsze zmiany w polityce regionalnej. </w:t>
      </w:r>
    </w:p>
    <w:p w14:paraId="16BA7230" w14:textId="136C35AD" w:rsidR="002C2855" w:rsidRPr="006B4E7E" w:rsidRDefault="002C2855" w:rsidP="002C2855">
      <w:pPr>
        <w:rPr>
          <w:rFonts w:cs="Times New Roman"/>
        </w:rPr>
      </w:pPr>
      <w:r w:rsidRPr="56862DA9">
        <w:rPr>
          <w:rFonts w:cs="Times New Roman"/>
        </w:rPr>
        <w:t xml:space="preserve">Kluczowym dokumentem, który określa rolę samorządu województwa w prowadzeniu polityki rozwoju jest Krajowa Strategia Rozwoju Regionalnego. </w:t>
      </w:r>
      <w:r w:rsidRPr="56862DA9">
        <w:rPr>
          <w:rFonts w:eastAsia="Calibri"/>
        </w:rPr>
        <w:t>W kontekście omawianego wyzwania należy zwrócić uwagę na zachodzące zmiany (względem paradygmatu poprzedniej KSRR) (</w:t>
      </w:r>
      <w:r w:rsidRPr="56862DA9">
        <w:rPr>
          <w:rFonts w:eastAsia="Calibri"/>
        </w:rPr>
        <w:fldChar w:fldCharType="begin"/>
      </w:r>
      <w:r>
        <w:rPr>
          <w:rFonts w:eastAsia="Calibri"/>
          <w:szCs w:val="22"/>
        </w:rPr>
        <w:instrText xml:space="preserve"> REF _Ref117316 \h </w:instrText>
      </w:r>
      <w:r w:rsidRPr="56862DA9">
        <w:rPr>
          <w:rFonts w:eastAsia="Calibri"/>
        </w:rPr>
      </w:r>
      <w:r w:rsidRPr="56862DA9">
        <w:rPr>
          <w:rFonts w:eastAsia="Calibri"/>
          <w:szCs w:val="22"/>
        </w:rPr>
        <w:fldChar w:fldCharType="separate"/>
      </w:r>
      <w:r w:rsidR="007F4FA2" w:rsidRPr="00440EE7">
        <w:t xml:space="preserve">Tabela </w:t>
      </w:r>
      <w:r w:rsidR="007F4FA2">
        <w:rPr>
          <w:noProof/>
        </w:rPr>
        <w:t>17</w:t>
      </w:r>
      <w:r w:rsidRPr="56862DA9">
        <w:rPr>
          <w:rFonts w:eastAsia="Calibri"/>
        </w:rPr>
        <w:fldChar w:fldCharType="end"/>
      </w:r>
      <w:r w:rsidRPr="56862DA9">
        <w:rPr>
          <w:rFonts w:eastAsia="Calibri"/>
        </w:rPr>
        <w:t>).</w:t>
      </w:r>
    </w:p>
    <w:p w14:paraId="09BB6552" w14:textId="04725BE7" w:rsidR="002C2855" w:rsidRPr="00440EE7" w:rsidRDefault="002C2855" w:rsidP="002C2855">
      <w:pPr>
        <w:pStyle w:val="Legenda"/>
        <w:rPr>
          <w:b w:val="0"/>
          <w:color w:val="000000" w:themeColor="text1"/>
        </w:rPr>
      </w:pPr>
      <w:bookmarkStart w:id="180" w:name="_Ref117316"/>
      <w:bookmarkStart w:id="181" w:name="_Toc5699550"/>
      <w:r w:rsidRPr="00440EE7">
        <w:rPr>
          <w:color w:val="000000" w:themeColor="text1"/>
        </w:rPr>
        <w:t xml:space="preserve">Tabela </w:t>
      </w:r>
      <w:r w:rsidRPr="1FA2818E">
        <w:fldChar w:fldCharType="begin"/>
      </w:r>
      <w:r w:rsidRPr="00440EE7">
        <w:rPr>
          <w:color w:val="000000" w:themeColor="text1"/>
        </w:rPr>
        <w:instrText xml:space="preserve"> SEQ Tabela \* ARABIC </w:instrText>
      </w:r>
      <w:r w:rsidRPr="1FA2818E">
        <w:rPr>
          <w:color w:val="000000" w:themeColor="text1"/>
        </w:rPr>
        <w:fldChar w:fldCharType="separate"/>
      </w:r>
      <w:r w:rsidR="007F4FA2">
        <w:rPr>
          <w:noProof/>
          <w:color w:val="000000" w:themeColor="text1"/>
        </w:rPr>
        <w:t>17</w:t>
      </w:r>
      <w:r w:rsidRPr="1FA2818E">
        <w:fldChar w:fldCharType="end"/>
      </w:r>
      <w:bookmarkEnd w:id="180"/>
      <w:r w:rsidRPr="00440EE7">
        <w:rPr>
          <w:color w:val="000000" w:themeColor="text1"/>
        </w:rPr>
        <w:t xml:space="preserve">. Zmiany wynikające z </w:t>
      </w:r>
      <w:r w:rsidR="00624AA4">
        <w:rPr>
          <w:color w:val="000000" w:themeColor="text1"/>
        </w:rPr>
        <w:t xml:space="preserve">projektu </w:t>
      </w:r>
      <w:r w:rsidRPr="00440EE7">
        <w:rPr>
          <w:color w:val="000000" w:themeColor="text1"/>
        </w:rPr>
        <w:t>KSRR</w:t>
      </w:r>
      <w:bookmarkEnd w:id="181"/>
      <w:r w:rsidRPr="00440EE7">
        <w:rPr>
          <w:color w:val="000000" w:themeColor="text1"/>
        </w:rPr>
        <w:t xml:space="preserve"> </w:t>
      </w:r>
    </w:p>
    <w:tbl>
      <w:tblPr>
        <w:tblStyle w:val="Tabela-Siatka"/>
        <w:tblW w:w="0" w:type="auto"/>
        <w:tblBorders>
          <w:top w:val="single" w:sz="4" w:space="0" w:color="F6BB00"/>
          <w:left w:val="none" w:sz="0" w:space="0" w:color="auto"/>
          <w:bottom w:val="single" w:sz="4" w:space="0" w:color="F6BB00"/>
          <w:right w:val="none" w:sz="0" w:space="0" w:color="auto"/>
          <w:insideH w:val="single" w:sz="4" w:space="0" w:color="F6BB00"/>
          <w:insideV w:val="none" w:sz="0" w:space="0" w:color="auto"/>
        </w:tblBorders>
        <w:tblLook w:val="04A0" w:firstRow="1" w:lastRow="0" w:firstColumn="1" w:lastColumn="0" w:noHBand="0" w:noVBand="1"/>
        <w:tblCaption w:val="Tabela 16. Zmiany wynikające z projektu KSRR "/>
        <w:tblDescription w:val="Tabela przedstawia planowane w kolejnej perspektywie zmiany w polityce regionalnej, wynikające z dokumentu KSRR 2030 (względem obecnie obowiązującej KSRR 2010-2020). Przedstawiono także nowe instrumety polityki rozwoju województw - kontrakt sektorowy oraz porozumienie terytorialne."/>
      </w:tblPr>
      <w:tblGrid>
        <w:gridCol w:w="1560"/>
        <w:gridCol w:w="7512"/>
      </w:tblGrid>
      <w:tr w:rsidR="006F4057" w14:paraId="397C42CC" w14:textId="77777777" w:rsidTr="005F137B">
        <w:trPr>
          <w:tblHeader/>
        </w:trPr>
        <w:tc>
          <w:tcPr>
            <w:tcW w:w="1560" w:type="dxa"/>
            <w:shd w:val="clear" w:color="auto" w:fill="F6BB00"/>
            <w:vAlign w:val="center"/>
          </w:tcPr>
          <w:p w14:paraId="752AB202" w14:textId="77777777" w:rsidR="006F4057" w:rsidRPr="006B4E7E" w:rsidRDefault="006F4057" w:rsidP="006B4E7E">
            <w:pPr>
              <w:spacing w:after="0" w:line="240" w:lineRule="auto"/>
              <w:jc w:val="center"/>
              <w:rPr>
                <w:b/>
                <w:sz w:val="18"/>
                <w:szCs w:val="18"/>
              </w:rPr>
            </w:pPr>
            <w:r w:rsidRPr="006B4E7E">
              <w:rPr>
                <w:b/>
                <w:sz w:val="18"/>
                <w:szCs w:val="18"/>
              </w:rPr>
              <w:t>Z</w:t>
            </w:r>
            <w:r w:rsidR="006B4E7E">
              <w:rPr>
                <w:b/>
                <w:sz w:val="18"/>
                <w:szCs w:val="18"/>
              </w:rPr>
              <w:t>akres przedmiotowy</w:t>
            </w:r>
          </w:p>
        </w:tc>
        <w:tc>
          <w:tcPr>
            <w:tcW w:w="7512" w:type="dxa"/>
            <w:shd w:val="clear" w:color="auto" w:fill="F6BB00"/>
            <w:vAlign w:val="center"/>
          </w:tcPr>
          <w:p w14:paraId="01FBF1EA" w14:textId="77777777" w:rsidR="006F4057" w:rsidRPr="006B4E7E" w:rsidRDefault="006B4E7E" w:rsidP="006B4E7E">
            <w:pPr>
              <w:spacing w:after="0" w:line="240" w:lineRule="auto"/>
              <w:jc w:val="center"/>
              <w:rPr>
                <w:b/>
                <w:sz w:val="18"/>
                <w:szCs w:val="18"/>
              </w:rPr>
            </w:pPr>
            <w:r>
              <w:rPr>
                <w:b/>
                <w:sz w:val="18"/>
                <w:szCs w:val="18"/>
              </w:rPr>
              <w:t>Uszczegółowienie</w:t>
            </w:r>
          </w:p>
        </w:tc>
      </w:tr>
      <w:tr w:rsidR="006F4057" w14:paraId="0B7CC395" w14:textId="77777777" w:rsidTr="69901DB0">
        <w:tc>
          <w:tcPr>
            <w:tcW w:w="1560" w:type="dxa"/>
            <w:shd w:val="clear" w:color="auto" w:fill="auto"/>
          </w:tcPr>
          <w:p w14:paraId="6F1B6D11" w14:textId="77777777" w:rsidR="006F4057" w:rsidRPr="000F56D9" w:rsidRDefault="006F4057" w:rsidP="006B4E7E">
            <w:pPr>
              <w:spacing w:after="0" w:line="240" w:lineRule="auto"/>
              <w:jc w:val="left"/>
              <w:rPr>
                <w:sz w:val="18"/>
                <w:szCs w:val="18"/>
              </w:rPr>
            </w:pPr>
            <w:r w:rsidRPr="000F56D9">
              <w:rPr>
                <w:sz w:val="18"/>
                <w:szCs w:val="18"/>
              </w:rPr>
              <w:t>Ogran</w:t>
            </w:r>
            <w:r w:rsidR="006B4E7E">
              <w:rPr>
                <w:sz w:val="18"/>
                <w:szCs w:val="18"/>
              </w:rPr>
              <w:t>iczenie wpływu środków unijnych</w:t>
            </w:r>
          </w:p>
        </w:tc>
        <w:tc>
          <w:tcPr>
            <w:tcW w:w="7512" w:type="dxa"/>
            <w:shd w:val="clear" w:color="auto" w:fill="auto"/>
          </w:tcPr>
          <w:p w14:paraId="0A3417AB" w14:textId="7E63B37C" w:rsidR="006F4057" w:rsidRPr="000F56D9" w:rsidRDefault="56862DA9" w:rsidP="00624AA4">
            <w:pPr>
              <w:spacing w:after="0" w:line="240" w:lineRule="auto"/>
              <w:rPr>
                <w:sz w:val="18"/>
                <w:szCs w:val="18"/>
              </w:rPr>
            </w:pPr>
            <w:r w:rsidRPr="56862DA9">
              <w:rPr>
                <w:sz w:val="18"/>
                <w:szCs w:val="18"/>
              </w:rPr>
              <w:t>Większe</w:t>
            </w:r>
            <w:r w:rsidR="006B4E7E" w:rsidRPr="000F56D9">
              <w:rPr>
                <w:sz w:val="18"/>
                <w:szCs w:val="18"/>
              </w:rPr>
              <w:t xml:space="preserve"> za</w:t>
            </w:r>
            <w:r w:rsidR="006B4E7E">
              <w:rPr>
                <w:sz w:val="18"/>
                <w:szCs w:val="18"/>
              </w:rPr>
              <w:t xml:space="preserve">angażowanie polityki krajowej i </w:t>
            </w:r>
            <w:r w:rsidR="006B4E7E" w:rsidRPr="000F56D9">
              <w:rPr>
                <w:sz w:val="18"/>
                <w:szCs w:val="18"/>
              </w:rPr>
              <w:t>własnych zasobów regionów. Aktywniejszy udział regionów i władzy centralnej we wdrażani</w:t>
            </w:r>
            <w:r w:rsidR="006B4E7E">
              <w:rPr>
                <w:sz w:val="18"/>
                <w:szCs w:val="18"/>
              </w:rPr>
              <w:t>u</w:t>
            </w:r>
            <w:r w:rsidR="006B4E7E" w:rsidRPr="000F56D9">
              <w:rPr>
                <w:sz w:val="18"/>
                <w:szCs w:val="18"/>
              </w:rPr>
              <w:t xml:space="preserve"> </w:t>
            </w:r>
            <w:r w:rsidR="006B4E7E">
              <w:rPr>
                <w:sz w:val="18"/>
                <w:szCs w:val="18"/>
              </w:rPr>
              <w:t>i</w:t>
            </w:r>
            <w:r w:rsidR="006B4E7E" w:rsidRPr="000F56D9">
              <w:rPr>
                <w:sz w:val="18"/>
                <w:szCs w:val="18"/>
              </w:rPr>
              <w:t xml:space="preserve"> finansowani</w:t>
            </w:r>
            <w:r w:rsidR="006B4E7E">
              <w:rPr>
                <w:sz w:val="18"/>
                <w:szCs w:val="18"/>
              </w:rPr>
              <w:t>u</w:t>
            </w:r>
            <w:r w:rsidR="006B4E7E" w:rsidRPr="000F56D9">
              <w:rPr>
                <w:sz w:val="18"/>
                <w:szCs w:val="18"/>
              </w:rPr>
              <w:t xml:space="preserve"> polityki regionalnej (</w:t>
            </w:r>
            <w:r w:rsidR="006B4E7E" w:rsidRPr="000F56D9">
              <w:rPr>
                <w:i/>
                <w:sz w:val="18"/>
                <w:szCs w:val="18"/>
              </w:rPr>
              <w:t>polityka regionalna w znacznym stopniu oparta na polityce spójności vs. oparta w większym stopniu na administracji centralnej I działaniach własnych samorządu</w:t>
            </w:r>
            <w:r w:rsidR="006B4E7E" w:rsidRPr="000F56D9">
              <w:rPr>
                <w:sz w:val="18"/>
                <w:szCs w:val="18"/>
              </w:rPr>
              <w:t>)</w:t>
            </w:r>
            <w:r w:rsidR="006B4E7E">
              <w:rPr>
                <w:sz w:val="18"/>
                <w:szCs w:val="18"/>
              </w:rPr>
              <w:t>.</w:t>
            </w:r>
          </w:p>
        </w:tc>
      </w:tr>
      <w:tr w:rsidR="006F4057" w14:paraId="2796E55D" w14:textId="77777777" w:rsidTr="69901DB0">
        <w:tc>
          <w:tcPr>
            <w:tcW w:w="1560" w:type="dxa"/>
            <w:shd w:val="clear" w:color="auto" w:fill="auto"/>
          </w:tcPr>
          <w:p w14:paraId="4C67D10B" w14:textId="77777777" w:rsidR="006F4057" w:rsidRPr="000F56D9" w:rsidRDefault="006B4E7E" w:rsidP="006B4E7E">
            <w:pPr>
              <w:spacing w:after="0" w:line="240" w:lineRule="auto"/>
              <w:jc w:val="left"/>
              <w:rPr>
                <w:sz w:val="18"/>
                <w:szCs w:val="18"/>
              </w:rPr>
            </w:pPr>
            <w:r>
              <w:rPr>
                <w:sz w:val="18"/>
                <w:szCs w:val="18"/>
              </w:rPr>
              <w:t>Relacje partnerskie</w:t>
            </w:r>
          </w:p>
        </w:tc>
        <w:tc>
          <w:tcPr>
            <w:tcW w:w="7512" w:type="dxa"/>
            <w:shd w:val="clear" w:color="auto" w:fill="auto"/>
          </w:tcPr>
          <w:p w14:paraId="45CB6963" w14:textId="77777777" w:rsidR="006F4057" w:rsidRPr="000F56D9" w:rsidRDefault="006B4E7E" w:rsidP="00624AA4">
            <w:pPr>
              <w:spacing w:after="0" w:line="240" w:lineRule="auto"/>
              <w:rPr>
                <w:sz w:val="18"/>
                <w:szCs w:val="18"/>
              </w:rPr>
            </w:pPr>
            <w:r w:rsidRPr="000F56D9">
              <w:rPr>
                <w:sz w:val="18"/>
                <w:szCs w:val="18"/>
              </w:rPr>
              <w:t xml:space="preserve">Aktywniejszy udział partnerów w polityce regionalnej tzn. samorząd regionalny jako lider przy większym </w:t>
            </w:r>
            <w:r>
              <w:rPr>
                <w:sz w:val="18"/>
                <w:szCs w:val="18"/>
              </w:rPr>
              <w:t>udziale administracji lokalnej i</w:t>
            </w:r>
            <w:r w:rsidRPr="000F56D9">
              <w:rPr>
                <w:sz w:val="18"/>
                <w:szCs w:val="18"/>
              </w:rPr>
              <w:t xml:space="preserve"> innych aktorów zaangażowanych w politykę społeczno-gospodarczą (szczególnie przy uwzględnianiu wymiaru terytorialnego)</w:t>
            </w:r>
            <w:r>
              <w:rPr>
                <w:sz w:val="18"/>
                <w:szCs w:val="18"/>
              </w:rPr>
              <w:t>.</w:t>
            </w:r>
          </w:p>
        </w:tc>
      </w:tr>
      <w:tr w:rsidR="006F4057" w14:paraId="590B906F" w14:textId="77777777" w:rsidTr="69901DB0">
        <w:tc>
          <w:tcPr>
            <w:tcW w:w="1560" w:type="dxa"/>
            <w:shd w:val="clear" w:color="auto" w:fill="auto"/>
          </w:tcPr>
          <w:p w14:paraId="62E9F7ED" w14:textId="77777777" w:rsidR="006F4057" w:rsidRPr="000F56D9" w:rsidRDefault="006B4E7E" w:rsidP="006B4E7E">
            <w:pPr>
              <w:spacing w:after="0" w:line="240" w:lineRule="auto"/>
              <w:jc w:val="left"/>
              <w:rPr>
                <w:sz w:val="18"/>
                <w:szCs w:val="18"/>
              </w:rPr>
            </w:pPr>
            <w:r>
              <w:rPr>
                <w:sz w:val="18"/>
                <w:szCs w:val="18"/>
              </w:rPr>
              <w:t>Rola administracji centralnej</w:t>
            </w:r>
          </w:p>
        </w:tc>
        <w:tc>
          <w:tcPr>
            <w:tcW w:w="7512" w:type="dxa"/>
            <w:shd w:val="clear" w:color="auto" w:fill="auto"/>
          </w:tcPr>
          <w:p w14:paraId="44D92274" w14:textId="77777777" w:rsidR="006F4057" w:rsidRPr="000F56D9" w:rsidRDefault="006B4E7E" w:rsidP="00624AA4">
            <w:pPr>
              <w:spacing w:after="0" w:line="240" w:lineRule="auto"/>
              <w:rPr>
                <w:sz w:val="18"/>
                <w:szCs w:val="18"/>
              </w:rPr>
            </w:pPr>
            <w:r w:rsidRPr="000F56D9">
              <w:rPr>
                <w:sz w:val="18"/>
                <w:szCs w:val="18"/>
              </w:rPr>
              <w:t xml:space="preserve">Większa rola rządu w polityce regionalnej (przede </w:t>
            </w:r>
            <w:r w:rsidRPr="00BE6F27">
              <w:rPr>
                <w:sz w:val="18"/>
                <w:szCs w:val="18"/>
                <w:shd w:val="clear" w:color="auto" w:fill="FFFFFF" w:themeFill="background1"/>
              </w:rPr>
              <w:t>wszystkim w kontekście</w:t>
            </w:r>
            <w:r w:rsidRPr="000F56D9">
              <w:rPr>
                <w:sz w:val="18"/>
                <w:szCs w:val="18"/>
              </w:rPr>
              <w:t xml:space="preserve"> problemów związanych </w:t>
            </w:r>
            <w:r>
              <w:rPr>
                <w:sz w:val="18"/>
                <w:szCs w:val="18"/>
              </w:rPr>
              <w:t>z</w:t>
            </w:r>
            <w:r w:rsidRPr="000F56D9">
              <w:rPr>
                <w:sz w:val="18"/>
                <w:szCs w:val="18"/>
              </w:rPr>
              <w:t xml:space="preserve"> wymiarem terytorialnym (subregionalnym – OSI obligatoryjne)</w:t>
            </w:r>
            <w:r>
              <w:rPr>
                <w:sz w:val="18"/>
                <w:szCs w:val="18"/>
              </w:rPr>
              <w:t>.</w:t>
            </w:r>
          </w:p>
        </w:tc>
      </w:tr>
      <w:tr w:rsidR="006F4057" w14:paraId="0E651280" w14:textId="77777777" w:rsidTr="69901DB0">
        <w:tc>
          <w:tcPr>
            <w:tcW w:w="1560" w:type="dxa"/>
            <w:shd w:val="clear" w:color="auto" w:fill="auto"/>
          </w:tcPr>
          <w:p w14:paraId="2BB0D96D" w14:textId="77777777" w:rsidR="006F4057" w:rsidRPr="000F56D9" w:rsidRDefault="006B4E7E" w:rsidP="006B4E7E">
            <w:pPr>
              <w:spacing w:after="0" w:line="240" w:lineRule="auto"/>
              <w:jc w:val="left"/>
              <w:rPr>
                <w:sz w:val="18"/>
                <w:szCs w:val="18"/>
              </w:rPr>
            </w:pPr>
            <w:r>
              <w:rPr>
                <w:sz w:val="18"/>
                <w:szCs w:val="18"/>
              </w:rPr>
              <w:lastRenderedPageBreak/>
              <w:t>Kontrakt sektorowy</w:t>
            </w:r>
          </w:p>
        </w:tc>
        <w:tc>
          <w:tcPr>
            <w:tcW w:w="7512" w:type="dxa"/>
            <w:shd w:val="clear" w:color="auto" w:fill="auto"/>
          </w:tcPr>
          <w:p w14:paraId="3A92020A" w14:textId="36955B97" w:rsidR="006F4057" w:rsidRPr="000F56D9" w:rsidRDefault="56862DA9" w:rsidP="00624AA4">
            <w:pPr>
              <w:spacing w:after="0" w:line="240" w:lineRule="auto"/>
              <w:rPr>
                <w:sz w:val="18"/>
                <w:szCs w:val="18"/>
              </w:rPr>
            </w:pPr>
            <w:r w:rsidRPr="56862DA9">
              <w:rPr>
                <w:sz w:val="18"/>
                <w:szCs w:val="18"/>
              </w:rPr>
              <w:t>Zintegrowanie</w:t>
            </w:r>
            <w:r w:rsidR="006B4E7E" w:rsidRPr="000F56D9">
              <w:rPr>
                <w:sz w:val="18"/>
                <w:szCs w:val="18"/>
              </w:rPr>
              <w:t xml:space="preserve"> polityk sektorowych prowadzonych na szczeblu centralnym z działaniami podejmowanymi przez samorząd województwa. Dodatkowy instrument polityki rozwoju, prócz dotychczasowego kontraktu terytorialnego – wspomagający koordynacj</w:t>
            </w:r>
            <w:r w:rsidR="006C406F">
              <w:rPr>
                <w:sz w:val="18"/>
                <w:szCs w:val="18"/>
              </w:rPr>
              <w:t xml:space="preserve">ę </w:t>
            </w:r>
            <w:r w:rsidR="006B4E7E" w:rsidRPr="000F56D9">
              <w:rPr>
                <w:sz w:val="18"/>
                <w:szCs w:val="18"/>
              </w:rPr>
              <w:t>międzysektorową</w:t>
            </w:r>
          </w:p>
        </w:tc>
      </w:tr>
      <w:tr w:rsidR="006F4057" w14:paraId="23381254" w14:textId="77777777" w:rsidTr="69901DB0">
        <w:trPr>
          <w:trHeight w:val="23"/>
        </w:trPr>
        <w:tc>
          <w:tcPr>
            <w:tcW w:w="1560" w:type="dxa"/>
            <w:shd w:val="clear" w:color="auto" w:fill="auto"/>
          </w:tcPr>
          <w:p w14:paraId="56837C4F" w14:textId="77777777" w:rsidR="006F4057" w:rsidRPr="000F56D9" w:rsidRDefault="006F4057" w:rsidP="006B4E7E">
            <w:pPr>
              <w:spacing w:after="0"/>
              <w:jc w:val="left"/>
              <w:rPr>
                <w:sz w:val="18"/>
                <w:lang w:eastAsia="pl-PL"/>
              </w:rPr>
            </w:pPr>
            <w:r w:rsidRPr="000F56D9">
              <w:rPr>
                <w:sz w:val="18"/>
                <w:szCs w:val="22"/>
              </w:rPr>
              <w:t>Porozu</w:t>
            </w:r>
            <w:r w:rsidR="006B4E7E">
              <w:rPr>
                <w:sz w:val="18"/>
                <w:szCs w:val="22"/>
              </w:rPr>
              <w:t>mienie terytorialne</w:t>
            </w:r>
          </w:p>
        </w:tc>
        <w:tc>
          <w:tcPr>
            <w:tcW w:w="7512" w:type="dxa"/>
            <w:shd w:val="clear" w:color="auto" w:fill="auto"/>
          </w:tcPr>
          <w:p w14:paraId="0D44CB4D" w14:textId="7CAE6C96" w:rsidR="006F4057" w:rsidRPr="000F56D9" w:rsidRDefault="56862DA9" w:rsidP="00624AA4">
            <w:pPr>
              <w:spacing w:after="0"/>
              <w:rPr>
                <w:sz w:val="18"/>
                <w:szCs w:val="18"/>
              </w:rPr>
            </w:pPr>
            <w:r w:rsidRPr="56862DA9">
              <w:rPr>
                <w:sz w:val="18"/>
                <w:szCs w:val="18"/>
              </w:rPr>
              <w:t>Włączenie</w:t>
            </w:r>
            <w:r w:rsidR="006B4E7E" w:rsidRPr="56862DA9">
              <w:rPr>
                <w:sz w:val="18"/>
                <w:szCs w:val="18"/>
              </w:rPr>
              <w:t xml:space="preserve"> lokalnych JST w politykę regionalną – działania (instrument) podejmowane na poziomie regionalnym i krajowym dotyczące konkretnych JST.</w:t>
            </w:r>
          </w:p>
        </w:tc>
      </w:tr>
    </w:tbl>
    <w:p w14:paraId="3923F3B0" w14:textId="77777777" w:rsidR="002C2855" w:rsidRPr="00AD2F0F" w:rsidRDefault="002C2855" w:rsidP="002C2855">
      <w:pPr>
        <w:rPr>
          <w:sz w:val="14"/>
          <w:szCs w:val="14"/>
          <w:lang w:eastAsia="pl-PL"/>
        </w:rPr>
      </w:pPr>
      <w:r w:rsidRPr="00AD2F0F">
        <w:rPr>
          <w:sz w:val="14"/>
          <w:szCs w:val="14"/>
          <w:lang w:eastAsia="pl-PL"/>
        </w:rPr>
        <w:t xml:space="preserve">Źródło: </w:t>
      </w:r>
      <w:r w:rsidRPr="00AD2F0F">
        <w:rPr>
          <w:rFonts w:cs="Times New Roman"/>
          <w:iCs/>
          <w:sz w:val="14"/>
          <w:szCs w:val="14"/>
          <w:lang w:eastAsia="pl-PL"/>
        </w:rPr>
        <w:t>Krajowa Strategia Rozwoju Regionalnego</w:t>
      </w:r>
      <w:r w:rsidR="006F4057">
        <w:rPr>
          <w:rFonts w:cs="Times New Roman"/>
          <w:iCs/>
          <w:sz w:val="14"/>
          <w:szCs w:val="14"/>
          <w:lang w:eastAsia="pl-PL"/>
        </w:rPr>
        <w:t xml:space="preserve"> </w:t>
      </w:r>
      <w:r w:rsidRPr="00AD2F0F">
        <w:rPr>
          <w:rFonts w:cs="Times New Roman"/>
          <w:iCs/>
          <w:sz w:val="14"/>
          <w:szCs w:val="14"/>
          <w:lang w:eastAsia="pl-PL"/>
        </w:rPr>
        <w:t>– projekt</w:t>
      </w:r>
      <w:r>
        <w:rPr>
          <w:rFonts w:cs="Times New Roman"/>
          <w:iCs/>
          <w:sz w:val="14"/>
          <w:szCs w:val="14"/>
          <w:lang w:eastAsia="pl-PL"/>
        </w:rPr>
        <w:t xml:space="preserve"> </w:t>
      </w:r>
      <w:r w:rsidRPr="00AD2F0F">
        <w:rPr>
          <w:rFonts w:cs="Times New Roman"/>
          <w:iCs/>
          <w:sz w:val="14"/>
          <w:szCs w:val="14"/>
          <w:lang w:eastAsia="pl-PL"/>
        </w:rPr>
        <w:t>(2018), Ministerstwo Inwestycji i Rozwoju, Warszawa</w:t>
      </w:r>
    </w:p>
    <w:p w14:paraId="3348723E" w14:textId="77777777" w:rsidR="002C2855" w:rsidRDefault="002C2855" w:rsidP="002C2855">
      <w:pPr>
        <w:spacing w:after="160" w:line="259" w:lineRule="auto"/>
        <w:rPr>
          <w:szCs w:val="22"/>
          <w:lang w:eastAsia="pl-PL"/>
        </w:rPr>
      </w:pPr>
      <w:r w:rsidRPr="56862DA9">
        <w:rPr>
          <w:lang w:eastAsia="pl-PL"/>
        </w:rPr>
        <w:t>W kontekście przyjętego przez województwo paradygmatu istotne jest m.in. zwiększenie roli samorządu jako koordynatora i inicjatora sieci współpracy podmiotów zaangażowanych w rozwój regionu oraz efektywne wykorzystanie nowych instrumentów terytorialnych (kontraktu sektorowego i porozumienia terytorialnego). Przy tym istotne jest, że dokument równolegle zakłada zwiększenie roli administracji centralnej w polityce rozwoju regionów, co budzi pewne obawy wśród przedstawicieli Samorządu, bowiem powinniśmy dążyć do jak największej decentralizacji i ograniczenia wpływu administracji centralnej. Należy jednocześnie zwrócić uwagę, że zmiany te przekładają się także na sposób finansowania podejmowanych interwencji. Wyzwaniem w kolejnej perspektywie jest więc także zwiększenie udziału środków własnych samorządu oraz większe uzależnienie od środków z budżetu rządowego (w związku z ograniczeniem wpływów z polityki spójności).</w:t>
      </w:r>
    </w:p>
    <w:p w14:paraId="5A3DB94D" w14:textId="61C5D2BF" w:rsidR="56862DA9" w:rsidRDefault="56862DA9" w:rsidP="56862DA9">
      <w:pPr>
        <w:spacing w:after="160"/>
      </w:pPr>
      <w:r w:rsidRPr="56862DA9">
        <w:rPr>
          <w:rFonts w:eastAsia="Calibri"/>
          <w:szCs w:val="22"/>
        </w:rPr>
        <w:t xml:space="preserve">Pod koniec 2018 r. przyjęty został dokument kierunkowy </w:t>
      </w:r>
      <w:r w:rsidRPr="56862DA9">
        <w:rPr>
          <w:rFonts w:eastAsia="Calibri"/>
          <w:i/>
          <w:iCs/>
          <w:szCs w:val="22"/>
        </w:rPr>
        <w:t>System zarządzania rozwojem Polski</w:t>
      </w:r>
      <w:r w:rsidRPr="56862DA9">
        <w:rPr>
          <w:rFonts w:eastAsia="Calibri"/>
          <w:szCs w:val="22"/>
        </w:rPr>
        <w:t xml:space="preserve">, który będzie stanowił podstawę do wprowadzania ustawowych zmian. W dokumencie wskazano największe słabości działań koordynacyjnych na rzecz realizacji strategii w tym m.in.: brak odpowiedniej koordynacji współpracy podmiotów zaangażowanych w realizację strategii, przyjmowanie podejścia sektorowego nad horyzontalnym, niewystarczające zintegrowanie programowania strategicznego z operacyjnym, zbyt dużo utworzonych dokumentów programowych na poziomach regionalnym i lokalnym (a przy tym często niewłaściwie sporządzonych), zbyt słabe zintegrowanie planowania społeczno-gospodarczego z przestrzennym. Ponadto w dokumencie podkreślono, że w kontekście wprowadzanych zmian na szczeblu krajowym samorządy regionalne powinny przygotować się na wprowadzenie zintegrowanego systemu zarządzania rozwojem – w tym programowania społeczno-gospodarczego i przestrzennego. Celem tej integracji jest „(…) </w:t>
      </w:r>
      <w:r w:rsidRPr="56862DA9">
        <w:rPr>
          <w:rFonts w:eastAsia="Calibri"/>
          <w:i/>
          <w:iCs/>
          <w:szCs w:val="22"/>
        </w:rPr>
        <w:t xml:space="preserve">terytorialne powiązanie różnego rodzaju interwencji” </w:t>
      </w:r>
      <w:r w:rsidRPr="56862DA9">
        <w:rPr>
          <w:rFonts w:eastAsia="Calibri"/>
          <w:szCs w:val="22"/>
        </w:rPr>
        <w:t>(</w:t>
      </w:r>
      <w:r w:rsidRPr="56862DA9">
        <w:rPr>
          <w:rFonts w:eastAsia="Calibri"/>
          <w:i/>
          <w:iCs/>
          <w:szCs w:val="22"/>
        </w:rPr>
        <w:t>System Zarządzania</w:t>
      </w:r>
      <w:r w:rsidRPr="56862DA9">
        <w:rPr>
          <w:rFonts w:eastAsia="Calibri"/>
          <w:szCs w:val="22"/>
        </w:rPr>
        <w:t>… 2018). Choć powyższe nie jest bezpośrednio związane z analizą przyjętego pola interwencji i powiązanych z nim kompetencji samorządu, nakreśla jednak istotne zmiany w systemie zarządzania i strukturze dokumentów, które najpewniej przy aktualizacji Strategii przełożą się także na modyfikacje jej zapisów w części projekcyjnej.</w:t>
      </w:r>
    </w:p>
    <w:p w14:paraId="06F15556" w14:textId="77777777" w:rsidR="002C2855" w:rsidRPr="00BF08D5" w:rsidRDefault="002C2855" w:rsidP="00BF08D5">
      <w:pPr>
        <w:ind w:left="4536"/>
        <w:jc w:val="left"/>
        <w:rPr>
          <w:b/>
          <w:i/>
          <w:color w:val="001E50"/>
        </w:rPr>
      </w:pPr>
      <w:r w:rsidRPr="00BF08D5">
        <w:rPr>
          <w:b/>
          <w:i/>
          <w:color w:val="001E50"/>
        </w:rPr>
        <w:t>Zmiany często powodują utrudnienia…</w:t>
      </w:r>
    </w:p>
    <w:p w14:paraId="73637039" w14:textId="3136E30A" w:rsidR="002C2855" w:rsidRDefault="002C2855" w:rsidP="002C2855">
      <w:pPr>
        <w:spacing w:after="160"/>
        <w:rPr>
          <w:rFonts w:eastAsiaTheme="minorEastAsia"/>
        </w:rPr>
      </w:pPr>
      <w:r w:rsidRPr="56862DA9">
        <w:rPr>
          <w:rFonts w:eastAsiaTheme="minorEastAsia"/>
        </w:rPr>
        <w:t>Jak już wspomniano</w:t>
      </w:r>
      <w:r w:rsidR="56862DA9" w:rsidRPr="56862DA9">
        <w:rPr>
          <w:rFonts w:eastAsiaTheme="minorEastAsia"/>
        </w:rPr>
        <w:t>,</w:t>
      </w:r>
      <w:r w:rsidRPr="56862DA9">
        <w:rPr>
          <w:rFonts w:eastAsiaTheme="minorEastAsia"/>
        </w:rPr>
        <w:t xml:space="preserve"> na obecną chwilę wpływ Samorządu na realizację wyznaczonych pól interwencji jest szeroki. Potwierdzają to również dyrektorzy departamentów merytorycznych. </w:t>
      </w:r>
      <w:r>
        <w:rPr>
          <w:rFonts w:eastAsiaTheme="minorEastAsia"/>
        </w:rPr>
        <w:t xml:space="preserve">Duży poziom ogólności zapisów pozwala na dosyć elastyczne przypisanie kompetencji do poszczególnych celów. </w:t>
      </w:r>
      <w:r w:rsidRPr="56862DA9">
        <w:rPr>
          <w:lang w:eastAsia="pl-PL"/>
        </w:rPr>
        <w:t>Zauważalne są jednak zmiany zarówno w otoczeniu wewnętrznym, jak i zewnętrznym, które w pewnym stopniu ten zakres kompetencji samorządu modyfikują.</w:t>
      </w:r>
    </w:p>
    <w:p w14:paraId="48D52C73" w14:textId="77777777" w:rsidR="002C2855" w:rsidRDefault="002C2855" w:rsidP="002C2855">
      <w:pPr>
        <w:spacing w:after="160" w:line="259" w:lineRule="auto"/>
        <w:rPr>
          <w:szCs w:val="22"/>
          <w:lang w:eastAsia="pl-PL"/>
        </w:rPr>
      </w:pPr>
      <w:r>
        <w:rPr>
          <w:szCs w:val="22"/>
          <w:lang w:eastAsia="pl-PL"/>
        </w:rPr>
        <w:t xml:space="preserve">Pierwszym zauważalnym problemem są </w:t>
      </w:r>
      <w:r w:rsidRPr="001C6C3A">
        <w:rPr>
          <w:szCs w:val="22"/>
          <w:lang w:eastAsia="pl-PL"/>
        </w:rPr>
        <w:t>zmiany prawne i regulacje na poziomie administracji centralnej</w:t>
      </w:r>
      <w:r>
        <w:rPr>
          <w:szCs w:val="22"/>
          <w:lang w:eastAsia="pl-PL"/>
        </w:rPr>
        <w:t xml:space="preserve"> widoczne np. w obszarze edukacji (likwidacja gimnazjów, coroczne zmiany subwencji oświatowej), czy też w obszarze sportu (ograniczenie środków finansowych z funduszu rozwoju kultury fizycznej). Zmiany te wpłynęły lub wpłyną na podejmowane przez Urząd przedsięwzięcia, choć w omawianych sektorach (obszarach), zdaniem rozmówców nie powinny ograniczyć znacząco ich wpływu na realizację </w:t>
      </w:r>
      <w:r w:rsidRPr="00BA0520">
        <w:rPr>
          <w:szCs w:val="22"/>
          <w:lang w:eastAsia="pl-PL"/>
        </w:rPr>
        <w:t>wybranych celów SRW</w:t>
      </w:r>
      <w:r>
        <w:rPr>
          <w:szCs w:val="22"/>
          <w:lang w:eastAsia="pl-PL"/>
        </w:rPr>
        <w:t>W 2020</w:t>
      </w:r>
      <w:r w:rsidRPr="00BA0520">
        <w:rPr>
          <w:szCs w:val="22"/>
          <w:lang w:eastAsia="pl-PL"/>
        </w:rPr>
        <w:t xml:space="preserve">. Bardziej problematycznym zagadnieniem w kontekście regulacji prawnych jest przekazywanie jednostek organizacyjnych podległych Samorządowi, </w:t>
      </w:r>
      <w:r w:rsidRPr="00BA0520">
        <w:rPr>
          <w:szCs w:val="22"/>
          <w:lang w:eastAsia="pl-PL"/>
        </w:rPr>
        <w:lastRenderedPageBreak/>
        <w:t>administracji centralnej m.in. jednostkom terenowym administracji rządowej, co bezpośrednio przekłada się na ograniczenie kompetencji Samorządu. W opinii przedstawicieli poszczególnych departamentów powinniśmy dążyć do jak największej decentralizacji zadań.</w:t>
      </w:r>
      <w:r>
        <w:rPr>
          <w:szCs w:val="22"/>
          <w:lang w:eastAsia="pl-PL"/>
        </w:rPr>
        <w:t xml:space="preserve"> </w:t>
      </w:r>
    </w:p>
    <w:p w14:paraId="3517076D" w14:textId="77777777" w:rsidR="002C2855" w:rsidRPr="00BF08D5" w:rsidRDefault="002C2855" w:rsidP="00BF08D5">
      <w:pPr>
        <w:ind w:left="4536"/>
        <w:jc w:val="left"/>
        <w:rPr>
          <w:b/>
          <w:i/>
          <w:color w:val="001E50"/>
        </w:rPr>
      </w:pPr>
      <w:r w:rsidRPr="00BF08D5">
        <w:rPr>
          <w:b/>
          <w:i/>
          <w:color w:val="001E50"/>
        </w:rPr>
        <w:t>Istotna jest wieloszczeblowa współpraca, wynikająca z podziału kompetencji pomiędzy JST…</w:t>
      </w:r>
    </w:p>
    <w:p w14:paraId="4F84BDA8" w14:textId="77777777" w:rsidR="002C2855" w:rsidRDefault="002C2855" w:rsidP="002C2855">
      <w:pPr>
        <w:spacing w:after="160" w:line="259" w:lineRule="auto"/>
        <w:rPr>
          <w:szCs w:val="22"/>
          <w:lang w:eastAsia="pl-PL"/>
        </w:rPr>
      </w:pPr>
      <w:r>
        <w:rPr>
          <w:szCs w:val="22"/>
          <w:lang w:eastAsia="pl-PL"/>
        </w:rPr>
        <w:t xml:space="preserve">Istotną kwestią jest także podział kompetencji w poszczególnych obszarach tematycznych, pomiędzy administrację publiczną na różnych szczeblach np. w obszarze edukacji – kształcenie zawodowe i ustawiczne jest zadaniem samorządów powiatowych. W związku z tym, zadaniem samorządu regionalnego jest także </w:t>
      </w:r>
      <w:r w:rsidRPr="009B0AAD">
        <w:rPr>
          <w:szCs w:val="22"/>
          <w:lang w:eastAsia="pl-PL"/>
        </w:rPr>
        <w:t>współpraca z JST</w:t>
      </w:r>
      <w:r>
        <w:rPr>
          <w:szCs w:val="22"/>
          <w:lang w:eastAsia="pl-PL"/>
        </w:rPr>
        <w:t xml:space="preserve"> i zachęcanie do podejmowania pewnych przedsięwzięć. Przy czym jest to zagadnienie dosyć problematyczne, bowiem </w:t>
      </w:r>
      <w:r w:rsidRPr="009B0AAD">
        <w:rPr>
          <w:szCs w:val="22"/>
          <w:lang w:eastAsia="pl-PL"/>
        </w:rPr>
        <w:t>samorządy lokalne często zwracają uwagę tylko na partykularne interesy</w:t>
      </w:r>
      <w:r>
        <w:rPr>
          <w:szCs w:val="22"/>
          <w:lang w:eastAsia="pl-PL"/>
        </w:rPr>
        <w:t xml:space="preserve">. </w:t>
      </w:r>
    </w:p>
    <w:p w14:paraId="326CC6CD" w14:textId="77777777" w:rsidR="002C2855" w:rsidRPr="00BF08D5" w:rsidRDefault="002C2855" w:rsidP="00BF08D5">
      <w:pPr>
        <w:ind w:left="4536"/>
        <w:jc w:val="left"/>
        <w:rPr>
          <w:b/>
          <w:i/>
          <w:color w:val="001E50"/>
        </w:rPr>
      </w:pPr>
      <w:r w:rsidRPr="00BF08D5">
        <w:rPr>
          <w:b/>
          <w:i/>
          <w:color w:val="001E50"/>
        </w:rPr>
        <w:t>Efektywność podejmowanych przez Samorząd działań zależy od właściwej organizacji Urzędu…</w:t>
      </w:r>
    </w:p>
    <w:p w14:paraId="1213681D" w14:textId="7F392513" w:rsidR="002C2855" w:rsidRDefault="002C2855" w:rsidP="002C2855">
      <w:pPr>
        <w:spacing w:after="160" w:line="259" w:lineRule="auto"/>
        <w:rPr>
          <w:lang w:eastAsia="pl-PL"/>
        </w:rPr>
      </w:pPr>
      <w:r w:rsidRPr="56862DA9">
        <w:rPr>
          <w:lang w:eastAsia="pl-PL"/>
        </w:rPr>
        <w:t xml:space="preserve">Finalnie efektywność podejmowanych przez Samorząd działań, zależy też od organizacji Urzędu. Na obecną chwilę widoczny jest problem w przepływie informacji pomiędzy departamentami. Szczególnie ważne jest to, żeby wzmocnić współpracę wewnątrz Urzędu pomiędzy komórkami, które odpowiedzialne są za te same i/lub zbliżone obszary tematyczne np. </w:t>
      </w:r>
      <w:r w:rsidR="56862DA9" w:rsidRPr="56862DA9">
        <w:rPr>
          <w:lang w:eastAsia="pl-PL"/>
        </w:rPr>
        <w:t xml:space="preserve">WUP, ROPS, Departament Zdrowia, Departament Edukacji </w:t>
      </w:r>
      <w:r w:rsidRPr="56862DA9">
        <w:rPr>
          <w:lang w:eastAsia="pl-PL"/>
        </w:rPr>
        <w:t>i in. W tym aspekcie pożądanym rozwiązaniem (w opinii jednego z rozmówców) jest stworzenie</w:t>
      </w:r>
      <w:r w:rsidR="008D146A">
        <w:rPr>
          <w:lang w:eastAsia="pl-PL"/>
        </w:rPr>
        <w:t xml:space="preserve"> </w:t>
      </w:r>
      <w:r w:rsidRPr="56862DA9">
        <w:rPr>
          <w:lang w:eastAsia="pl-PL"/>
        </w:rPr>
        <w:t xml:space="preserve">platformy wymiany informacji, zespołu składającego się z przedstawicieli poszczególnych departamentów, który posłuży nie tylko do wymiany doświadczeń, ale być może przyczyni się także do realizacji nowych kreatywnych przedsięwzięć. Stworzenie w Urzędzie takiego forum wymiany informacji i pomysłów byłoby szczególnie wskazane w obszarze współpracy międzynarodowej. Na obecną chwilę prócz podejmowanych przez Biuro Współpracy Międzynarodowej zadań, poszczególne departamenty merytoryczne także nawiązują kontakty i przystępują do realizacji projektów międzynarodowych, przy czym brakuje przepływu informacji w tym zakresie. Zdarza się, że o realizacji takiego projektu pracownicy dowiadują się podczas nawiązania kontaktu z partnerem zagranicznym. </w:t>
      </w:r>
    </w:p>
    <w:p w14:paraId="0D8DD883" w14:textId="2AB088D6" w:rsidR="005F137B" w:rsidRDefault="002C2855" w:rsidP="002C2855">
      <w:pPr>
        <w:spacing w:after="160" w:line="259" w:lineRule="auto"/>
        <w:rPr>
          <w:lang w:eastAsia="pl-PL"/>
        </w:rPr>
      </w:pPr>
      <w:r w:rsidRPr="56862DA9">
        <w:rPr>
          <w:lang w:eastAsia="pl-PL"/>
        </w:rPr>
        <w:t>Warto zastanowić się także nad zmianami w strukturze Urzędu jak np. sugerowane podczas wywiadów połączenie Departamentu Programu Rozwoju Obszarów Wiejskich i Departamentu Rolnictwa i Rozwoju Wsi, na rzecz zwiększenia efektywności p</w:t>
      </w:r>
      <w:r w:rsidR="000817E6">
        <w:rPr>
          <w:lang w:eastAsia="pl-PL"/>
        </w:rPr>
        <w:t>odejmowanych działań. W opinii E</w:t>
      </w:r>
      <w:r w:rsidR="007707D1">
        <w:rPr>
          <w:lang w:eastAsia="pl-PL"/>
        </w:rPr>
        <w:t>waluatorów</w:t>
      </w:r>
      <w:r w:rsidRPr="56862DA9">
        <w:rPr>
          <w:lang w:eastAsia="pl-PL"/>
        </w:rPr>
        <w:t xml:space="preserve"> wszelkie zmiany, które prowadzą do usprawnienia działalności </w:t>
      </w:r>
      <w:r w:rsidR="56862DA9" w:rsidRPr="56862DA9">
        <w:rPr>
          <w:lang w:eastAsia="pl-PL"/>
        </w:rPr>
        <w:t>Urzędu</w:t>
      </w:r>
      <w:r w:rsidRPr="56862DA9">
        <w:rPr>
          <w:lang w:eastAsia="pl-PL"/>
        </w:rPr>
        <w:t xml:space="preserve"> i jakości pracy są jak najbardziej właściwe</w:t>
      </w:r>
      <w:r w:rsidR="0047181A">
        <w:rPr>
          <w:lang w:eastAsia="pl-PL"/>
        </w:rPr>
        <w:t>, choć do tematu należy podchodzić ostrożnie, bowiem zmiany te mogą mieć także negatywne skutki.</w:t>
      </w:r>
      <w:r w:rsidR="00D90657">
        <w:rPr>
          <w:lang w:eastAsia="pl-PL"/>
        </w:rPr>
        <w:t xml:space="preserve"> </w:t>
      </w:r>
      <w:r w:rsidR="0047181A">
        <w:rPr>
          <w:lang w:eastAsia="pl-PL"/>
        </w:rPr>
        <w:t>W</w:t>
      </w:r>
      <w:r w:rsidR="00EA67B6">
        <w:rPr>
          <w:lang w:eastAsia="pl-PL"/>
        </w:rPr>
        <w:t xml:space="preserve"> tym miejscu</w:t>
      </w:r>
      <w:r w:rsidR="007E2312">
        <w:rPr>
          <w:lang w:eastAsia="pl-PL"/>
        </w:rPr>
        <w:t>,</w:t>
      </w:r>
      <w:r w:rsidR="00EA67B6">
        <w:rPr>
          <w:lang w:eastAsia="pl-PL"/>
        </w:rPr>
        <w:t xml:space="preserve"> </w:t>
      </w:r>
      <w:r w:rsidR="0047181A">
        <w:rPr>
          <w:lang w:eastAsia="pl-PL"/>
        </w:rPr>
        <w:t>jako przykład można wskazać</w:t>
      </w:r>
      <w:r w:rsidR="00EA67B6">
        <w:rPr>
          <w:lang w:eastAsia="pl-PL"/>
        </w:rPr>
        <w:t xml:space="preserve"> </w:t>
      </w:r>
      <w:r w:rsidR="0047181A">
        <w:rPr>
          <w:lang w:eastAsia="pl-PL"/>
        </w:rPr>
        <w:t>zarządzanie</w:t>
      </w:r>
      <w:r w:rsidR="00EA67B6">
        <w:rPr>
          <w:lang w:eastAsia="pl-PL"/>
        </w:rPr>
        <w:t xml:space="preserve"> współpracą zagraniczną</w:t>
      </w:r>
      <w:r w:rsidR="0047181A">
        <w:rPr>
          <w:lang w:eastAsia="pl-PL"/>
        </w:rPr>
        <w:t>. Jak</w:t>
      </w:r>
      <w:r w:rsidR="00EA67B6">
        <w:rPr>
          <w:lang w:eastAsia="pl-PL"/>
        </w:rPr>
        <w:t xml:space="preserve"> już wspomniano współpraca ta realizowana jest równolegle przez Biuro Współpracy Międzynarodowej i departamenty merytoryczne</w:t>
      </w:r>
      <w:r w:rsidR="007E2312">
        <w:rPr>
          <w:lang w:eastAsia="pl-PL"/>
        </w:rPr>
        <w:t xml:space="preserve">. </w:t>
      </w:r>
      <w:r w:rsidR="00EA67B6">
        <w:rPr>
          <w:lang w:eastAsia="pl-PL"/>
        </w:rPr>
        <w:t xml:space="preserve">Podczas wywiadów stwierdzono, że </w:t>
      </w:r>
      <w:r w:rsidR="007E2312">
        <w:rPr>
          <w:lang w:eastAsia="pl-PL"/>
        </w:rPr>
        <w:t xml:space="preserve">w </w:t>
      </w:r>
      <w:r w:rsidR="00EA67B6">
        <w:rPr>
          <w:lang w:eastAsia="pl-PL"/>
        </w:rPr>
        <w:t>taki</w:t>
      </w:r>
      <w:r w:rsidR="007E2312">
        <w:rPr>
          <w:lang w:eastAsia="pl-PL"/>
        </w:rPr>
        <w:t>m</w:t>
      </w:r>
      <w:r w:rsidR="00EA67B6">
        <w:rPr>
          <w:lang w:eastAsia="pl-PL"/>
        </w:rPr>
        <w:t xml:space="preserve"> model</w:t>
      </w:r>
      <w:r w:rsidR="007E2312">
        <w:rPr>
          <w:lang w:eastAsia="pl-PL"/>
        </w:rPr>
        <w:t xml:space="preserve">u mogą pojawiać się problemy w sprawnym obiegu informacji. </w:t>
      </w:r>
    </w:p>
    <w:p w14:paraId="30C37C83" w14:textId="77777777" w:rsidR="005F137B" w:rsidRDefault="005F137B">
      <w:pPr>
        <w:spacing w:after="0" w:line="240" w:lineRule="auto"/>
        <w:jc w:val="left"/>
        <w:rPr>
          <w:lang w:eastAsia="pl-PL"/>
        </w:rPr>
      </w:pPr>
      <w:r>
        <w:rPr>
          <w:lang w:eastAsia="pl-PL"/>
        </w:rPr>
        <w:br w:type="page"/>
      </w:r>
    </w:p>
    <w:p w14:paraId="15B7C101" w14:textId="77777777" w:rsidR="002C2855" w:rsidRDefault="002C2855" w:rsidP="00624AA4">
      <w:pPr>
        <w:pStyle w:val="Nagwek2"/>
      </w:pPr>
      <w:bookmarkStart w:id="182" w:name="_Toc536653112"/>
      <w:bookmarkStart w:id="183" w:name="_Toc1904784"/>
      <w:bookmarkStart w:id="184" w:name="_Toc5699478"/>
      <w:r>
        <w:lastRenderedPageBreak/>
        <w:t>Strategia bez działań bieżących</w:t>
      </w:r>
      <w:bookmarkEnd w:id="182"/>
      <w:bookmarkEnd w:id="183"/>
      <w:bookmarkEnd w:id="184"/>
    </w:p>
    <w:p w14:paraId="45740BAB" w14:textId="77777777" w:rsidR="002C2855" w:rsidRPr="00BF08D5" w:rsidRDefault="002C2855" w:rsidP="00BF08D5">
      <w:pPr>
        <w:ind w:left="4536"/>
        <w:jc w:val="left"/>
        <w:rPr>
          <w:b/>
          <w:i/>
          <w:color w:val="001E50"/>
        </w:rPr>
      </w:pPr>
      <w:r w:rsidRPr="00BF08D5">
        <w:rPr>
          <w:b/>
          <w:i/>
          <w:color w:val="001E50"/>
        </w:rPr>
        <w:t xml:space="preserve">W ramach SRWW 2020 nie zidentyfikowano działań, które nie mają charakteru prorozwojowego… </w:t>
      </w:r>
    </w:p>
    <w:p w14:paraId="0FF083D4" w14:textId="27C9C57A" w:rsidR="002C2855" w:rsidRDefault="002C2855" w:rsidP="002C2855">
      <w:r>
        <w:t>Samorządy w zakresie swoich kompetencji podejmują zarówno działania bieżące (np. utrzymywanie szkół) oraz działania prorozwojowe. Zgodnie z ustawą</w:t>
      </w:r>
      <w:r w:rsidRPr="006E53D7">
        <w:t xml:space="preserve"> o </w:t>
      </w:r>
      <w:r>
        <w:t>s</w:t>
      </w:r>
      <w:r w:rsidRPr="006E53D7">
        <w:t xml:space="preserve">amorządzie </w:t>
      </w:r>
      <w:r>
        <w:t>w</w:t>
      </w:r>
      <w:r w:rsidRPr="006E53D7">
        <w:t>ojewództwa</w:t>
      </w:r>
      <w:r>
        <w:t xml:space="preserve"> w strategii rozwoju województwa należy zwrócić szczególną uwagę na działania prorozwojowe m.in.</w:t>
      </w:r>
      <w:r w:rsidRPr="56862DA9">
        <w:rPr>
          <w:sz w:val="28"/>
          <w:szCs w:val="28"/>
        </w:rPr>
        <w:t xml:space="preserve"> „</w:t>
      </w:r>
      <w:r>
        <w:t xml:space="preserve">(…) </w:t>
      </w:r>
      <w:r>
        <w:rPr>
          <w:i/>
        </w:rPr>
        <w:t>pobudzanie aktywności gospodarczej, podnoszenie poziomu konkurencyjności i innowacyjności gospodarki województwa oraz kształtowanie i utrzymanie ładu przestrzennego</w:t>
      </w:r>
      <w:r w:rsidR="56862DA9" w:rsidRPr="56862DA9">
        <w:rPr>
          <w:i/>
          <w:iCs/>
        </w:rPr>
        <w:t xml:space="preserve">” </w:t>
      </w:r>
      <w:r w:rsidR="56862DA9">
        <w:t>(</w:t>
      </w:r>
      <w:r w:rsidRPr="00057BFC">
        <w:t>art. 11 ust</w:t>
      </w:r>
      <w:r>
        <w:t>.</w:t>
      </w:r>
      <w:r w:rsidRPr="00057BFC">
        <w:t xml:space="preserve"> 1).</w:t>
      </w:r>
      <w:r>
        <w:t xml:space="preserve"> </w:t>
      </w:r>
    </w:p>
    <w:p w14:paraId="18FE144A" w14:textId="780D3F1F" w:rsidR="002C2855" w:rsidRDefault="002C2855" w:rsidP="002C2855">
      <w:pPr>
        <w:rPr>
          <w:lang w:eastAsia="pl-PL"/>
        </w:rPr>
      </w:pPr>
      <w:r>
        <w:t>Pełna lista zagadnień, które dotyczą planowania rozwoju regionu zapisana jest w art. 11 ust. 2. ustawy o samorządzie województwa. Zestawiając wskazane w ww. artykule obszary, które powinny znaleźć się w strategii, z zapisami SRWW 2020, można stwierdzić, że działania Samorządu Wielkopolski wpisują się w ustawowo nakreśloną politykę rozwoju (</w:t>
      </w:r>
      <w:r w:rsidRPr="56862DA9">
        <w:fldChar w:fldCharType="begin"/>
      </w:r>
      <w:r>
        <w:instrText xml:space="preserve"> REF _Ref536612542 \h </w:instrText>
      </w:r>
      <w:r w:rsidRPr="56862DA9">
        <w:rPr>
          <w:highlight w:val="yellow"/>
        </w:rPr>
        <w:fldChar w:fldCharType="separate"/>
      </w:r>
      <w:r w:rsidR="007F4FA2" w:rsidRPr="00F236F2">
        <w:t xml:space="preserve">Tabela </w:t>
      </w:r>
      <w:r w:rsidR="007F4FA2">
        <w:rPr>
          <w:noProof/>
        </w:rPr>
        <w:t>18</w:t>
      </w:r>
      <w:r w:rsidRPr="56862DA9">
        <w:fldChar w:fldCharType="end"/>
      </w:r>
      <w:r>
        <w:t>).</w:t>
      </w:r>
    </w:p>
    <w:p w14:paraId="665D1E2B" w14:textId="67665256" w:rsidR="002C2855" w:rsidRPr="00F236F2" w:rsidRDefault="002C2855" w:rsidP="002C2855">
      <w:pPr>
        <w:pStyle w:val="Legenda"/>
        <w:rPr>
          <w:color w:val="000000" w:themeColor="text1"/>
        </w:rPr>
      </w:pPr>
      <w:bookmarkStart w:id="185" w:name="_Ref536612542"/>
      <w:bookmarkStart w:id="186" w:name="_Toc5699551"/>
      <w:r w:rsidRPr="00F236F2">
        <w:rPr>
          <w:color w:val="000000" w:themeColor="text1"/>
        </w:rPr>
        <w:t xml:space="preserve">Tabela </w:t>
      </w:r>
      <w:r w:rsidRPr="1FA2818E">
        <w:fldChar w:fldCharType="begin"/>
      </w:r>
      <w:r w:rsidRPr="00F236F2">
        <w:rPr>
          <w:noProof/>
          <w:color w:val="000000" w:themeColor="text1"/>
        </w:rPr>
        <w:instrText xml:space="preserve"> SEQ Tabela \* ARABIC </w:instrText>
      </w:r>
      <w:r w:rsidRPr="1FA2818E">
        <w:rPr>
          <w:noProof/>
          <w:color w:val="000000" w:themeColor="text1"/>
        </w:rPr>
        <w:fldChar w:fldCharType="separate"/>
      </w:r>
      <w:r w:rsidR="007F4FA2">
        <w:rPr>
          <w:noProof/>
          <w:color w:val="000000" w:themeColor="text1"/>
        </w:rPr>
        <w:t>18</w:t>
      </w:r>
      <w:r w:rsidRPr="1FA2818E">
        <w:fldChar w:fldCharType="end"/>
      </w:r>
      <w:bookmarkEnd w:id="185"/>
      <w:r w:rsidRPr="00F236F2">
        <w:rPr>
          <w:color w:val="000000" w:themeColor="text1"/>
        </w:rPr>
        <w:t>. Kierunki polityki rozwoju zapisane w ustawie, a cele SRWW 2020</w:t>
      </w:r>
      <w:bookmarkEnd w:id="186"/>
      <w:r w:rsidRPr="00F236F2">
        <w:rPr>
          <w:color w:val="000000" w:themeColor="text1"/>
        </w:rPr>
        <w:t xml:space="preserve"> </w:t>
      </w:r>
    </w:p>
    <w:tbl>
      <w:tblPr>
        <w:tblStyle w:val="Siatkatabelijasna"/>
        <w:tblW w:w="9072" w:type="dxa"/>
        <w:tblBorders>
          <w:top w:val="single" w:sz="4" w:space="0" w:color="FFC000" w:themeColor="accent4"/>
          <w:left w:val="none" w:sz="0" w:space="0" w:color="auto"/>
          <w:bottom w:val="single" w:sz="4" w:space="0" w:color="FFC000" w:themeColor="accent4"/>
          <w:right w:val="none" w:sz="0" w:space="0" w:color="auto"/>
          <w:insideH w:val="single" w:sz="4" w:space="0" w:color="FFC000" w:themeColor="accent4"/>
          <w:insideV w:val="single" w:sz="4" w:space="0" w:color="FFC000" w:themeColor="accent4"/>
        </w:tblBorders>
        <w:tblLook w:val="04A0" w:firstRow="1" w:lastRow="0" w:firstColumn="1" w:lastColumn="0" w:noHBand="0" w:noVBand="1"/>
        <w:tblCaption w:val="Tabela 17. Kierunki polityki rozwoju zapisane w ustawie, a cele SRWW 2020 "/>
        <w:tblDescription w:val="Tabela przedstawia, w jaki sposób cele Strategii wpisują się w zapisy Ustawy o Samorządzie Województwa (w zakresie prowadzenia polityki rozwoju). Ogólny wniosek pozwala stwierdzić, że wszystkie cele Startegii mają charakter prorozwojowy."/>
      </w:tblPr>
      <w:tblGrid>
        <w:gridCol w:w="3969"/>
        <w:gridCol w:w="5103"/>
      </w:tblGrid>
      <w:tr w:rsidR="002C2855" w:rsidRPr="00E8450C" w14:paraId="66F07E2E" w14:textId="77777777" w:rsidTr="69901DB0">
        <w:trPr>
          <w:tblHeader/>
        </w:trPr>
        <w:tc>
          <w:tcPr>
            <w:tcW w:w="3969" w:type="dxa"/>
            <w:tcBorders>
              <w:bottom w:val="single" w:sz="4" w:space="0" w:color="FFC000" w:themeColor="accent4"/>
            </w:tcBorders>
            <w:shd w:val="clear" w:color="auto" w:fill="FFC000" w:themeFill="accent4"/>
            <w:hideMark/>
          </w:tcPr>
          <w:p w14:paraId="1D5B35CF" w14:textId="77777777" w:rsidR="002C2855" w:rsidRPr="00E8450C" w:rsidRDefault="002C2855" w:rsidP="00624AA4">
            <w:pPr>
              <w:spacing w:after="0" w:line="256" w:lineRule="auto"/>
              <w:jc w:val="center"/>
              <w:rPr>
                <w:b/>
                <w:sz w:val="16"/>
                <w:szCs w:val="16"/>
              </w:rPr>
            </w:pPr>
            <w:r w:rsidRPr="00E8450C">
              <w:rPr>
                <w:b/>
                <w:sz w:val="16"/>
                <w:szCs w:val="16"/>
              </w:rPr>
              <w:t>Ustawa o Samorządzie Województwa</w:t>
            </w:r>
          </w:p>
        </w:tc>
        <w:tc>
          <w:tcPr>
            <w:tcW w:w="5103" w:type="dxa"/>
            <w:tcBorders>
              <w:bottom w:val="single" w:sz="4" w:space="0" w:color="FFC000" w:themeColor="accent4"/>
            </w:tcBorders>
            <w:shd w:val="clear" w:color="auto" w:fill="FFC000" w:themeFill="accent4"/>
            <w:hideMark/>
          </w:tcPr>
          <w:p w14:paraId="4F2C060A" w14:textId="77777777" w:rsidR="002C2855" w:rsidRPr="00E8450C" w:rsidRDefault="002C2855" w:rsidP="00624AA4">
            <w:pPr>
              <w:spacing w:after="0" w:line="256" w:lineRule="auto"/>
              <w:jc w:val="center"/>
              <w:rPr>
                <w:b/>
                <w:sz w:val="16"/>
                <w:szCs w:val="16"/>
              </w:rPr>
            </w:pPr>
            <w:r w:rsidRPr="00E8450C">
              <w:rPr>
                <w:b/>
                <w:sz w:val="16"/>
                <w:szCs w:val="16"/>
              </w:rPr>
              <w:t xml:space="preserve">Cele </w:t>
            </w:r>
            <w:r>
              <w:rPr>
                <w:b/>
                <w:sz w:val="16"/>
                <w:szCs w:val="16"/>
              </w:rPr>
              <w:t xml:space="preserve">SRWW 2020 </w:t>
            </w:r>
          </w:p>
        </w:tc>
      </w:tr>
      <w:tr w:rsidR="002C2855" w:rsidRPr="00E8450C" w14:paraId="57355FC7" w14:textId="77777777" w:rsidTr="69901DB0">
        <w:tc>
          <w:tcPr>
            <w:tcW w:w="3969" w:type="dxa"/>
            <w:tcBorders>
              <w:right w:val="nil"/>
            </w:tcBorders>
            <w:vAlign w:val="center"/>
            <w:hideMark/>
          </w:tcPr>
          <w:p w14:paraId="33258EAB" w14:textId="77777777" w:rsidR="002C2855" w:rsidRPr="00E8450C" w:rsidRDefault="002C2855" w:rsidP="00624AA4">
            <w:pPr>
              <w:spacing w:after="0" w:line="256" w:lineRule="auto"/>
              <w:jc w:val="left"/>
              <w:rPr>
                <w:rFonts w:asciiTheme="minorHAnsi" w:hAnsiTheme="minorHAnsi"/>
                <w:sz w:val="16"/>
                <w:szCs w:val="16"/>
              </w:rPr>
            </w:pPr>
            <w:r w:rsidRPr="69901DB0">
              <w:rPr>
                <w:rFonts w:asciiTheme="minorHAnsi" w:hAnsiTheme="minorHAnsi"/>
                <w:sz w:val="16"/>
                <w:szCs w:val="16"/>
                <w:shd w:val="clear" w:color="auto" w:fill="FFFFFF"/>
              </w:rPr>
              <w:t>Tworzenie warunków rozwoju gospodarczego, w tym kreowanie rynku pracy;</w:t>
            </w:r>
            <w:r w:rsidRPr="00E8450C">
              <w:rPr>
                <w:rFonts w:asciiTheme="minorHAnsi" w:hAnsiTheme="minorHAnsi"/>
                <w:sz w:val="16"/>
                <w:szCs w:val="16"/>
              </w:rPr>
              <w:br/>
            </w:r>
          </w:p>
        </w:tc>
        <w:tc>
          <w:tcPr>
            <w:tcW w:w="5103" w:type="dxa"/>
            <w:tcBorders>
              <w:left w:val="nil"/>
            </w:tcBorders>
            <w:vAlign w:val="center"/>
            <w:hideMark/>
          </w:tcPr>
          <w:p w14:paraId="42DEF570" w14:textId="77777777" w:rsidR="002C2855" w:rsidRPr="00E8450C" w:rsidRDefault="002C2855" w:rsidP="00624AA4">
            <w:pPr>
              <w:spacing w:after="0" w:line="256" w:lineRule="auto"/>
              <w:jc w:val="left"/>
              <w:rPr>
                <w:sz w:val="16"/>
                <w:szCs w:val="16"/>
              </w:rPr>
            </w:pPr>
            <w:r w:rsidRPr="00E8450C">
              <w:rPr>
                <w:sz w:val="16"/>
                <w:szCs w:val="16"/>
              </w:rPr>
              <w:t>4. Zwiększenie konkurencyjności metropolii poznańskiej i ośrodków wzrostu w województwie</w:t>
            </w:r>
            <w:r>
              <w:rPr>
                <w:sz w:val="16"/>
                <w:szCs w:val="16"/>
              </w:rPr>
              <w:t xml:space="preserve"> (4.1-4.2)</w:t>
            </w:r>
          </w:p>
          <w:p w14:paraId="7E7A8FD1" w14:textId="77777777" w:rsidR="002C2855" w:rsidRPr="00E8450C" w:rsidRDefault="002C2855" w:rsidP="00624AA4">
            <w:pPr>
              <w:spacing w:after="0" w:line="256" w:lineRule="auto"/>
              <w:jc w:val="left"/>
              <w:rPr>
                <w:sz w:val="16"/>
                <w:szCs w:val="16"/>
              </w:rPr>
            </w:pPr>
            <w:r w:rsidRPr="00E8450C">
              <w:rPr>
                <w:sz w:val="16"/>
                <w:szCs w:val="16"/>
              </w:rPr>
              <w:t>5. Zwiększenie spójności województwa</w:t>
            </w:r>
            <w:r>
              <w:rPr>
                <w:sz w:val="16"/>
                <w:szCs w:val="16"/>
              </w:rPr>
              <w:t>(5.1-5.6)</w:t>
            </w:r>
          </w:p>
          <w:p w14:paraId="3EEC45BA" w14:textId="77777777" w:rsidR="002C2855" w:rsidRDefault="002C2855" w:rsidP="00624AA4">
            <w:pPr>
              <w:spacing w:after="0" w:line="256" w:lineRule="auto"/>
              <w:jc w:val="left"/>
              <w:rPr>
                <w:sz w:val="16"/>
                <w:szCs w:val="16"/>
              </w:rPr>
            </w:pPr>
            <w:r w:rsidRPr="00E8450C">
              <w:rPr>
                <w:sz w:val="16"/>
                <w:szCs w:val="16"/>
              </w:rPr>
              <w:t>6. Wzmocnienie potencjału gospodarczego regionu</w:t>
            </w:r>
            <w:r>
              <w:rPr>
                <w:sz w:val="16"/>
                <w:szCs w:val="16"/>
              </w:rPr>
              <w:t xml:space="preserve"> (6.1-6.13)</w:t>
            </w:r>
          </w:p>
          <w:p w14:paraId="093BD3B4" w14:textId="77777777" w:rsidR="002C2855" w:rsidRPr="00E8450C" w:rsidRDefault="002C2855" w:rsidP="00624AA4">
            <w:pPr>
              <w:spacing w:after="0" w:line="256" w:lineRule="auto"/>
              <w:jc w:val="left"/>
              <w:rPr>
                <w:sz w:val="16"/>
                <w:szCs w:val="16"/>
              </w:rPr>
            </w:pPr>
            <w:r>
              <w:rPr>
                <w:sz w:val="16"/>
                <w:szCs w:val="16"/>
              </w:rPr>
              <w:t xml:space="preserve">9. </w:t>
            </w:r>
            <w:r w:rsidRPr="00E8450C">
              <w:rPr>
                <w:sz w:val="16"/>
                <w:szCs w:val="16"/>
              </w:rPr>
              <w:t>Wzrost bezpieczeństwa i sprawności zarzadzania regionem</w:t>
            </w:r>
            <w:r>
              <w:rPr>
                <w:sz w:val="16"/>
                <w:szCs w:val="16"/>
              </w:rPr>
              <w:t xml:space="preserve"> (9.2, 9.4, 9.6)</w:t>
            </w:r>
          </w:p>
        </w:tc>
      </w:tr>
      <w:tr w:rsidR="002C2855" w:rsidRPr="00E8450C" w14:paraId="7065F17B" w14:textId="77777777" w:rsidTr="69901DB0">
        <w:tc>
          <w:tcPr>
            <w:tcW w:w="3969" w:type="dxa"/>
            <w:tcBorders>
              <w:right w:val="nil"/>
            </w:tcBorders>
            <w:vAlign w:val="center"/>
            <w:hideMark/>
          </w:tcPr>
          <w:p w14:paraId="35A848C2" w14:textId="77777777" w:rsidR="002C2855" w:rsidRPr="00E8450C" w:rsidRDefault="002C2855" w:rsidP="00624AA4">
            <w:pPr>
              <w:spacing w:after="0" w:line="256" w:lineRule="auto"/>
              <w:jc w:val="left"/>
              <w:rPr>
                <w:rFonts w:asciiTheme="minorHAnsi" w:hAnsiTheme="minorHAnsi"/>
                <w:sz w:val="16"/>
                <w:szCs w:val="16"/>
                <w:shd w:val="clear" w:color="auto" w:fill="FFFFFF"/>
              </w:rPr>
            </w:pPr>
            <w:r w:rsidRPr="69901DB0">
              <w:rPr>
                <w:rFonts w:asciiTheme="minorHAnsi" w:hAnsiTheme="minorHAnsi"/>
                <w:sz w:val="16"/>
                <w:szCs w:val="16"/>
                <w:shd w:val="clear" w:color="auto" w:fill="FFFFFF"/>
              </w:rPr>
              <w:t>Utrzymanie i rozbudowa infrastruktury społecznej i technicznej o znaczeniu wojewódzkim;</w:t>
            </w:r>
          </w:p>
        </w:tc>
        <w:tc>
          <w:tcPr>
            <w:tcW w:w="5103" w:type="dxa"/>
            <w:tcBorders>
              <w:left w:val="nil"/>
            </w:tcBorders>
            <w:vAlign w:val="center"/>
            <w:hideMark/>
          </w:tcPr>
          <w:p w14:paraId="13FC10CC" w14:textId="77777777" w:rsidR="002C2855" w:rsidRPr="00E8450C" w:rsidRDefault="002C2855" w:rsidP="00624AA4">
            <w:pPr>
              <w:spacing w:after="0" w:line="256" w:lineRule="auto"/>
              <w:jc w:val="left"/>
              <w:rPr>
                <w:sz w:val="16"/>
                <w:szCs w:val="16"/>
              </w:rPr>
            </w:pPr>
            <w:r w:rsidRPr="00E8450C">
              <w:rPr>
                <w:sz w:val="16"/>
                <w:szCs w:val="16"/>
              </w:rPr>
              <w:t>1. Poprawa dostępności i spójności komunikacyjnej regionu</w:t>
            </w:r>
            <w:r>
              <w:rPr>
                <w:sz w:val="16"/>
                <w:szCs w:val="16"/>
              </w:rPr>
              <w:t xml:space="preserve"> (1.1-1.6.)</w:t>
            </w:r>
          </w:p>
          <w:p w14:paraId="481D1F2D" w14:textId="77777777" w:rsidR="002C2855" w:rsidRDefault="002C2855" w:rsidP="00624AA4">
            <w:pPr>
              <w:spacing w:after="0" w:line="256" w:lineRule="auto"/>
              <w:jc w:val="left"/>
              <w:rPr>
                <w:sz w:val="16"/>
                <w:szCs w:val="16"/>
              </w:rPr>
            </w:pPr>
            <w:r w:rsidRPr="00E8450C">
              <w:rPr>
                <w:sz w:val="16"/>
                <w:szCs w:val="16"/>
              </w:rPr>
              <w:t>3. Lepsze zarządzanie energią</w:t>
            </w:r>
            <w:r>
              <w:rPr>
                <w:sz w:val="16"/>
                <w:szCs w:val="16"/>
              </w:rPr>
              <w:t xml:space="preserve"> (3.1-3.3)</w:t>
            </w:r>
          </w:p>
          <w:p w14:paraId="2041DC9D" w14:textId="77777777" w:rsidR="002C2855" w:rsidRDefault="002C2855" w:rsidP="00624AA4">
            <w:pPr>
              <w:spacing w:after="0" w:line="256" w:lineRule="auto"/>
              <w:jc w:val="left"/>
              <w:rPr>
                <w:sz w:val="16"/>
                <w:szCs w:val="16"/>
              </w:rPr>
            </w:pPr>
            <w:r w:rsidRPr="00E8450C">
              <w:rPr>
                <w:sz w:val="16"/>
                <w:szCs w:val="16"/>
              </w:rPr>
              <w:t>5. Zwiększenie spójności województwa</w:t>
            </w:r>
            <w:r>
              <w:rPr>
                <w:sz w:val="16"/>
                <w:szCs w:val="16"/>
              </w:rPr>
              <w:t xml:space="preserve"> (5.1-5.6)</w:t>
            </w:r>
          </w:p>
          <w:p w14:paraId="19B92FA8" w14:textId="77777777" w:rsidR="002C2855" w:rsidRPr="00E8450C" w:rsidRDefault="002C2855" w:rsidP="00624AA4">
            <w:pPr>
              <w:spacing w:after="0" w:line="256" w:lineRule="auto"/>
              <w:jc w:val="left"/>
              <w:rPr>
                <w:sz w:val="16"/>
                <w:szCs w:val="16"/>
              </w:rPr>
            </w:pPr>
            <w:r>
              <w:rPr>
                <w:sz w:val="16"/>
                <w:szCs w:val="16"/>
              </w:rPr>
              <w:t xml:space="preserve">9. </w:t>
            </w:r>
            <w:r w:rsidRPr="00E8450C">
              <w:rPr>
                <w:sz w:val="16"/>
                <w:szCs w:val="16"/>
              </w:rPr>
              <w:t>Wzrost bezpieczeństwa i sprawności zarzadzania regionem</w:t>
            </w:r>
            <w:r>
              <w:rPr>
                <w:sz w:val="16"/>
                <w:szCs w:val="16"/>
              </w:rPr>
              <w:t xml:space="preserve"> (9.5)</w:t>
            </w:r>
          </w:p>
        </w:tc>
      </w:tr>
      <w:tr w:rsidR="002C2855" w:rsidRPr="00E8450C" w14:paraId="2184F78A" w14:textId="77777777" w:rsidTr="69901DB0">
        <w:tc>
          <w:tcPr>
            <w:tcW w:w="3969" w:type="dxa"/>
            <w:tcBorders>
              <w:right w:val="nil"/>
            </w:tcBorders>
            <w:vAlign w:val="center"/>
            <w:hideMark/>
          </w:tcPr>
          <w:p w14:paraId="11EDF765" w14:textId="77777777" w:rsidR="002C2855" w:rsidRPr="00E8450C" w:rsidRDefault="002C2855" w:rsidP="00624AA4">
            <w:pPr>
              <w:spacing w:after="0" w:line="256" w:lineRule="auto"/>
              <w:jc w:val="left"/>
              <w:rPr>
                <w:rFonts w:asciiTheme="minorHAnsi" w:hAnsiTheme="minorHAnsi"/>
                <w:sz w:val="16"/>
                <w:szCs w:val="16"/>
                <w:shd w:val="clear" w:color="auto" w:fill="FFFFFF"/>
              </w:rPr>
            </w:pPr>
            <w:r w:rsidRPr="69901DB0">
              <w:rPr>
                <w:rFonts w:asciiTheme="minorHAnsi" w:hAnsiTheme="minorHAnsi"/>
                <w:sz w:val="16"/>
                <w:szCs w:val="16"/>
                <w:shd w:val="clear" w:color="auto" w:fill="FFFFFF"/>
              </w:rPr>
              <w:t>Pozyskiwanie i łączenie środków finansowych: publicznych i prywatnych, w celu realizacji zadań z zakresu użyteczności publicznej;</w:t>
            </w:r>
          </w:p>
        </w:tc>
        <w:tc>
          <w:tcPr>
            <w:tcW w:w="5103" w:type="dxa"/>
            <w:tcBorders>
              <w:left w:val="nil"/>
            </w:tcBorders>
            <w:vAlign w:val="center"/>
            <w:hideMark/>
          </w:tcPr>
          <w:p w14:paraId="71388CF8" w14:textId="77777777" w:rsidR="002C2855" w:rsidRPr="00E8450C" w:rsidRDefault="002C2855" w:rsidP="00624AA4">
            <w:pPr>
              <w:spacing w:after="0" w:line="256" w:lineRule="auto"/>
              <w:jc w:val="left"/>
              <w:rPr>
                <w:sz w:val="16"/>
                <w:szCs w:val="16"/>
              </w:rPr>
            </w:pPr>
            <w:r w:rsidRPr="00E8450C">
              <w:rPr>
                <w:sz w:val="16"/>
                <w:szCs w:val="16"/>
              </w:rPr>
              <w:t>9. Wzrost bezpieczeństwa i sprawności zarzadzania regionem</w:t>
            </w:r>
            <w:r>
              <w:rPr>
                <w:sz w:val="16"/>
                <w:szCs w:val="16"/>
              </w:rPr>
              <w:t xml:space="preserve"> (9.1, 9.3)</w:t>
            </w:r>
          </w:p>
        </w:tc>
      </w:tr>
      <w:tr w:rsidR="002C2855" w:rsidRPr="00E8450C" w14:paraId="7E28D6EB" w14:textId="77777777" w:rsidTr="69901DB0">
        <w:tc>
          <w:tcPr>
            <w:tcW w:w="3969" w:type="dxa"/>
            <w:tcBorders>
              <w:right w:val="nil"/>
            </w:tcBorders>
            <w:vAlign w:val="center"/>
            <w:hideMark/>
          </w:tcPr>
          <w:p w14:paraId="05191CEA" w14:textId="77777777" w:rsidR="002C2855" w:rsidRPr="00E8450C" w:rsidRDefault="002C2855" w:rsidP="00624AA4">
            <w:pPr>
              <w:spacing w:after="0" w:line="256" w:lineRule="auto"/>
              <w:jc w:val="left"/>
              <w:rPr>
                <w:sz w:val="16"/>
                <w:szCs w:val="16"/>
              </w:rPr>
            </w:pPr>
            <w:r w:rsidRPr="69901DB0">
              <w:rPr>
                <w:rFonts w:asciiTheme="minorHAnsi" w:hAnsiTheme="minorHAnsi"/>
                <w:sz w:val="16"/>
                <w:szCs w:val="16"/>
                <w:shd w:val="clear" w:color="auto" w:fill="FFFFFF"/>
              </w:rPr>
              <w:t>Wspieranie i prowadzenie działań na rzecz podnoszenia poziomu wykształcenia obywateli;</w:t>
            </w:r>
          </w:p>
        </w:tc>
        <w:tc>
          <w:tcPr>
            <w:tcW w:w="5103" w:type="dxa"/>
            <w:tcBorders>
              <w:left w:val="nil"/>
            </w:tcBorders>
            <w:vAlign w:val="center"/>
            <w:hideMark/>
          </w:tcPr>
          <w:p w14:paraId="2F76DDD4" w14:textId="77777777" w:rsidR="002C2855" w:rsidRPr="00E8450C" w:rsidRDefault="002C2855" w:rsidP="00624AA4">
            <w:pPr>
              <w:spacing w:after="0" w:line="256" w:lineRule="auto"/>
              <w:jc w:val="left"/>
              <w:rPr>
                <w:sz w:val="16"/>
                <w:szCs w:val="16"/>
              </w:rPr>
            </w:pPr>
            <w:r w:rsidRPr="00E8450C">
              <w:rPr>
                <w:sz w:val="16"/>
                <w:szCs w:val="16"/>
              </w:rPr>
              <w:t>7. Wzrost kompetencji mieszkańców i zatrudnienia</w:t>
            </w:r>
            <w:r>
              <w:rPr>
                <w:sz w:val="16"/>
                <w:szCs w:val="16"/>
              </w:rPr>
              <w:t xml:space="preserve"> (7.1-7.6)</w:t>
            </w:r>
          </w:p>
        </w:tc>
      </w:tr>
      <w:tr w:rsidR="002C2855" w:rsidRPr="00E8450C" w14:paraId="363F0D21" w14:textId="77777777" w:rsidTr="69901DB0">
        <w:tc>
          <w:tcPr>
            <w:tcW w:w="3969" w:type="dxa"/>
            <w:tcBorders>
              <w:right w:val="nil"/>
            </w:tcBorders>
            <w:vAlign w:val="center"/>
            <w:hideMark/>
          </w:tcPr>
          <w:p w14:paraId="7FC9EB74" w14:textId="77777777" w:rsidR="002C2855" w:rsidRPr="00E8450C" w:rsidRDefault="002C2855" w:rsidP="00624AA4">
            <w:pPr>
              <w:spacing w:after="0" w:line="256" w:lineRule="auto"/>
              <w:jc w:val="left"/>
              <w:rPr>
                <w:sz w:val="16"/>
                <w:szCs w:val="16"/>
              </w:rPr>
            </w:pPr>
            <w:r w:rsidRPr="69901DB0">
              <w:rPr>
                <w:rFonts w:asciiTheme="minorHAnsi" w:hAnsiTheme="minorHAnsi"/>
                <w:sz w:val="16"/>
                <w:szCs w:val="16"/>
                <w:shd w:val="clear" w:color="auto" w:fill="FFFFFF"/>
              </w:rPr>
              <w:t>Racjonalne korzystanie z zasobów przyrody oraz kształtowanie środowiska naturalnego, zgodnie z zasadą zrównoważonego rozwoju;</w:t>
            </w:r>
          </w:p>
        </w:tc>
        <w:tc>
          <w:tcPr>
            <w:tcW w:w="5103" w:type="dxa"/>
            <w:tcBorders>
              <w:left w:val="nil"/>
            </w:tcBorders>
            <w:vAlign w:val="center"/>
            <w:hideMark/>
          </w:tcPr>
          <w:p w14:paraId="005ACB8A" w14:textId="77777777" w:rsidR="002C2855" w:rsidRPr="00E8450C" w:rsidRDefault="002C2855" w:rsidP="00624AA4">
            <w:pPr>
              <w:spacing w:after="0" w:line="256" w:lineRule="auto"/>
              <w:jc w:val="left"/>
              <w:rPr>
                <w:sz w:val="16"/>
                <w:szCs w:val="16"/>
              </w:rPr>
            </w:pPr>
            <w:r w:rsidRPr="00E8450C">
              <w:rPr>
                <w:sz w:val="16"/>
                <w:szCs w:val="16"/>
              </w:rPr>
              <w:t>2. Poprawa stanu środowiska i racjonalne gospodarowanie jego zasobami</w:t>
            </w:r>
            <w:r>
              <w:rPr>
                <w:sz w:val="16"/>
                <w:szCs w:val="16"/>
              </w:rPr>
              <w:t xml:space="preserve"> (2.1-2.12)</w:t>
            </w:r>
          </w:p>
        </w:tc>
      </w:tr>
      <w:tr w:rsidR="002C2855" w:rsidRPr="00E8450C" w14:paraId="101D311A" w14:textId="77777777" w:rsidTr="69901DB0">
        <w:tc>
          <w:tcPr>
            <w:tcW w:w="3969" w:type="dxa"/>
            <w:tcBorders>
              <w:right w:val="nil"/>
            </w:tcBorders>
            <w:vAlign w:val="center"/>
            <w:hideMark/>
          </w:tcPr>
          <w:p w14:paraId="2BE773F9" w14:textId="77777777" w:rsidR="002C2855" w:rsidRPr="00E8450C" w:rsidRDefault="002C2855" w:rsidP="00624AA4">
            <w:pPr>
              <w:spacing w:after="0" w:line="256" w:lineRule="auto"/>
              <w:jc w:val="left"/>
              <w:rPr>
                <w:sz w:val="16"/>
                <w:szCs w:val="16"/>
              </w:rPr>
            </w:pPr>
            <w:r w:rsidRPr="69901DB0">
              <w:rPr>
                <w:rFonts w:asciiTheme="minorHAnsi" w:hAnsiTheme="minorHAnsi"/>
                <w:sz w:val="16"/>
                <w:szCs w:val="16"/>
                <w:shd w:val="clear" w:color="auto" w:fill="FFFFFF"/>
              </w:rPr>
              <w:t>Wspieranie rozwoju nauki i współpracy między sferą nauki i gospodarki, popieranie postępu technologicznego oraz innowacji;</w:t>
            </w:r>
          </w:p>
        </w:tc>
        <w:tc>
          <w:tcPr>
            <w:tcW w:w="5103" w:type="dxa"/>
            <w:tcBorders>
              <w:left w:val="nil"/>
            </w:tcBorders>
            <w:vAlign w:val="center"/>
            <w:hideMark/>
          </w:tcPr>
          <w:p w14:paraId="6958D62B" w14:textId="77777777" w:rsidR="002C2855" w:rsidRPr="00E8450C" w:rsidRDefault="002C2855" w:rsidP="00624AA4">
            <w:pPr>
              <w:spacing w:after="0" w:line="256" w:lineRule="auto"/>
              <w:jc w:val="left"/>
              <w:rPr>
                <w:sz w:val="16"/>
                <w:szCs w:val="16"/>
              </w:rPr>
            </w:pPr>
            <w:r w:rsidRPr="00E8450C">
              <w:rPr>
                <w:sz w:val="16"/>
                <w:szCs w:val="16"/>
              </w:rPr>
              <w:t>6. Wzmocnienie potencjału gospodarczego regionu</w:t>
            </w:r>
            <w:r>
              <w:rPr>
                <w:sz w:val="16"/>
                <w:szCs w:val="16"/>
              </w:rPr>
              <w:t xml:space="preserve"> (6.1-6.13)</w:t>
            </w:r>
          </w:p>
        </w:tc>
      </w:tr>
      <w:tr w:rsidR="002C2855" w:rsidRPr="00E8450C" w14:paraId="22F48C3C" w14:textId="77777777" w:rsidTr="69901DB0">
        <w:tc>
          <w:tcPr>
            <w:tcW w:w="3969" w:type="dxa"/>
            <w:tcBorders>
              <w:right w:val="nil"/>
            </w:tcBorders>
            <w:vAlign w:val="center"/>
            <w:hideMark/>
          </w:tcPr>
          <w:p w14:paraId="4AF16120" w14:textId="77777777" w:rsidR="002C2855" w:rsidRPr="00E8450C" w:rsidRDefault="002C2855" w:rsidP="00624AA4">
            <w:pPr>
              <w:spacing w:after="0" w:line="256" w:lineRule="auto"/>
              <w:jc w:val="left"/>
              <w:rPr>
                <w:sz w:val="16"/>
                <w:szCs w:val="16"/>
              </w:rPr>
            </w:pPr>
            <w:r w:rsidRPr="69901DB0">
              <w:rPr>
                <w:rFonts w:asciiTheme="minorHAnsi" w:hAnsiTheme="minorHAnsi"/>
                <w:sz w:val="16"/>
                <w:szCs w:val="16"/>
                <w:shd w:val="clear" w:color="auto" w:fill="FFFFFF"/>
              </w:rPr>
              <w:t>Wspieranie rozwoju kultury oraz sprawowanie opieki nad dziedzictwem kulturowym jego racjonalne wykorzystywanie;</w:t>
            </w:r>
          </w:p>
        </w:tc>
        <w:tc>
          <w:tcPr>
            <w:tcW w:w="5103" w:type="dxa"/>
            <w:tcBorders>
              <w:left w:val="nil"/>
            </w:tcBorders>
            <w:vAlign w:val="center"/>
            <w:hideMark/>
          </w:tcPr>
          <w:p w14:paraId="2927E8AF" w14:textId="77777777" w:rsidR="002C2855" w:rsidRDefault="002C2855" w:rsidP="00624AA4">
            <w:pPr>
              <w:spacing w:after="0" w:line="256" w:lineRule="auto"/>
              <w:jc w:val="left"/>
              <w:rPr>
                <w:sz w:val="16"/>
                <w:szCs w:val="16"/>
              </w:rPr>
            </w:pPr>
            <w:r w:rsidRPr="00E8450C">
              <w:rPr>
                <w:sz w:val="16"/>
                <w:szCs w:val="16"/>
              </w:rPr>
              <w:t>8. Zwiększanie zasobów oraz wyrównywanie potencjałów społecznych województwa (8.10)</w:t>
            </w:r>
          </w:p>
          <w:p w14:paraId="7B16562A" w14:textId="77777777" w:rsidR="002C2855" w:rsidRPr="00E8450C" w:rsidRDefault="002C2855" w:rsidP="00624AA4">
            <w:pPr>
              <w:spacing w:after="0" w:line="256" w:lineRule="auto"/>
              <w:jc w:val="left"/>
              <w:rPr>
                <w:sz w:val="16"/>
                <w:szCs w:val="16"/>
              </w:rPr>
            </w:pPr>
            <w:r w:rsidRPr="00E8450C">
              <w:rPr>
                <w:sz w:val="16"/>
                <w:szCs w:val="16"/>
              </w:rPr>
              <w:t>5. Zwiększenie spójności województwa</w:t>
            </w:r>
            <w:r>
              <w:rPr>
                <w:sz w:val="16"/>
                <w:szCs w:val="16"/>
              </w:rPr>
              <w:t xml:space="preserve"> (5.6)</w:t>
            </w:r>
          </w:p>
        </w:tc>
      </w:tr>
      <w:tr w:rsidR="002C2855" w:rsidRPr="00E8450C" w14:paraId="5EA1B268" w14:textId="77777777" w:rsidTr="69901DB0">
        <w:tc>
          <w:tcPr>
            <w:tcW w:w="3969" w:type="dxa"/>
            <w:tcBorders>
              <w:right w:val="nil"/>
            </w:tcBorders>
            <w:vAlign w:val="center"/>
            <w:hideMark/>
          </w:tcPr>
          <w:p w14:paraId="1AB4A0C2" w14:textId="77777777" w:rsidR="002C2855" w:rsidRPr="00E8450C" w:rsidRDefault="002C2855" w:rsidP="00624AA4">
            <w:pPr>
              <w:spacing w:after="0" w:line="256" w:lineRule="auto"/>
              <w:jc w:val="left"/>
              <w:rPr>
                <w:sz w:val="16"/>
                <w:szCs w:val="16"/>
              </w:rPr>
            </w:pPr>
            <w:r w:rsidRPr="69901DB0">
              <w:rPr>
                <w:rFonts w:asciiTheme="minorHAnsi" w:hAnsiTheme="minorHAnsi"/>
                <w:sz w:val="16"/>
                <w:szCs w:val="16"/>
                <w:shd w:val="clear" w:color="auto" w:fill="FFFFFF"/>
              </w:rPr>
              <w:t>Promocja walorów i możliwości rozwojowych województwa;</w:t>
            </w:r>
          </w:p>
        </w:tc>
        <w:tc>
          <w:tcPr>
            <w:tcW w:w="5103" w:type="dxa"/>
            <w:tcBorders>
              <w:left w:val="nil"/>
            </w:tcBorders>
            <w:vAlign w:val="center"/>
            <w:hideMark/>
          </w:tcPr>
          <w:p w14:paraId="1E87E67B" w14:textId="77777777" w:rsidR="002C2855" w:rsidRPr="00E8450C" w:rsidRDefault="002C2855" w:rsidP="00624AA4">
            <w:pPr>
              <w:spacing w:after="0" w:line="256" w:lineRule="auto"/>
              <w:jc w:val="left"/>
              <w:rPr>
                <w:sz w:val="16"/>
                <w:szCs w:val="16"/>
              </w:rPr>
            </w:pPr>
            <w:r w:rsidRPr="00E8450C">
              <w:rPr>
                <w:sz w:val="16"/>
                <w:szCs w:val="16"/>
              </w:rPr>
              <w:t>9.Wzrost bezpieczeństwa i sprawności zarzadzania regionem (9.2, 9.6)</w:t>
            </w:r>
          </w:p>
        </w:tc>
      </w:tr>
      <w:tr w:rsidR="002C2855" w:rsidRPr="00E8450C" w14:paraId="28B1BC1D" w14:textId="77777777" w:rsidTr="69901DB0">
        <w:tc>
          <w:tcPr>
            <w:tcW w:w="3969" w:type="dxa"/>
            <w:tcBorders>
              <w:right w:val="nil"/>
            </w:tcBorders>
            <w:vAlign w:val="center"/>
            <w:hideMark/>
          </w:tcPr>
          <w:p w14:paraId="7C4622AF" w14:textId="77777777" w:rsidR="002C2855" w:rsidRPr="00E8450C" w:rsidRDefault="002C2855" w:rsidP="00624AA4">
            <w:pPr>
              <w:spacing w:after="0" w:line="256" w:lineRule="auto"/>
              <w:jc w:val="left"/>
              <w:rPr>
                <w:sz w:val="16"/>
                <w:szCs w:val="16"/>
              </w:rPr>
            </w:pPr>
            <w:r w:rsidRPr="69901DB0">
              <w:rPr>
                <w:rFonts w:asciiTheme="minorHAnsi" w:hAnsiTheme="minorHAnsi"/>
                <w:sz w:val="16"/>
                <w:szCs w:val="16"/>
                <w:shd w:val="clear" w:color="auto" w:fill="FFFFFF"/>
              </w:rPr>
              <w:t>Wspieranie i prowadzenie działań na rzecz integracji społecznej i przeciwdziałania wykluczeniu społecznemu.</w:t>
            </w:r>
          </w:p>
        </w:tc>
        <w:tc>
          <w:tcPr>
            <w:tcW w:w="5103" w:type="dxa"/>
            <w:tcBorders>
              <w:left w:val="nil"/>
            </w:tcBorders>
            <w:vAlign w:val="center"/>
            <w:hideMark/>
          </w:tcPr>
          <w:p w14:paraId="29AD8AC9" w14:textId="77777777" w:rsidR="002C2855" w:rsidRDefault="002C2855" w:rsidP="00624AA4">
            <w:pPr>
              <w:spacing w:after="0" w:line="256" w:lineRule="auto"/>
              <w:jc w:val="left"/>
              <w:rPr>
                <w:sz w:val="16"/>
                <w:szCs w:val="16"/>
              </w:rPr>
            </w:pPr>
            <w:r w:rsidRPr="00E8450C">
              <w:rPr>
                <w:sz w:val="16"/>
                <w:szCs w:val="16"/>
              </w:rPr>
              <w:t xml:space="preserve">8. Zwiększanie zasobów oraz wyrównywanie potencjałów społecznych województwa </w:t>
            </w:r>
            <w:r>
              <w:rPr>
                <w:sz w:val="16"/>
                <w:szCs w:val="16"/>
              </w:rPr>
              <w:t>(8.1-8.11)</w:t>
            </w:r>
          </w:p>
          <w:p w14:paraId="01B21A90" w14:textId="77777777" w:rsidR="002C2855" w:rsidRPr="00E8450C" w:rsidRDefault="002C2855" w:rsidP="00624AA4">
            <w:pPr>
              <w:spacing w:after="0" w:line="256" w:lineRule="auto"/>
              <w:jc w:val="left"/>
              <w:rPr>
                <w:sz w:val="16"/>
                <w:szCs w:val="16"/>
              </w:rPr>
            </w:pPr>
            <w:r w:rsidRPr="00E8450C">
              <w:rPr>
                <w:sz w:val="16"/>
                <w:szCs w:val="16"/>
              </w:rPr>
              <w:t>5. Zwiększenie spójności województwa</w:t>
            </w:r>
            <w:r>
              <w:rPr>
                <w:sz w:val="16"/>
                <w:szCs w:val="16"/>
              </w:rPr>
              <w:t xml:space="preserve"> (5.3, 5.5)</w:t>
            </w:r>
          </w:p>
        </w:tc>
      </w:tr>
    </w:tbl>
    <w:p w14:paraId="458A680C" w14:textId="77777777" w:rsidR="002C2855" w:rsidRPr="00AD2F0F" w:rsidRDefault="002C2855" w:rsidP="002C2855">
      <w:pPr>
        <w:rPr>
          <w:sz w:val="14"/>
          <w:lang w:eastAsia="pl-PL"/>
        </w:rPr>
      </w:pPr>
      <w:r w:rsidRPr="00AD2F0F">
        <w:rPr>
          <w:sz w:val="14"/>
          <w:lang w:eastAsia="pl-PL"/>
        </w:rPr>
        <w:t>Źródło:</w:t>
      </w:r>
      <w:r>
        <w:rPr>
          <w:sz w:val="14"/>
          <w:lang w:eastAsia="pl-PL"/>
        </w:rPr>
        <w:t xml:space="preserve"> Opracowanie własne na podstawie Ustawy o Samorządzie Województwa i Strategii rozwoju Województwa Wielkopolskiego 2020</w:t>
      </w:r>
    </w:p>
    <w:p w14:paraId="69C67816" w14:textId="64BE47F8" w:rsidR="005F137B" w:rsidRDefault="002C2855" w:rsidP="002C2855">
      <w:pPr>
        <w:spacing w:after="160" w:line="259" w:lineRule="auto"/>
        <w:rPr>
          <w:szCs w:val="22"/>
          <w:lang w:eastAsia="pl-PL"/>
        </w:rPr>
      </w:pPr>
      <w:r>
        <w:rPr>
          <w:szCs w:val="22"/>
          <w:lang w:eastAsia="pl-PL"/>
        </w:rPr>
        <w:t>W wyznaczonych celach operacyjnych nie zidentyfikowano takiego, który nie ma charakteru prorozwojowego. Jednomyślnie potwierdzono to także podczas wywiadów pogłębionych (przez większość dyrektorów departamentów). Zdaniem przedstawicieli dwóch departamentów d</w:t>
      </w:r>
      <w:r w:rsidRPr="00ED53D2">
        <w:rPr>
          <w:szCs w:val="22"/>
          <w:lang w:eastAsia="pl-PL"/>
        </w:rPr>
        <w:t>ziałania</w:t>
      </w:r>
      <w:r>
        <w:rPr>
          <w:szCs w:val="22"/>
          <w:lang w:eastAsia="pl-PL"/>
        </w:rPr>
        <w:t xml:space="preserve"> </w:t>
      </w:r>
      <w:r w:rsidRPr="00ED53D2">
        <w:rPr>
          <w:szCs w:val="22"/>
          <w:lang w:eastAsia="pl-PL"/>
        </w:rPr>
        <w:t>podejmowane przez samorząd</w:t>
      </w:r>
      <w:r>
        <w:rPr>
          <w:szCs w:val="22"/>
          <w:lang w:eastAsia="pl-PL"/>
        </w:rPr>
        <w:t xml:space="preserve"> regionalny,</w:t>
      </w:r>
      <w:r w:rsidRPr="00ED53D2">
        <w:rPr>
          <w:szCs w:val="22"/>
          <w:lang w:eastAsia="pl-PL"/>
        </w:rPr>
        <w:t xml:space="preserve"> nawet jeśli </w:t>
      </w:r>
      <w:r>
        <w:rPr>
          <w:szCs w:val="22"/>
          <w:lang w:eastAsia="pl-PL"/>
        </w:rPr>
        <w:t xml:space="preserve">często </w:t>
      </w:r>
      <w:r w:rsidRPr="00ED53D2">
        <w:rPr>
          <w:szCs w:val="22"/>
          <w:lang w:eastAsia="pl-PL"/>
        </w:rPr>
        <w:t>określane są mianem zadań bieżącyc</w:t>
      </w:r>
      <w:r>
        <w:rPr>
          <w:szCs w:val="22"/>
          <w:lang w:eastAsia="pl-PL"/>
        </w:rPr>
        <w:t>h, mają ten element prorozwojowy – szczególnie względem samorządów niższego szczebla.</w:t>
      </w:r>
    </w:p>
    <w:p w14:paraId="72DBEEB3" w14:textId="77777777" w:rsidR="005F137B" w:rsidRDefault="005F137B">
      <w:pPr>
        <w:spacing w:after="0" w:line="240" w:lineRule="auto"/>
        <w:jc w:val="left"/>
        <w:rPr>
          <w:szCs w:val="22"/>
          <w:lang w:eastAsia="pl-PL"/>
        </w:rPr>
      </w:pPr>
      <w:r>
        <w:rPr>
          <w:szCs w:val="22"/>
          <w:lang w:eastAsia="pl-PL"/>
        </w:rPr>
        <w:br w:type="page"/>
      </w:r>
    </w:p>
    <w:p w14:paraId="7DF9DB20" w14:textId="77777777" w:rsidR="002C2855" w:rsidRDefault="002C2855" w:rsidP="00624AA4">
      <w:pPr>
        <w:pStyle w:val="Nagwek2"/>
      </w:pPr>
      <w:bookmarkStart w:id="187" w:name="_Toc536653113"/>
      <w:bookmarkStart w:id="188" w:name="_Toc1904785"/>
      <w:bookmarkStart w:id="189" w:name="_Toc5699479"/>
      <w:r>
        <w:lastRenderedPageBreak/>
        <w:t>Czy rząd pomoże?</w:t>
      </w:r>
      <w:bookmarkEnd w:id="187"/>
      <w:bookmarkEnd w:id="188"/>
      <w:bookmarkEnd w:id="189"/>
    </w:p>
    <w:p w14:paraId="7558537B" w14:textId="77777777" w:rsidR="002C2855" w:rsidRPr="00BF08D5" w:rsidRDefault="002C2855" w:rsidP="00BF08D5">
      <w:pPr>
        <w:ind w:left="4536"/>
        <w:jc w:val="left"/>
        <w:rPr>
          <w:b/>
          <w:i/>
          <w:color w:val="001E50"/>
        </w:rPr>
      </w:pPr>
      <w:r w:rsidRPr="00BF08D5">
        <w:rPr>
          <w:b/>
          <w:i/>
          <w:color w:val="001E50"/>
        </w:rPr>
        <w:t>Widoczna jest potrzeba rozszerzenia funkcji decyzyjnych samorządów…</w:t>
      </w:r>
    </w:p>
    <w:p w14:paraId="5887956F" w14:textId="2DC1D2A6" w:rsidR="002C2855" w:rsidRPr="005D5371" w:rsidRDefault="002C2855" w:rsidP="002C2855">
      <w:pPr>
        <w:spacing w:after="160" w:line="256" w:lineRule="auto"/>
      </w:pPr>
      <w:r>
        <w:t xml:space="preserve">Rozwój regionalny sprzężony jest z realizacją strategii rozwoju na poziomie centralnym. Samorząd ma więc za zadanie nie tylko kreowanie samodzielnej polityki na poziomie regionu, ale również realizację założeń krajowej polityki rozwoju </w:t>
      </w:r>
      <w:r w:rsidRPr="0018442D">
        <w:rPr>
          <w:szCs w:val="22"/>
        </w:rPr>
        <w:t>(</w:t>
      </w:r>
      <w:r w:rsidRPr="0018442D">
        <w:rPr>
          <w:rFonts w:cs="Times New Roman"/>
          <w:szCs w:val="22"/>
          <w:lang w:eastAsia="pl-PL"/>
        </w:rPr>
        <w:t>Chrisidu-Budnik, Korczak 2013).</w:t>
      </w:r>
      <w:r>
        <w:t xml:space="preserve"> </w:t>
      </w:r>
      <w:r>
        <w:rPr>
          <w:lang w:eastAsia="pl-PL"/>
        </w:rPr>
        <w:t xml:space="preserve">W polityce regionalnej wyróżnić można dwa rodzaje – politykę inter i intraregionalną. Polityka interregionalna to polityka administracji rządowej (oraz jej jednostek terenowych) ukierunkowana na rozwój regionu. Polityka intraregionalna to polityka </w:t>
      </w:r>
      <w:r w:rsidR="007707D1">
        <w:rPr>
          <w:lang w:eastAsia="pl-PL"/>
        </w:rPr>
        <w:t>samorządu</w:t>
      </w:r>
      <w:r>
        <w:rPr>
          <w:lang w:eastAsia="pl-PL"/>
        </w:rPr>
        <w:t xml:space="preserve"> województwa. Polityka interregionalna w dużej mierze oparta jest na systemie finasowania</w:t>
      </w:r>
      <w:r w:rsidR="0061542A">
        <w:rPr>
          <w:lang w:eastAsia="pl-PL"/>
        </w:rPr>
        <w:t xml:space="preserve"> (</w:t>
      </w:r>
      <w:r w:rsidR="00443F8E">
        <w:rPr>
          <w:lang w:eastAsia="pl-PL"/>
        </w:rPr>
        <w:t>wsparcia z budżetu Państwa i środków UE) – a</w:t>
      </w:r>
      <w:r>
        <w:rPr>
          <w:lang w:eastAsia="pl-PL"/>
        </w:rPr>
        <w:t xml:space="preserve">dministracja centralna decyduje o formie i wartości wsparcia finansowego dla poszczególnych regionów. W pewien sposób uzależnia to funkcje decyzyjne samorządów od decyzji administracji centralnej. Istotne w tym kontekście jest podkreślenie, że możliwe szeroka decentralizacja funkcji decyzyjnych i finansowych pozwoli na właściwy rozwój regionu, bowiem władze samorządowe lepiej znają specyfikę i potrzeby swoich regionów i skupiają się na najważniejszych kwestiach. Jednocześnie odciąża to administrację centralną. </w:t>
      </w:r>
      <w:r>
        <w:t>Uniezależnienie władz regionalnych wydaje się jednak ciągle niedostateczne (Dahlke 2017).</w:t>
      </w:r>
    </w:p>
    <w:p w14:paraId="647CB7FC" w14:textId="77777777" w:rsidR="002C2855" w:rsidRDefault="002C2855" w:rsidP="002C2855">
      <w:r>
        <w:t>Zgodnie z obecnie obowiązującą Strategią SOR rolą administracji rządowej powinno być jedynie nakreślanie ogólnych celów i podstawowego instrumentarium. Samorządy powinny natomiast określić sposób ich realizacji uwzględniając przy tym specyfikę własnych obszarów. Samorządy powinny przy tym także inicjować i promować sieci partnerstw i współpracy oraz wspierać przedsięwzięcia realizowane przez inne podmioty. Przyczyni się to w największym stopniu do realizacji polityki rozwoju, również w tym zakresie, który obejmuje zadania poza kompetencjami samorządu (</w:t>
      </w:r>
      <w:r w:rsidRPr="00573E18">
        <w:rPr>
          <w:i/>
        </w:rPr>
        <w:t>Strategia…,</w:t>
      </w:r>
      <w:r>
        <w:t xml:space="preserve">2017). </w:t>
      </w:r>
    </w:p>
    <w:p w14:paraId="1FAB37A2" w14:textId="77777777" w:rsidR="002C2855" w:rsidRPr="00BF08D5" w:rsidRDefault="002C2855" w:rsidP="00BF08D5">
      <w:pPr>
        <w:ind w:left="4536"/>
        <w:jc w:val="left"/>
        <w:rPr>
          <w:b/>
          <w:i/>
          <w:color w:val="001E50"/>
        </w:rPr>
      </w:pPr>
      <w:r w:rsidRPr="00BF08D5">
        <w:rPr>
          <w:b/>
          <w:i/>
          <w:color w:val="001E50"/>
        </w:rPr>
        <w:t xml:space="preserve">Jednocześnie w KSRR zwiększa się rolę administracji rządowej… </w:t>
      </w:r>
    </w:p>
    <w:p w14:paraId="068209B6" w14:textId="77777777" w:rsidR="002C2855" w:rsidRDefault="002C2855" w:rsidP="002C2855">
      <w:pPr>
        <w:rPr>
          <w:lang w:eastAsia="pl-PL"/>
        </w:rPr>
      </w:pPr>
      <w:r>
        <w:rPr>
          <w:lang w:eastAsia="pl-PL"/>
        </w:rPr>
        <w:t>Jednym z głównych założeń aktualizacji SRWW 2020 (w 2012 r.) była potrzeba określenia przestrzeni, w jakiej realizowane będą cele. Wynikało to z przyjętego nowego paradygmatu polityki rozwojowej, określonego na poziomie administracji centralnej w KPZK 2030 oraz KSRR 2010-2020 (</w:t>
      </w:r>
      <w:r w:rsidRPr="00573E18">
        <w:rPr>
          <w:i/>
          <w:lang w:eastAsia="pl-PL"/>
        </w:rPr>
        <w:t>Zasady i kryteria…</w:t>
      </w:r>
      <w:r>
        <w:rPr>
          <w:lang w:eastAsia="pl-PL"/>
        </w:rPr>
        <w:t>, 2015). Te dwa dokumenty bardzo silnie determinują działania podejmowane przez samorządy regionalne.</w:t>
      </w:r>
    </w:p>
    <w:p w14:paraId="45BB4603" w14:textId="77777777" w:rsidR="002C2855" w:rsidRDefault="002C2855" w:rsidP="002C2855">
      <w:pPr>
        <w:rPr>
          <w:lang w:eastAsia="pl-PL"/>
        </w:rPr>
      </w:pPr>
      <w:r w:rsidRPr="018C161B">
        <w:rPr>
          <w:rFonts w:eastAsia="Calibri"/>
        </w:rPr>
        <w:t>Realizacja polityki rozwoju w zakresie planowania przestrzennego podlega</w:t>
      </w:r>
      <w:r>
        <w:rPr>
          <w:rFonts w:eastAsia="Calibri"/>
        </w:rPr>
        <w:t>ła</w:t>
      </w:r>
      <w:r w:rsidRPr="018C161B">
        <w:rPr>
          <w:rFonts w:eastAsia="Calibri"/>
        </w:rPr>
        <w:t xml:space="preserve"> konstytucji oraz krajowym i międzynarodowym aktom prawnym. Powinna być jednocześnie zgodna z przyjętym w KPZK</w:t>
      </w:r>
      <w:r>
        <w:rPr>
          <w:rFonts w:eastAsia="Calibri"/>
        </w:rPr>
        <w:t xml:space="preserve"> 2030</w:t>
      </w:r>
      <w:r w:rsidRPr="018C161B">
        <w:rPr>
          <w:rFonts w:eastAsia="Calibri"/>
        </w:rPr>
        <w:t xml:space="preserve"> paradygmatem rozwoju</w:t>
      </w:r>
      <w:r>
        <w:rPr>
          <w:rFonts w:eastAsia="Calibri"/>
        </w:rPr>
        <w:t xml:space="preserve"> (</w:t>
      </w:r>
      <w:r w:rsidRPr="00465E17">
        <w:rPr>
          <w:rFonts w:eastAsia="Calibri"/>
          <w:i/>
        </w:rPr>
        <w:t>Koncepcja …</w:t>
      </w:r>
      <w:r>
        <w:rPr>
          <w:rFonts w:eastAsia="Calibri"/>
        </w:rPr>
        <w:t>, 2012)</w:t>
      </w:r>
      <w:r w:rsidRPr="018C161B">
        <w:rPr>
          <w:rFonts w:eastAsia="Calibri"/>
        </w:rPr>
        <w:t>.</w:t>
      </w:r>
      <w:r w:rsidRPr="018C161B">
        <w:rPr>
          <w:rStyle w:val="Odwoanieprzypisudolnego"/>
          <w:rFonts w:eastAsia="Calibri"/>
        </w:rPr>
        <w:t xml:space="preserve"> </w:t>
      </w:r>
      <w:r>
        <w:rPr>
          <w:rFonts w:eastAsia="Calibri"/>
        </w:rPr>
        <w:t>W związku z uwzględnieniem wymiaru przestrzennego także w planowaniu społeczno-gospodarczym, zapisy strategii regionalnych muszą być zgodne z przyjętą krajową Koncepcją.</w:t>
      </w:r>
    </w:p>
    <w:p w14:paraId="3C79B216" w14:textId="77777777" w:rsidR="002C2855" w:rsidRDefault="002C2855" w:rsidP="002C2855">
      <w:pPr>
        <w:rPr>
          <w:lang w:eastAsia="pl-PL"/>
        </w:rPr>
      </w:pPr>
      <w:r>
        <w:t>W projekcie nowej KSRR 2030 rolę samorządu województwa określono jako kluczową. Samorząd jest odpowiedzialny za zarządzanie i programowanie rozwoju regionu, podejmowanie w tym kierunku prorozwojowych działań koordynacyjnych oraz inicjowanie i utrzymywanie sieci współpracy aktorów regionalnych (</w:t>
      </w:r>
      <w:r w:rsidRPr="00465E17">
        <w:rPr>
          <w:i/>
        </w:rPr>
        <w:t>Krajowa Strategia</w:t>
      </w:r>
      <w:r>
        <w:t xml:space="preserve">…, 2018). </w:t>
      </w:r>
      <w:r w:rsidRPr="018C161B">
        <w:rPr>
          <w:rFonts w:asciiTheme="minorHAnsi" w:hAnsiTheme="minorHAnsi"/>
        </w:rPr>
        <w:t xml:space="preserve">W ramach każdego celu szczegółowego KSRR wskazano dziedziny współpracy </w:t>
      </w:r>
      <w:r>
        <w:rPr>
          <w:rFonts w:asciiTheme="minorHAnsi" w:hAnsiTheme="minorHAnsi"/>
        </w:rPr>
        <w:t xml:space="preserve">i </w:t>
      </w:r>
      <w:r w:rsidRPr="018C161B">
        <w:rPr>
          <w:rFonts w:asciiTheme="minorHAnsi" w:hAnsiTheme="minorHAnsi"/>
        </w:rPr>
        <w:t>współdziałania administracji rządowej</w:t>
      </w:r>
      <w:r>
        <w:rPr>
          <w:rFonts w:asciiTheme="minorHAnsi" w:hAnsiTheme="minorHAnsi"/>
        </w:rPr>
        <w:t>,</w:t>
      </w:r>
      <w:r w:rsidRPr="018C161B">
        <w:rPr>
          <w:rFonts w:asciiTheme="minorHAnsi" w:hAnsiTheme="minorHAnsi"/>
        </w:rPr>
        <w:t xml:space="preserve"> </w:t>
      </w:r>
      <w:r>
        <w:rPr>
          <w:rFonts w:asciiTheme="minorHAnsi" w:hAnsiTheme="minorHAnsi"/>
        </w:rPr>
        <w:t>samorządu regionalnego i samorządów lokalnych</w:t>
      </w:r>
      <w:r w:rsidRPr="018C161B">
        <w:rPr>
          <w:rFonts w:asciiTheme="minorHAnsi" w:hAnsiTheme="minorHAnsi"/>
        </w:rPr>
        <w:t>.</w:t>
      </w:r>
      <w:r w:rsidRPr="0047571B">
        <w:rPr>
          <w:rStyle w:val="Odwoanieprzypisudolnego"/>
        </w:rPr>
        <w:t xml:space="preserve"> </w:t>
      </w:r>
    </w:p>
    <w:p w14:paraId="23B1DD65" w14:textId="77777777" w:rsidR="002C2855" w:rsidRPr="00760FDD" w:rsidRDefault="002C2855" w:rsidP="006B4E7E">
      <w:pPr>
        <w:shd w:val="clear" w:color="auto" w:fill="FFE599"/>
      </w:pPr>
      <w:r>
        <w:t xml:space="preserve">SRWW 2020 musi więc być zgodna z założeniami powyższych dokumentów, które wyznaczają kierunki rozwoju (SOR, KSRR, KPZK). Rolą administracji rządowej zgodnie z zapisami SOR powinno być jedynie </w:t>
      </w:r>
      <w:r>
        <w:lastRenderedPageBreak/>
        <w:t xml:space="preserve">nakreślenie ogólnych celów i przygotowanie instrumentów rozwoju. Jednocześnie patrząc na zapisy KSRR 2030 warto zwrócić uwagę jak wielokrotnie podkreślane jest zwiększenie udziału administracji rządowej w polityce regionalnej, w kolejnej perspektywie. </w:t>
      </w:r>
    </w:p>
    <w:p w14:paraId="798738A4" w14:textId="77777777" w:rsidR="002C2855" w:rsidRPr="00BF08D5" w:rsidRDefault="002C2855" w:rsidP="00BF08D5">
      <w:pPr>
        <w:ind w:left="4536"/>
        <w:jc w:val="left"/>
        <w:rPr>
          <w:b/>
          <w:i/>
          <w:color w:val="001E50"/>
        </w:rPr>
      </w:pPr>
      <w:r w:rsidRPr="00BF08D5">
        <w:rPr>
          <w:b/>
          <w:i/>
          <w:color w:val="001E50"/>
        </w:rPr>
        <w:t>Powinniśmy jednak dążyć do jak najszerszej decentralizacji…</w:t>
      </w:r>
    </w:p>
    <w:p w14:paraId="5394DA52" w14:textId="53088074" w:rsidR="002C2855" w:rsidRDefault="002C2855" w:rsidP="002C2855">
      <w:pPr>
        <w:rPr>
          <w:lang w:eastAsia="pl-PL"/>
        </w:rPr>
      </w:pPr>
      <w:r>
        <w:rPr>
          <w:lang w:eastAsia="pl-PL"/>
        </w:rPr>
        <w:t>Przedstawiciele Samorządu Województwa Wielkopolskiego jednomyślnie bardzo silnie akcentują, że nie należy dążyć do centralizacji. Pewne przedsięwzięcia czy ze względów prawnych, czy też kompetencyjnych realizowane są przez inne podmioty bądź samorządy ni</w:t>
      </w:r>
      <w:r w:rsidR="00443F8E">
        <w:rPr>
          <w:lang w:eastAsia="pl-PL"/>
        </w:rPr>
        <w:t>ższego</w:t>
      </w:r>
      <w:r>
        <w:rPr>
          <w:lang w:eastAsia="pl-PL"/>
        </w:rPr>
        <w:t xml:space="preserve"> szczebla. I jest to właściwe podejście. Przekazywanie działań samorządowych, administracji centralnej jest niezgodne z zasadą pomocniczości. </w:t>
      </w:r>
    </w:p>
    <w:p w14:paraId="1088679D" w14:textId="77777777" w:rsidR="002C2855" w:rsidRDefault="002C2855" w:rsidP="002C2855">
      <w:pPr>
        <w:rPr>
          <w:lang w:eastAsia="pl-PL"/>
        </w:rPr>
      </w:pPr>
      <w:r>
        <w:rPr>
          <w:lang w:eastAsia="pl-PL"/>
        </w:rPr>
        <w:t xml:space="preserve">W jednym z departamentów zwrócono również uwagę, że już na obecną chwilę poziom tej autonomii jest ograniczony przez przygotowywane, głównie przez administrację centralną, programy rozwojowe (przy niewielkim zaangażowaniu i wpływie samorządów regionalnych). Samorząd regionalny jest więc kreatorem rozwoju regionu, ale tylko w takim zakresie jaki narzuci mu administracja centralna. </w:t>
      </w:r>
    </w:p>
    <w:p w14:paraId="5BFBB41F" w14:textId="77777777" w:rsidR="002C2855" w:rsidRPr="00F90954" w:rsidRDefault="002C2855" w:rsidP="00624AA4">
      <w:pPr>
        <w:pStyle w:val="Nagwek2"/>
      </w:pPr>
      <w:bookmarkStart w:id="190" w:name="_Toc536653114"/>
      <w:bookmarkStart w:id="191" w:name="_Toc1904786"/>
      <w:bookmarkStart w:id="192" w:name="_Toc5699480"/>
      <w:r>
        <w:t>Budowanie zasobów instytucjonalnych na rzecz realizacji Strategii</w:t>
      </w:r>
      <w:bookmarkEnd w:id="190"/>
      <w:bookmarkEnd w:id="191"/>
      <w:bookmarkEnd w:id="192"/>
    </w:p>
    <w:p w14:paraId="6239EB0B" w14:textId="77777777" w:rsidR="002C2855" w:rsidRPr="00BF08D5" w:rsidRDefault="002C2855" w:rsidP="00BF08D5">
      <w:pPr>
        <w:ind w:left="4536"/>
        <w:jc w:val="left"/>
        <w:rPr>
          <w:b/>
          <w:i/>
          <w:color w:val="001E50"/>
        </w:rPr>
      </w:pPr>
      <w:r w:rsidRPr="00BF08D5">
        <w:rPr>
          <w:b/>
          <w:i/>
          <w:color w:val="001E50"/>
        </w:rPr>
        <w:t>W pewnych obszarach sukces zależy w głównej mierze od aktywności podmiotów zewnętrznych…</w:t>
      </w:r>
    </w:p>
    <w:p w14:paraId="62FAE068" w14:textId="171804C3" w:rsidR="002C2855" w:rsidRDefault="002C2855" w:rsidP="002C2855">
      <w:r>
        <w:t xml:space="preserve">Samorząd regionalny powinien być odpowiedzialny za kreowanie rozwoju województwa – podejmować wszelkie działania, które przyczynią się do realizacji przedsięwzięć prorozwojowych. W tym aspekcie istotne jest zatem, żeby samorząd województwa we właściwy sposób inicjował </w:t>
      </w:r>
      <w:r w:rsidR="00FD6782">
        <w:t>i</w:t>
      </w:r>
      <w:r>
        <w:t xml:space="preserve"> koordynował sieci współpracy w regionie, także współpracy administracji publicznej na różnych szczeblach.</w:t>
      </w:r>
      <w:r w:rsidRPr="018C161B">
        <w:rPr>
          <w:rStyle w:val="Odwoanieprzypisudolnego"/>
        </w:rPr>
        <w:t xml:space="preserve"> </w:t>
      </w:r>
      <w:r>
        <w:t xml:space="preserve">Sukces tej współpracy uzależniony jest od dwóch elementów kapitału społecznego i kreowanych sieci współpracy. Kapitał w tym miejscu rozumiany jest jako zdolność do pozyskiwania przewag wynikających z uczestniczenia w sieciach – jest jednocześnie traktowany jako podstawowy zasób, dla regionalnych podmiotów. Sieć tworzy natomiast przestrzeń dla uczenia się (procesów poznawczych) – organizacje administracyjne i gospodarcze tworzą relacje, które mają przysłużyć się do osiągania wspólnych celów </w:t>
      </w:r>
      <w:r w:rsidRPr="00465E17">
        <w:rPr>
          <w:szCs w:val="22"/>
        </w:rPr>
        <w:t>(</w:t>
      </w:r>
      <w:r w:rsidRPr="00465E17">
        <w:rPr>
          <w:rFonts w:cs="Times New Roman"/>
          <w:szCs w:val="22"/>
          <w:lang w:eastAsia="pl-PL"/>
        </w:rPr>
        <w:t>Chrisidu-Budnik, Korczak 2013)</w:t>
      </w:r>
      <w:r>
        <w:rPr>
          <w:rFonts w:cs="Times New Roman"/>
          <w:szCs w:val="22"/>
          <w:lang w:eastAsia="pl-PL"/>
        </w:rPr>
        <w:t>.</w:t>
      </w:r>
      <w:r w:rsidRPr="00465E17">
        <w:rPr>
          <w:szCs w:val="22"/>
        </w:rPr>
        <w:t xml:space="preserve"> </w:t>
      </w:r>
    </w:p>
    <w:p w14:paraId="4D7FE6B3" w14:textId="00B95E85" w:rsidR="002C2855" w:rsidRPr="00EF525C" w:rsidRDefault="002C2855" w:rsidP="002C2855">
      <w:pPr>
        <w:rPr>
          <w:lang w:eastAsia="pl-PL"/>
        </w:rPr>
      </w:pPr>
      <w:r>
        <w:rPr>
          <w:lang w:eastAsia="pl-PL"/>
        </w:rPr>
        <w:t xml:space="preserve">Samorząd wojewódzki w procesie kreowania rozwoju regionalnego posługuje się różnymi instrumentami. Klasyfikacja tych instrumentów była przedmiotem wielu badań. W kontekście wyzwań, z jakimi zmaga się administracja regionalna warto podkreślić podział na instrumenty bezpośrednie – które leżą stricte w zakresie kompetencji samorządu i dotyczą zadań, na które </w:t>
      </w:r>
      <w:r w:rsidR="00CC0897">
        <w:rPr>
          <w:lang w:eastAsia="pl-PL"/>
        </w:rPr>
        <w:t>on ma znaczący wpływ</w:t>
      </w:r>
      <w:r>
        <w:rPr>
          <w:lang w:eastAsia="pl-PL"/>
        </w:rPr>
        <w:t xml:space="preserve">, oraz pośrednie – nie wpływające na </w:t>
      </w:r>
      <w:r w:rsidR="00BE1575">
        <w:rPr>
          <w:lang w:eastAsia="pl-PL"/>
        </w:rPr>
        <w:t>wykonywanie</w:t>
      </w:r>
      <w:r>
        <w:rPr>
          <w:lang w:eastAsia="pl-PL"/>
        </w:rPr>
        <w:t xml:space="preserve"> zadań, ale ułatwiające ich realizację przez podmioty zewnętrzne (Dahlke 2017). W omawianym aspekcie należy zwrócić uwagę na możliwość rozszerzenia instrumentarium pośredniego – realizację działań promocyjnych na rzecz SRWW 2020, planowanie i programowanie, formułowanie opinii, doradztwo, działania lobbingowe i in. Jednak szczególnie istotnym zadaniem jest kreowanie partnerstw. </w:t>
      </w:r>
      <w:r>
        <w:t>W KSRR 2030 również podkreślono rolę samorządu jako inicjatora sieci współpracy i partnerstw z JST oraz podmiotami społecznymi i gospodarczymi, które uczestniczą w realizacji polityki rozwojowej regionu m.in. przez włączenie ich w proces programowania i realizacji interwencji prorozwojowych oraz wspieranie istniejących i inicjowanie nowych partnerstw szczególnie w obszarach funkcjonalnych.</w:t>
      </w:r>
    </w:p>
    <w:p w14:paraId="3EC2309A" w14:textId="77777777" w:rsidR="002C2855" w:rsidRDefault="002C2855" w:rsidP="002C2855">
      <w:pPr>
        <w:rPr>
          <w:lang w:eastAsia="pl-PL"/>
        </w:rPr>
      </w:pPr>
      <w:r>
        <w:rPr>
          <w:lang w:eastAsia="pl-PL"/>
        </w:rPr>
        <w:lastRenderedPageBreak/>
        <w:t>Na podstawie przeprowadzonych wywiadów z dyrektorami departamentów można postawić wniosek, że w zasadzie w każdym podejmowanym w SRWW 2020 obszarze tematycznym, są działania, na które samorząd ma większy i mniejszy wpływ. Szczególnie duży udział podmiotów zewnętrznych widoczny jest w zakresie rozwoju gospodarczego (rozwój sieci i kooperacji w gospodarce regionu), gdzie kluczowe jest zaangażowanie przedsiębiorców, instytucji otoczenia biznesu i jednostek naukowych, a województwo może wspierać i tworzyć odpowiednie warunki dla podtrzymywania wykreowanych sieci. Jednak takie powiązania znajdujemy w zasadzie w każdym obszarze np. przy polityce społecznej jest to współpraca z samorządami lokalnymi i organizacjami pozarządowymi, a w zakresie rynku pracy zaangażowane są uczelnie i powiatowe szkoły zawodowe i techniczne.</w:t>
      </w:r>
    </w:p>
    <w:p w14:paraId="3ACF5A0A" w14:textId="56C5E202" w:rsidR="00EC4F46" w:rsidRDefault="00EC4F46" w:rsidP="00EC4F46">
      <w:pPr>
        <w:rPr>
          <w:lang w:eastAsia="pl-PL"/>
        </w:rPr>
      </w:pPr>
      <w:r>
        <w:rPr>
          <w:lang w:eastAsia="pl-PL"/>
        </w:rPr>
        <w:br w:type="page"/>
      </w:r>
    </w:p>
    <w:p w14:paraId="3FBE0028" w14:textId="77777777" w:rsidR="002C2855" w:rsidRDefault="002C2855" w:rsidP="002C2855">
      <w:pPr>
        <w:pStyle w:val="Nagwek1"/>
      </w:pPr>
      <w:bookmarkStart w:id="193" w:name="_Toc5699481"/>
      <w:r>
        <w:lastRenderedPageBreak/>
        <w:t>Monitoring</w:t>
      </w:r>
      <w:r w:rsidR="00624AA4">
        <w:t>, czyli uczenie się</w:t>
      </w:r>
      <w:bookmarkEnd w:id="193"/>
    </w:p>
    <w:p w14:paraId="5D5F79FD" w14:textId="3D7BF896" w:rsidR="00124395" w:rsidRPr="00124395" w:rsidRDefault="00EB55AA" w:rsidP="00124395">
      <w:pPr>
        <w:rPr>
          <w:lang w:eastAsia="pl-PL"/>
        </w:rPr>
      </w:pPr>
      <w:r>
        <w:rPr>
          <w:lang w:eastAsia="pl-PL"/>
        </w:rPr>
        <w:t>Wszystkie strategie rozwoju województw w Polsce są monitorowane. Monitoring ten ma jednak różny zakres tematyczny i czasowy. Różnorodne są zatem raporty z realizacji strategii, które prawdopodobnie w najbliższym czasie będą zastępowane obligatoryjnymi raportami o stanie województwa. Nie zmienia to faktu, że monitoring strategii jest elementem zarządzania strategicznego, a informacje płynące z monitoringu powinny służyć nie tylko trafniejszym decyzjom zarządczym, ale procesowi uczenia się całej organizacji.</w:t>
      </w:r>
    </w:p>
    <w:p w14:paraId="7718E627" w14:textId="239600CA" w:rsidR="002C2855" w:rsidRDefault="002C2855" w:rsidP="00624AA4">
      <w:pPr>
        <w:pStyle w:val="Nagwek2"/>
      </w:pPr>
      <w:bookmarkStart w:id="194" w:name="_Toc536653115"/>
      <w:bookmarkStart w:id="195" w:name="_Toc1904787"/>
      <w:bookmarkStart w:id="196" w:name="_Toc5699482"/>
      <w:r>
        <w:t>Mierzenie sukcesów</w:t>
      </w:r>
      <w:bookmarkEnd w:id="194"/>
      <w:bookmarkEnd w:id="195"/>
      <w:bookmarkEnd w:id="196"/>
    </w:p>
    <w:p w14:paraId="11426E64" w14:textId="77777777" w:rsidR="002C2855" w:rsidRDefault="002C2855" w:rsidP="00624AA4">
      <w:pPr>
        <w:pStyle w:val="Nagwek3"/>
      </w:pPr>
      <w:bookmarkStart w:id="197" w:name="_Toc536653116"/>
      <w:bookmarkStart w:id="198" w:name="_Toc1904788"/>
      <w:bookmarkStart w:id="199" w:name="_Toc5699483"/>
      <w:r>
        <w:t>Odwieczny problem doboru wskaźników</w:t>
      </w:r>
      <w:bookmarkEnd w:id="197"/>
      <w:bookmarkEnd w:id="198"/>
      <w:bookmarkEnd w:id="199"/>
    </w:p>
    <w:p w14:paraId="3C91AE7F" w14:textId="77777777" w:rsidR="002C2855" w:rsidRPr="00BF08D5" w:rsidRDefault="002C2855" w:rsidP="00BF08D5">
      <w:pPr>
        <w:ind w:left="4536"/>
        <w:jc w:val="left"/>
        <w:rPr>
          <w:b/>
          <w:i/>
          <w:color w:val="001E50"/>
        </w:rPr>
      </w:pPr>
      <w:r w:rsidRPr="00BF08D5">
        <w:rPr>
          <w:b/>
          <w:i/>
          <w:color w:val="001E50"/>
        </w:rPr>
        <w:t>Raporty z realizacji Strategii nie dają prostych odpowiedzi …</w:t>
      </w:r>
    </w:p>
    <w:p w14:paraId="3BE01282" w14:textId="77777777" w:rsidR="002C2855" w:rsidRPr="005F5FB6" w:rsidRDefault="002C2855" w:rsidP="006B4E7E">
      <w:pPr>
        <w:shd w:val="clear" w:color="auto" w:fill="FFE599"/>
        <w:rPr>
          <w:szCs w:val="22"/>
          <w:lang w:eastAsia="pl-PL"/>
        </w:rPr>
      </w:pPr>
      <w:r w:rsidRPr="56862DA9">
        <w:rPr>
          <w:lang w:eastAsia="pl-PL"/>
        </w:rPr>
        <w:t>W SRWW 2020 wskazano listę wskaźników przypisanych do celu głównego oraz każdego z dziewięciu celów strategicznych. Łącznie wskaźników tych jest 81. Ze względu na fakt, że nie określono w dokumencie wartości bazowych i docelowych, można przyjąć, że monitorowanie postępu odbywa się poprzez analizę zmiany wartości tych wskaźników i ocenę tej zmiany.</w:t>
      </w:r>
    </w:p>
    <w:p w14:paraId="64AFEBAA" w14:textId="6C51D69F" w:rsidR="56862DA9" w:rsidRDefault="56862DA9">
      <w:r w:rsidRPr="56862DA9">
        <w:rPr>
          <w:rFonts w:eastAsia="Calibri"/>
          <w:szCs w:val="22"/>
        </w:rPr>
        <w:t>Lista wskaźników podlega hierarchizacji (ważniejsze wydają się wskaźniki celu głównego, zaś podrzędne są wskaźniki celów strategicznych). Kluczowym problemem jest zjawisko powielane we wszystkich województwach – wskaźniki mają jedynie charakter kontekstowy. Zatem trudne lub wręcz niezasadne jest podejmowanie próby uzyskania odpowiedzi na pytanie o zależności przyczynowo-skutkowe w oparciu o przyjęte zestawy wskaźników kontekstowych.</w:t>
      </w:r>
    </w:p>
    <w:p w14:paraId="1DECC026" w14:textId="0C8BDAB4" w:rsidR="002C2855" w:rsidRDefault="002C2855" w:rsidP="002C2855">
      <w:pPr>
        <w:spacing w:after="160" w:line="259" w:lineRule="auto"/>
        <w:rPr>
          <w:lang w:eastAsia="pl-PL"/>
        </w:rPr>
      </w:pPr>
      <w:r>
        <w:rPr>
          <w:lang w:eastAsia="pl-PL"/>
        </w:rPr>
        <w:t>Na poziomie celu generalnego, który brzmi</w:t>
      </w:r>
      <w:r w:rsidR="00EB55AA">
        <w:rPr>
          <w:lang w:eastAsia="pl-PL"/>
        </w:rPr>
        <w:t xml:space="preserve"> (s. 74)</w:t>
      </w:r>
      <w:r>
        <w:rPr>
          <w:lang w:eastAsia="pl-PL"/>
        </w:rPr>
        <w:t xml:space="preserve">: </w:t>
      </w:r>
    </w:p>
    <w:p w14:paraId="1E9424AF" w14:textId="6F16DC5D" w:rsidR="002C2855" w:rsidRPr="005F5FB6" w:rsidRDefault="002C2855" w:rsidP="002C2855">
      <w:pPr>
        <w:spacing w:after="160" w:line="259" w:lineRule="auto"/>
        <w:rPr>
          <w:i/>
          <w:lang w:eastAsia="pl-PL"/>
        </w:rPr>
      </w:pPr>
      <w:r w:rsidRPr="005F5FB6">
        <w:rPr>
          <w:i/>
          <w:lang w:eastAsia="pl-PL"/>
        </w:rPr>
        <w:t>Efektywne wykorzystanie potencjałów rozwojowych na rzecz wzrostu konkurencyjności województwa, służące poprawie jakości życia mieszkańców w warunkach zrównoważonego rozwoju</w:t>
      </w:r>
      <w:r w:rsidR="56862DA9" w:rsidRPr="56862DA9">
        <w:rPr>
          <w:lang w:eastAsia="pl-PL"/>
        </w:rPr>
        <w:t>,</w:t>
      </w:r>
    </w:p>
    <w:p w14:paraId="34500DDD" w14:textId="6CF5CDE3" w:rsidR="002C2855" w:rsidRDefault="002C2855" w:rsidP="002C2855">
      <w:pPr>
        <w:spacing w:after="160" w:line="259" w:lineRule="auto"/>
        <w:rPr>
          <w:lang w:eastAsia="pl-PL"/>
        </w:rPr>
      </w:pPr>
      <w:r>
        <w:rPr>
          <w:lang w:eastAsia="pl-PL"/>
        </w:rPr>
        <w:t xml:space="preserve">określono wskaźniki: </w:t>
      </w:r>
      <w:r w:rsidRPr="005F5FB6">
        <w:rPr>
          <w:b/>
          <w:lang w:eastAsia="pl-PL"/>
        </w:rPr>
        <w:t>(A)</w:t>
      </w:r>
      <w:r>
        <w:rPr>
          <w:lang w:eastAsia="pl-PL"/>
        </w:rPr>
        <w:t xml:space="preserve"> PKB per capita; </w:t>
      </w:r>
      <w:r w:rsidRPr="005F5FB6">
        <w:rPr>
          <w:b/>
          <w:lang w:eastAsia="pl-PL"/>
        </w:rPr>
        <w:t>(B)</w:t>
      </w:r>
      <w:r>
        <w:rPr>
          <w:lang w:eastAsia="pl-PL"/>
        </w:rPr>
        <w:t xml:space="preserve"> Wskaźnik zatrudnienia osób w wieku 20-64 lata; </w:t>
      </w:r>
      <w:r w:rsidRPr="005F5FB6">
        <w:rPr>
          <w:b/>
          <w:lang w:eastAsia="pl-PL"/>
        </w:rPr>
        <w:t>(C)</w:t>
      </w:r>
      <w:r>
        <w:rPr>
          <w:lang w:eastAsia="pl-PL"/>
        </w:rPr>
        <w:t xml:space="preserve"> Stopa bezrobocia wg BAEL; </w:t>
      </w:r>
      <w:r w:rsidRPr="005F5FB6">
        <w:rPr>
          <w:b/>
          <w:lang w:eastAsia="pl-PL"/>
        </w:rPr>
        <w:t>(D)</w:t>
      </w:r>
      <w:r>
        <w:rPr>
          <w:lang w:eastAsia="pl-PL"/>
        </w:rPr>
        <w:t xml:space="preserve"> Nakłady inwestycyjne na 1 mieszkańca; </w:t>
      </w:r>
      <w:r w:rsidRPr="005F5FB6">
        <w:rPr>
          <w:b/>
          <w:lang w:eastAsia="pl-PL"/>
        </w:rPr>
        <w:t>(E)</w:t>
      </w:r>
      <w:r>
        <w:rPr>
          <w:lang w:eastAsia="pl-PL"/>
        </w:rPr>
        <w:t xml:space="preserve"> Nakłady na działalność badawczo – rozwojową w relacji do PKB; </w:t>
      </w:r>
      <w:r w:rsidRPr="005F5FB6">
        <w:rPr>
          <w:b/>
          <w:lang w:eastAsia="pl-PL"/>
        </w:rPr>
        <w:t>(F)</w:t>
      </w:r>
      <w:r>
        <w:rPr>
          <w:lang w:eastAsia="pl-PL"/>
        </w:rPr>
        <w:t xml:space="preserve"> Udział ludności w wieku 15 – 64 lat z wyższym wykształceniem w ogólnej liczbie ludności w tym wieku </w:t>
      </w:r>
      <w:r w:rsidR="56862DA9" w:rsidRPr="56862DA9">
        <w:rPr>
          <w:lang w:eastAsia="pl-PL"/>
        </w:rPr>
        <w:t>(%).</w:t>
      </w:r>
    </w:p>
    <w:p w14:paraId="7E30AB47" w14:textId="5D41239D" w:rsidR="002C2855" w:rsidRDefault="002C2855" w:rsidP="002C2855">
      <w:pPr>
        <w:spacing w:after="160" w:line="259" w:lineRule="auto"/>
        <w:rPr>
          <w:lang w:eastAsia="pl-PL"/>
        </w:rPr>
      </w:pPr>
      <w:r>
        <w:rPr>
          <w:lang w:eastAsia="pl-PL"/>
        </w:rPr>
        <w:t xml:space="preserve">Te sześć wskaźników w sposób kontekstowy opisuje cel główny, którego treść porusza zagadnienia sformułowane właśnie w związku przyczynowo-skutkowym, zaczynając od efektywnego wykorzystania potencjałów rozwojowych. Przy takim założeniu należałoby określić wskaźniki efektywności, których </w:t>
      </w:r>
      <w:r w:rsidR="56862DA9" w:rsidRPr="56862DA9">
        <w:rPr>
          <w:lang w:eastAsia="pl-PL"/>
        </w:rPr>
        <w:t>brakuje.</w:t>
      </w:r>
      <w:r>
        <w:rPr>
          <w:lang w:eastAsia="pl-PL"/>
        </w:rPr>
        <w:t xml:space="preserve"> Słusznie wzrost konkurencyjności potraktowano jako sposób na poprawę jakości życia, choć takie proste przełożenie jest ideowo dopasowane do biegunów wzrostu, trudniej jest mówić o konkurencyjności w przypadku obszarów peryferyjnych (tu jakość życia poprawia się nie wzrostem konkurencyjności, a nadrabianiem zaległości cywilizacyjnych, czy też inwestycjami publicznymi, które z konkurencyjnością mają często niewiele wspólnego). W końcu hasło zrównoważony rozwój jest </w:t>
      </w:r>
      <w:r w:rsidR="00A813FF">
        <w:rPr>
          <w:lang w:eastAsia="pl-PL"/>
        </w:rPr>
        <w:t>i</w:t>
      </w:r>
      <w:r>
        <w:rPr>
          <w:lang w:eastAsia="pl-PL"/>
        </w:rPr>
        <w:t xml:space="preserve"> pojemne</w:t>
      </w:r>
      <w:r w:rsidR="00A813FF">
        <w:rPr>
          <w:lang w:eastAsia="pl-PL"/>
        </w:rPr>
        <w:t xml:space="preserve"> i</w:t>
      </w:r>
      <w:r>
        <w:rPr>
          <w:lang w:eastAsia="pl-PL"/>
        </w:rPr>
        <w:t xml:space="preserve"> opisywane wieloma wskaźnikami.</w:t>
      </w:r>
    </w:p>
    <w:p w14:paraId="2C27B463" w14:textId="3B26476E" w:rsidR="002C2855" w:rsidRDefault="002C2855" w:rsidP="002C2855">
      <w:pPr>
        <w:spacing w:after="160" w:line="259" w:lineRule="auto"/>
        <w:rPr>
          <w:lang w:eastAsia="pl-PL"/>
        </w:rPr>
      </w:pPr>
      <w:r>
        <w:rPr>
          <w:lang w:eastAsia="pl-PL"/>
        </w:rPr>
        <w:t xml:space="preserve">Jeszcze jeden problem wydaje się trudny do rozwiązania. Otóż powszechny i ułomny wskaźnik PKB per capita zawiera w sobie część wskaźników, które są przyjęte do tej samej grupy (nakłady inwestycyjne) </w:t>
      </w:r>
      <w:r>
        <w:rPr>
          <w:lang w:eastAsia="pl-PL"/>
        </w:rPr>
        <w:lastRenderedPageBreak/>
        <w:t>lub jest pośrednio zależny od danego wskaźnika (bezrobotni w ograniczony sposób przyczyniają się do wzrostu PKB, zatrudnieni w większym stopniu).</w:t>
      </w:r>
    </w:p>
    <w:p w14:paraId="0A3FFB88" w14:textId="77777777" w:rsidR="002C2855" w:rsidRDefault="002C2855" w:rsidP="002C2855">
      <w:pPr>
        <w:spacing w:after="160" w:line="259" w:lineRule="auto"/>
        <w:rPr>
          <w:lang w:eastAsia="pl-PL"/>
        </w:rPr>
      </w:pPr>
      <w:r>
        <w:rPr>
          <w:lang w:eastAsia="pl-PL"/>
        </w:rPr>
        <w:t>Ostatnia uwaga dotycząca konstrukcji wskaźników na przykładzie celu głównego dotyczy adekwatności wskaźników kontekstowych do treści celu głównego. To wymagałoby znacznego uszczegółowienia treści wskaźników.</w:t>
      </w:r>
    </w:p>
    <w:p w14:paraId="53A14169" w14:textId="2C79B240" w:rsidR="002C2855" w:rsidRDefault="002C2855" w:rsidP="002C2855">
      <w:pPr>
        <w:pStyle w:val="Legenda"/>
        <w:keepNext/>
      </w:pPr>
      <w:bookmarkStart w:id="200" w:name="_Toc5699552"/>
      <w:r w:rsidRPr="00F236F2">
        <w:rPr>
          <w:color w:val="000000" w:themeColor="text1"/>
        </w:rPr>
        <w:t xml:space="preserve">Tabela </w:t>
      </w:r>
      <w:r w:rsidRPr="1FA2818E">
        <w:fldChar w:fldCharType="begin"/>
      </w:r>
      <w:r w:rsidRPr="00F236F2">
        <w:rPr>
          <w:noProof/>
          <w:color w:val="000000" w:themeColor="text1"/>
        </w:rPr>
        <w:instrText xml:space="preserve"> SEQ Tabela \* ARABIC </w:instrText>
      </w:r>
      <w:r w:rsidRPr="1FA2818E">
        <w:rPr>
          <w:noProof/>
          <w:color w:val="000000" w:themeColor="text1"/>
        </w:rPr>
        <w:fldChar w:fldCharType="separate"/>
      </w:r>
      <w:r w:rsidR="007F4FA2">
        <w:rPr>
          <w:noProof/>
          <w:color w:val="000000" w:themeColor="text1"/>
        </w:rPr>
        <w:t>19</w:t>
      </w:r>
      <w:r w:rsidRPr="1FA2818E">
        <w:fldChar w:fldCharType="end"/>
      </w:r>
      <w:r w:rsidRPr="00F236F2">
        <w:rPr>
          <w:color w:val="000000" w:themeColor="text1"/>
        </w:rPr>
        <w:t>. Charakterystyka celu generalnego</w:t>
      </w:r>
      <w:bookmarkEnd w:id="200"/>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ela 18. Charakterystyka celu generalnego "/>
        <w:tblDescription w:val="Tabela przedstawia wskaźniki celu głównego oraz związane z nimi zagadnienia problematyczne (w kontekście zarówno właściwej interpretacji, jak i zasadności ich monitorowania)."/>
      </w:tblPr>
      <w:tblGrid>
        <w:gridCol w:w="1985"/>
        <w:gridCol w:w="2410"/>
        <w:gridCol w:w="4536"/>
      </w:tblGrid>
      <w:tr w:rsidR="002C2855" w:rsidRPr="00EB1427" w14:paraId="0BD0E508" w14:textId="77777777" w:rsidTr="6C72854D">
        <w:trPr>
          <w:tblHeader/>
        </w:trPr>
        <w:tc>
          <w:tcPr>
            <w:tcW w:w="1985" w:type="dxa"/>
            <w:tcBorders>
              <w:bottom w:val="single" w:sz="2" w:space="0" w:color="F6BB00"/>
            </w:tcBorders>
            <w:shd w:val="clear" w:color="auto" w:fill="F6BB00"/>
          </w:tcPr>
          <w:p w14:paraId="6C572B0A" w14:textId="77777777" w:rsidR="002C2855" w:rsidRPr="00EB1427" w:rsidRDefault="002C2855" w:rsidP="00624AA4">
            <w:pPr>
              <w:spacing w:after="0" w:line="240" w:lineRule="auto"/>
              <w:jc w:val="center"/>
              <w:rPr>
                <w:b/>
                <w:sz w:val="18"/>
                <w:szCs w:val="18"/>
                <w:lang w:eastAsia="pl-PL"/>
              </w:rPr>
            </w:pPr>
            <w:r w:rsidRPr="00EB1427">
              <w:rPr>
                <w:b/>
                <w:sz w:val="18"/>
                <w:szCs w:val="18"/>
                <w:lang w:eastAsia="pl-PL"/>
              </w:rPr>
              <w:t>E</w:t>
            </w:r>
            <w:r>
              <w:rPr>
                <w:b/>
                <w:sz w:val="18"/>
                <w:szCs w:val="18"/>
                <w:lang w:eastAsia="pl-PL"/>
              </w:rPr>
              <w:t>lement celu generalnego</w:t>
            </w:r>
          </w:p>
        </w:tc>
        <w:tc>
          <w:tcPr>
            <w:tcW w:w="2410" w:type="dxa"/>
            <w:tcBorders>
              <w:bottom w:val="single" w:sz="2" w:space="0" w:color="F6BB00"/>
            </w:tcBorders>
            <w:shd w:val="clear" w:color="auto" w:fill="F6BB00"/>
          </w:tcPr>
          <w:p w14:paraId="671B0CED" w14:textId="77777777" w:rsidR="002C2855" w:rsidRPr="00EB1427" w:rsidRDefault="002C2855" w:rsidP="00624AA4">
            <w:pPr>
              <w:spacing w:after="0" w:line="240" w:lineRule="auto"/>
              <w:jc w:val="center"/>
              <w:rPr>
                <w:b/>
                <w:sz w:val="18"/>
                <w:szCs w:val="18"/>
                <w:lang w:eastAsia="pl-PL"/>
              </w:rPr>
            </w:pPr>
            <w:r w:rsidRPr="00EB1427">
              <w:rPr>
                <w:b/>
                <w:sz w:val="18"/>
                <w:szCs w:val="18"/>
                <w:lang w:eastAsia="pl-PL"/>
              </w:rPr>
              <w:t>Wskaźnik celu głównego</w:t>
            </w:r>
          </w:p>
        </w:tc>
        <w:tc>
          <w:tcPr>
            <w:tcW w:w="4536" w:type="dxa"/>
            <w:tcBorders>
              <w:bottom w:val="single" w:sz="2" w:space="0" w:color="F6BB00"/>
            </w:tcBorders>
            <w:shd w:val="clear" w:color="auto" w:fill="F6BB00"/>
          </w:tcPr>
          <w:p w14:paraId="13CBC853" w14:textId="77777777" w:rsidR="002C2855" w:rsidRPr="00EB1427" w:rsidRDefault="002C2855" w:rsidP="00624AA4">
            <w:pPr>
              <w:spacing w:after="0" w:line="240" w:lineRule="auto"/>
              <w:jc w:val="center"/>
              <w:rPr>
                <w:b/>
                <w:sz w:val="18"/>
                <w:szCs w:val="18"/>
                <w:lang w:eastAsia="pl-PL"/>
              </w:rPr>
            </w:pPr>
            <w:r w:rsidRPr="00EB1427">
              <w:rPr>
                <w:b/>
                <w:sz w:val="18"/>
                <w:szCs w:val="18"/>
                <w:lang w:eastAsia="pl-PL"/>
              </w:rPr>
              <w:t>Pytania „do wskaźnika”</w:t>
            </w:r>
          </w:p>
        </w:tc>
      </w:tr>
      <w:tr w:rsidR="002C2855" w:rsidRPr="00EB1427" w14:paraId="4B0B4E7D" w14:textId="77777777" w:rsidTr="6C72854D">
        <w:tc>
          <w:tcPr>
            <w:tcW w:w="1985" w:type="dxa"/>
            <w:tcBorders>
              <w:top w:val="single" w:sz="2" w:space="0" w:color="F6BB00"/>
              <w:bottom w:val="single" w:sz="2" w:space="0" w:color="F6BB00"/>
            </w:tcBorders>
          </w:tcPr>
          <w:p w14:paraId="67EF2551" w14:textId="77777777" w:rsidR="002C2855" w:rsidRPr="00EB1427" w:rsidRDefault="002C2855" w:rsidP="00624AA4">
            <w:pPr>
              <w:spacing w:after="0" w:line="240" w:lineRule="auto"/>
              <w:rPr>
                <w:sz w:val="18"/>
                <w:szCs w:val="18"/>
                <w:lang w:eastAsia="pl-PL"/>
              </w:rPr>
            </w:pPr>
            <w:r w:rsidRPr="00EB1427">
              <w:rPr>
                <w:sz w:val="18"/>
                <w:szCs w:val="18"/>
                <w:lang w:eastAsia="pl-PL"/>
              </w:rPr>
              <w:t>Efektywność wykorzystania potencjału rozwojowego</w:t>
            </w:r>
          </w:p>
        </w:tc>
        <w:tc>
          <w:tcPr>
            <w:tcW w:w="2410" w:type="dxa"/>
            <w:tcBorders>
              <w:top w:val="single" w:sz="2" w:space="0" w:color="F6BB00"/>
              <w:bottom w:val="single" w:sz="2" w:space="0" w:color="F6BB00"/>
            </w:tcBorders>
          </w:tcPr>
          <w:p w14:paraId="5C778438" w14:textId="77777777" w:rsidR="002C2855" w:rsidRPr="00EB1427" w:rsidRDefault="002C2855" w:rsidP="00624AA4">
            <w:pPr>
              <w:spacing w:after="0" w:line="240" w:lineRule="auto"/>
              <w:jc w:val="center"/>
              <w:rPr>
                <w:sz w:val="18"/>
                <w:szCs w:val="18"/>
                <w:lang w:eastAsia="pl-PL"/>
              </w:rPr>
            </w:pPr>
            <w:r>
              <w:rPr>
                <w:sz w:val="18"/>
                <w:szCs w:val="18"/>
                <w:lang w:eastAsia="pl-PL"/>
              </w:rPr>
              <w:t>B</w:t>
            </w:r>
            <w:r w:rsidRPr="00EB1427">
              <w:rPr>
                <w:sz w:val="18"/>
                <w:szCs w:val="18"/>
                <w:lang w:eastAsia="pl-PL"/>
              </w:rPr>
              <w:t>rak</w:t>
            </w:r>
          </w:p>
        </w:tc>
        <w:tc>
          <w:tcPr>
            <w:tcW w:w="4536" w:type="dxa"/>
            <w:tcBorders>
              <w:top w:val="single" w:sz="2" w:space="0" w:color="F6BB00"/>
              <w:bottom w:val="single" w:sz="2" w:space="0" w:color="F6BB00"/>
            </w:tcBorders>
          </w:tcPr>
          <w:p w14:paraId="7018327B" w14:textId="77777777" w:rsidR="002C2855" w:rsidRDefault="002C2855" w:rsidP="00624AA4">
            <w:pPr>
              <w:spacing w:after="0" w:line="240" w:lineRule="auto"/>
              <w:jc w:val="center"/>
              <w:rPr>
                <w:sz w:val="18"/>
                <w:szCs w:val="18"/>
                <w:lang w:eastAsia="pl-PL"/>
              </w:rPr>
            </w:pPr>
            <w:r>
              <w:rPr>
                <w:sz w:val="18"/>
                <w:szCs w:val="18"/>
                <w:lang w:eastAsia="pl-PL"/>
              </w:rPr>
              <w:t>nakłady do wyników?</w:t>
            </w:r>
          </w:p>
          <w:p w14:paraId="6B55863A" w14:textId="77777777" w:rsidR="002C2855" w:rsidRPr="00EB1427" w:rsidRDefault="002C2855" w:rsidP="00624AA4">
            <w:pPr>
              <w:spacing w:after="0" w:line="240" w:lineRule="auto"/>
              <w:jc w:val="center"/>
              <w:rPr>
                <w:sz w:val="18"/>
                <w:szCs w:val="18"/>
                <w:lang w:eastAsia="pl-PL"/>
              </w:rPr>
            </w:pPr>
            <w:r>
              <w:rPr>
                <w:sz w:val="18"/>
                <w:szCs w:val="18"/>
                <w:lang w:eastAsia="pl-PL"/>
              </w:rPr>
              <w:t>efektywność = skuteczność?</w:t>
            </w:r>
          </w:p>
        </w:tc>
      </w:tr>
      <w:tr w:rsidR="002C2855" w:rsidRPr="00EB1427" w14:paraId="6DC96529" w14:textId="77777777" w:rsidTr="6C72854D">
        <w:tc>
          <w:tcPr>
            <w:tcW w:w="1985" w:type="dxa"/>
            <w:tcBorders>
              <w:top w:val="single" w:sz="2" w:space="0" w:color="F6BB00"/>
              <w:bottom w:val="single" w:sz="2" w:space="0" w:color="F6BB00"/>
            </w:tcBorders>
          </w:tcPr>
          <w:p w14:paraId="0BCEEF26" w14:textId="77777777" w:rsidR="002C2855" w:rsidRPr="00EB1427" w:rsidRDefault="002C2855" w:rsidP="00624AA4">
            <w:pPr>
              <w:spacing w:after="0" w:line="240" w:lineRule="auto"/>
              <w:rPr>
                <w:sz w:val="18"/>
                <w:szCs w:val="18"/>
                <w:lang w:eastAsia="pl-PL"/>
              </w:rPr>
            </w:pPr>
            <w:r w:rsidRPr="00EB1427">
              <w:rPr>
                <w:sz w:val="18"/>
                <w:szCs w:val="18"/>
                <w:lang w:eastAsia="pl-PL"/>
              </w:rPr>
              <w:t>Wzrost konkurencyjności</w:t>
            </w:r>
          </w:p>
        </w:tc>
        <w:tc>
          <w:tcPr>
            <w:tcW w:w="2410" w:type="dxa"/>
            <w:tcBorders>
              <w:top w:val="single" w:sz="2" w:space="0" w:color="F6BB00"/>
              <w:bottom w:val="single" w:sz="2" w:space="0" w:color="F6BB00"/>
            </w:tcBorders>
          </w:tcPr>
          <w:p w14:paraId="1CB94133" w14:textId="77777777" w:rsidR="002C2855" w:rsidRPr="00EB1427" w:rsidRDefault="002C2855" w:rsidP="00624AA4">
            <w:pPr>
              <w:spacing w:after="0" w:line="240" w:lineRule="auto"/>
              <w:jc w:val="center"/>
              <w:rPr>
                <w:sz w:val="18"/>
                <w:szCs w:val="18"/>
                <w:lang w:eastAsia="pl-PL"/>
              </w:rPr>
            </w:pPr>
            <w:r w:rsidRPr="00EB1427">
              <w:rPr>
                <w:sz w:val="18"/>
                <w:szCs w:val="18"/>
                <w:lang w:eastAsia="pl-PL"/>
              </w:rPr>
              <w:t>PKB per capita</w:t>
            </w:r>
          </w:p>
          <w:p w14:paraId="0A070471" w14:textId="77777777" w:rsidR="002C2855" w:rsidRPr="00EB1427" w:rsidRDefault="002C2855" w:rsidP="00624AA4">
            <w:pPr>
              <w:spacing w:after="0" w:line="240" w:lineRule="auto"/>
              <w:jc w:val="center"/>
              <w:rPr>
                <w:sz w:val="18"/>
                <w:szCs w:val="18"/>
                <w:lang w:eastAsia="pl-PL"/>
              </w:rPr>
            </w:pPr>
            <w:r w:rsidRPr="00EB1427">
              <w:rPr>
                <w:sz w:val="18"/>
                <w:szCs w:val="18"/>
                <w:lang w:eastAsia="pl-PL"/>
              </w:rPr>
              <w:t>zatrudnienie</w:t>
            </w:r>
          </w:p>
          <w:p w14:paraId="4A421E65" w14:textId="77777777" w:rsidR="002C2855" w:rsidRPr="00EB1427" w:rsidRDefault="002C2855" w:rsidP="00624AA4">
            <w:pPr>
              <w:spacing w:after="0" w:line="240" w:lineRule="auto"/>
              <w:jc w:val="center"/>
              <w:rPr>
                <w:sz w:val="18"/>
                <w:szCs w:val="18"/>
                <w:lang w:eastAsia="pl-PL"/>
              </w:rPr>
            </w:pPr>
            <w:r w:rsidRPr="00EB1427">
              <w:rPr>
                <w:sz w:val="18"/>
                <w:szCs w:val="18"/>
                <w:lang w:eastAsia="pl-PL"/>
              </w:rPr>
              <w:t>wyższe wykształcenie</w:t>
            </w:r>
          </w:p>
          <w:p w14:paraId="6594DD22" w14:textId="77777777" w:rsidR="002C2855" w:rsidRPr="00EB1427" w:rsidRDefault="002C2855" w:rsidP="00624AA4">
            <w:pPr>
              <w:spacing w:after="0" w:line="240" w:lineRule="auto"/>
              <w:jc w:val="center"/>
              <w:rPr>
                <w:sz w:val="18"/>
                <w:szCs w:val="18"/>
                <w:lang w:eastAsia="pl-PL"/>
              </w:rPr>
            </w:pPr>
            <w:r w:rsidRPr="00EB1427">
              <w:rPr>
                <w:sz w:val="18"/>
                <w:szCs w:val="18"/>
                <w:lang w:eastAsia="pl-PL"/>
              </w:rPr>
              <w:t>nakłady na B+R</w:t>
            </w:r>
          </w:p>
        </w:tc>
        <w:tc>
          <w:tcPr>
            <w:tcW w:w="4536" w:type="dxa"/>
            <w:tcBorders>
              <w:top w:val="single" w:sz="2" w:space="0" w:color="F6BB00"/>
              <w:bottom w:val="single" w:sz="2" w:space="0" w:color="F6BB00"/>
            </w:tcBorders>
          </w:tcPr>
          <w:p w14:paraId="1AF45664" w14:textId="77777777" w:rsidR="002C2855" w:rsidRDefault="002C2855" w:rsidP="00624AA4">
            <w:pPr>
              <w:spacing w:after="0" w:line="240" w:lineRule="auto"/>
              <w:jc w:val="center"/>
              <w:rPr>
                <w:sz w:val="18"/>
                <w:szCs w:val="18"/>
                <w:lang w:eastAsia="pl-PL"/>
              </w:rPr>
            </w:pPr>
            <w:r>
              <w:rPr>
                <w:sz w:val="18"/>
                <w:szCs w:val="18"/>
                <w:lang w:eastAsia="pl-PL"/>
              </w:rPr>
              <w:t>czy opłaca się konkurować w zakresie PKB?</w:t>
            </w:r>
          </w:p>
          <w:p w14:paraId="2AA30987" w14:textId="77777777" w:rsidR="002C2855" w:rsidRPr="00EB1427" w:rsidRDefault="002C2855" w:rsidP="00624AA4">
            <w:pPr>
              <w:spacing w:after="0" w:line="240" w:lineRule="auto"/>
              <w:jc w:val="center"/>
              <w:rPr>
                <w:sz w:val="18"/>
                <w:szCs w:val="18"/>
                <w:lang w:eastAsia="pl-PL"/>
              </w:rPr>
            </w:pPr>
            <w:r w:rsidRPr="00EB1427">
              <w:rPr>
                <w:sz w:val="18"/>
                <w:szCs w:val="18"/>
                <w:lang w:eastAsia="pl-PL"/>
              </w:rPr>
              <w:t>konkurencja o co?</w:t>
            </w:r>
          </w:p>
          <w:p w14:paraId="4BB159A8" w14:textId="77777777" w:rsidR="002C2855" w:rsidRPr="00EB1427" w:rsidRDefault="002C2855" w:rsidP="00624AA4">
            <w:pPr>
              <w:spacing w:after="0" w:line="240" w:lineRule="auto"/>
              <w:jc w:val="center"/>
              <w:rPr>
                <w:sz w:val="18"/>
                <w:szCs w:val="18"/>
                <w:lang w:eastAsia="pl-PL"/>
              </w:rPr>
            </w:pPr>
            <w:r w:rsidRPr="00EB1427">
              <w:rPr>
                <w:sz w:val="18"/>
                <w:szCs w:val="18"/>
                <w:lang w:eastAsia="pl-PL"/>
              </w:rPr>
              <w:t>konkurencja z kim? (skala krajowa?, europejska?)</w:t>
            </w:r>
          </w:p>
        </w:tc>
      </w:tr>
      <w:tr w:rsidR="002C2855" w:rsidRPr="00EB1427" w14:paraId="0865B12A" w14:textId="77777777" w:rsidTr="6C72854D">
        <w:tc>
          <w:tcPr>
            <w:tcW w:w="1985" w:type="dxa"/>
            <w:tcBorders>
              <w:top w:val="single" w:sz="2" w:space="0" w:color="F6BB00"/>
              <w:bottom w:val="single" w:sz="2" w:space="0" w:color="F6BB00"/>
            </w:tcBorders>
          </w:tcPr>
          <w:p w14:paraId="623ABBA5" w14:textId="77777777" w:rsidR="002C2855" w:rsidRPr="00EB1427" w:rsidRDefault="002C2855" w:rsidP="00624AA4">
            <w:pPr>
              <w:spacing w:after="0" w:line="240" w:lineRule="auto"/>
              <w:rPr>
                <w:sz w:val="18"/>
                <w:szCs w:val="18"/>
                <w:lang w:eastAsia="pl-PL"/>
              </w:rPr>
            </w:pPr>
            <w:r w:rsidRPr="00EB1427">
              <w:rPr>
                <w:sz w:val="18"/>
                <w:szCs w:val="18"/>
                <w:lang w:eastAsia="pl-PL"/>
              </w:rPr>
              <w:t>Jakość życia</w:t>
            </w:r>
          </w:p>
        </w:tc>
        <w:tc>
          <w:tcPr>
            <w:tcW w:w="2410" w:type="dxa"/>
            <w:tcBorders>
              <w:top w:val="single" w:sz="2" w:space="0" w:color="F6BB00"/>
              <w:bottom w:val="single" w:sz="2" w:space="0" w:color="F6BB00"/>
            </w:tcBorders>
          </w:tcPr>
          <w:p w14:paraId="023D9C8F" w14:textId="77777777" w:rsidR="002C2855" w:rsidRPr="00EB1427" w:rsidRDefault="002C2855" w:rsidP="00624AA4">
            <w:pPr>
              <w:spacing w:after="0" w:line="240" w:lineRule="auto"/>
              <w:jc w:val="center"/>
              <w:rPr>
                <w:sz w:val="18"/>
                <w:szCs w:val="18"/>
                <w:lang w:eastAsia="pl-PL"/>
              </w:rPr>
            </w:pPr>
            <w:r w:rsidRPr="00EB1427">
              <w:rPr>
                <w:sz w:val="18"/>
                <w:szCs w:val="18"/>
                <w:lang w:eastAsia="pl-PL"/>
              </w:rPr>
              <w:t>bezrobocie</w:t>
            </w:r>
          </w:p>
          <w:p w14:paraId="10ABD7D8" w14:textId="77777777" w:rsidR="002C2855" w:rsidRPr="00EB1427" w:rsidRDefault="002C2855" w:rsidP="00624AA4">
            <w:pPr>
              <w:spacing w:after="0" w:line="240" w:lineRule="auto"/>
              <w:jc w:val="center"/>
              <w:rPr>
                <w:sz w:val="18"/>
                <w:szCs w:val="18"/>
                <w:lang w:eastAsia="pl-PL"/>
              </w:rPr>
            </w:pPr>
            <w:r w:rsidRPr="00EB1427">
              <w:rPr>
                <w:sz w:val="18"/>
                <w:szCs w:val="18"/>
                <w:lang w:eastAsia="pl-PL"/>
              </w:rPr>
              <w:t>zatrudnienie</w:t>
            </w:r>
          </w:p>
          <w:p w14:paraId="2B842E4C" w14:textId="77777777" w:rsidR="002C2855" w:rsidRPr="00EB1427" w:rsidRDefault="002C2855" w:rsidP="00624AA4">
            <w:pPr>
              <w:spacing w:after="0" w:line="240" w:lineRule="auto"/>
              <w:jc w:val="center"/>
              <w:rPr>
                <w:sz w:val="18"/>
                <w:szCs w:val="18"/>
                <w:lang w:eastAsia="pl-PL"/>
              </w:rPr>
            </w:pPr>
            <w:r w:rsidRPr="00EB1427">
              <w:rPr>
                <w:sz w:val="18"/>
                <w:szCs w:val="18"/>
                <w:lang w:eastAsia="pl-PL"/>
              </w:rPr>
              <w:t>wyższe wykształcenie</w:t>
            </w:r>
          </w:p>
        </w:tc>
        <w:tc>
          <w:tcPr>
            <w:tcW w:w="4536" w:type="dxa"/>
            <w:tcBorders>
              <w:top w:val="single" w:sz="2" w:space="0" w:color="F6BB00"/>
              <w:bottom w:val="single" w:sz="2" w:space="0" w:color="F6BB00"/>
            </w:tcBorders>
          </w:tcPr>
          <w:p w14:paraId="08F0E644" w14:textId="77777777" w:rsidR="002C2855" w:rsidRDefault="002C2855" w:rsidP="00624AA4">
            <w:pPr>
              <w:spacing w:after="0" w:line="240" w:lineRule="auto"/>
              <w:jc w:val="center"/>
              <w:rPr>
                <w:sz w:val="18"/>
                <w:szCs w:val="18"/>
                <w:lang w:eastAsia="pl-PL"/>
              </w:rPr>
            </w:pPr>
            <w:r>
              <w:rPr>
                <w:sz w:val="18"/>
                <w:szCs w:val="18"/>
                <w:lang w:eastAsia="pl-PL"/>
              </w:rPr>
              <w:t>co z płacami i perspektywami rozwojowymi?</w:t>
            </w:r>
          </w:p>
          <w:p w14:paraId="1CBE6B37" w14:textId="77777777" w:rsidR="002C2855" w:rsidRDefault="002C2855" w:rsidP="00624AA4">
            <w:pPr>
              <w:spacing w:after="0" w:line="240" w:lineRule="auto"/>
              <w:jc w:val="center"/>
              <w:rPr>
                <w:sz w:val="18"/>
                <w:szCs w:val="18"/>
                <w:lang w:eastAsia="pl-PL"/>
              </w:rPr>
            </w:pPr>
            <w:r>
              <w:rPr>
                <w:sz w:val="18"/>
                <w:szCs w:val="18"/>
                <w:lang w:eastAsia="pl-PL"/>
              </w:rPr>
              <w:t>czy każda praca daje poczucie wysokiej jakości życia?</w:t>
            </w:r>
          </w:p>
          <w:p w14:paraId="5023CC69" w14:textId="77777777" w:rsidR="002C2855" w:rsidRPr="00EB1427" w:rsidRDefault="002C2855" w:rsidP="00624AA4">
            <w:pPr>
              <w:spacing w:after="0" w:line="240" w:lineRule="auto"/>
              <w:jc w:val="center"/>
              <w:rPr>
                <w:sz w:val="18"/>
                <w:szCs w:val="18"/>
                <w:lang w:eastAsia="pl-PL"/>
              </w:rPr>
            </w:pPr>
            <w:r>
              <w:rPr>
                <w:sz w:val="18"/>
                <w:szCs w:val="18"/>
                <w:lang w:eastAsia="pl-PL"/>
              </w:rPr>
              <w:t>czy wyższe wykształcenie daje podstawy rozwoju jednostki?</w:t>
            </w:r>
          </w:p>
        </w:tc>
      </w:tr>
      <w:tr w:rsidR="002C2855" w:rsidRPr="00EB1427" w14:paraId="7A8DC072" w14:textId="77777777" w:rsidTr="6C72854D">
        <w:tc>
          <w:tcPr>
            <w:tcW w:w="1985" w:type="dxa"/>
            <w:tcBorders>
              <w:top w:val="single" w:sz="2" w:space="0" w:color="F6BB00"/>
              <w:bottom w:val="single" w:sz="2" w:space="0" w:color="F6BB00"/>
            </w:tcBorders>
          </w:tcPr>
          <w:p w14:paraId="404A43A4" w14:textId="77777777" w:rsidR="002C2855" w:rsidRPr="00EB1427" w:rsidRDefault="002C2855" w:rsidP="00624AA4">
            <w:pPr>
              <w:spacing w:after="0" w:line="240" w:lineRule="auto"/>
              <w:rPr>
                <w:sz w:val="18"/>
                <w:szCs w:val="18"/>
                <w:lang w:eastAsia="pl-PL"/>
              </w:rPr>
            </w:pPr>
            <w:r w:rsidRPr="00EB1427">
              <w:rPr>
                <w:sz w:val="18"/>
                <w:szCs w:val="18"/>
                <w:lang w:eastAsia="pl-PL"/>
              </w:rPr>
              <w:t>Rozwój zrównoważony</w:t>
            </w:r>
          </w:p>
        </w:tc>
        <w:tc>
          <w:tcPr>
            <w:tcW w:w="2410" w:type="dxa"/>
            <w:tcBorders>
              <w:top w:val="single" w:sz="2" w:space="0" w:color="F6BB00"/>
              <w:bottom w:val="single" w:sz="2" w:space="0" w:color="F6BB00"/>
            </w:tcBorders>
          </w:tcPr>
          <w:p w14:paraId="7C11CAEF" w14:textId="77777777" w:rsidR="002C2855" w:rsidRPr="00EB1427" w:rsidRDefault="002C2855" w:rsidP="00624AA4">
            <w:pPr>
              <w:spacing w:after="0" w:line="240" w:lineRule="auto"/>
              <w:jc w:val="center"/>
              <w:rPr>
                <w:sz w:val="18"/>
                <w:szCs w:val="18"/>
                <w:lang w:eastAsia="pl-PL"/>
              </w:rPr>
            </w:pPr>
            <w:r>
              <w:rPr>
                <w:sz w:val="18"/>
                <w:szCs w:val="18"/>
                <w:lang w:eastAsia="pl-PL"/>
              </w:rPr>
              <w:t>B</w:t>
            </w:r>
            <w:r w:rsidRPr="00EB1427">
              <w:rPr>
                <w:sz w:val="18"/>
                <w:szCs w:val="18"/>
                <w:lang w:eastAsia="pl-PL"/>
              </w:rPr>
              <w:t>rak</w:t>
            </w:r>
          </w:p>
        </w:tc>
        <w:tc>
          <w:tcPr>
            <w:tcW w:w="4536" w:type="dxa"/>
            <w:tcBorders>
              <w:top w:val="single" w:sz="2" w:space="0" w:color="F6BB00"/>
              <w:bottom w:val="single" w:sz="2" w:space="0" w:color="F6BB00"/>
            </w:tcBorders>
          </w:tcPr>
          <w:p w14:paraId="51A3234A" w14:textId="77777777" w:rsidR="002C2855" w:rsidRPr="00EB1427" w:rsidRDefault="002C2855" w:rsidP="00624AA4">
            <w:pPr>
              <w:spacing w:after="0" w:line="240" w:lineRule="auto"/>
              <w:jc w:val="center"/>
              <w:rPr>
                <w:sz w:val="18"/>
                <w:szCs w:val="18"/>
                <w:lang w:eastAsia="pl-PL"/>
              </w:rPr>
            </w:pPr>
            <w:r>
              <w:rPr>
                <w:sz w:val="18"/>
                <w:szCs w:val="18"/>
                <w:lang w:eastAsia="pl-PL"/>
              </w:rPr>
              <w:t>czy rozwój zrównoważony w sensie SOR (terytorialny), czy w sensie dbania o warunki życia przyszłych pokoleń?</w:t>
            </w:r>
          </w:p>
        </w:tc>
      </w:tr>
    </w:tbl>
    <w:p w14:paraId="2B1CCB34" w14:textId="284AE98E" w:rsidR="002C2855" w:rsidRPr="004D2591" w:rsidRDefault="004D2591" w:rsidP="004D2591">
      <w:pPr>
        <w:rPr>
          <w:sz w:val="14"/>
          <w:lang w:eastAsia="pl-PL"/>
        </w:rPr>
      </w:pPr>
      <w:r w:rsidRPr="00FA3810">
        <w:rPr>
          <w:sz w:val="14"/>
          <w:lang w:eastAsia="pl-PL"/>
        </w:rPr>
        <w:t>Źródł</w:t>
      </w:r>
      <w:r>
        <w:rPr>
          <w:sz w:val="14"/>
          <w:lang w:eastAsia="pl-PL"/>
        </w:rPr>
        <w:t>o: o</w:t>
      </w:r>
      <w:r w:rsidRPr="00FA3810">
        <w:rPr>
          <w:sz w:val="14"/>
          <w:lang w:eastAsia="pl-PL"/>
        </w:rPr>
        <w:t>pracowanie własne</w:t>
      </w:r>
      <w:r>
        <w:rPr>
          <w:sz w:val="14"/>
          <w:lang w:eastAsia="pl-PL"/>
        </w:rPr>
        <w:t>.</w:t>
      </w:r>
    </w:p>
    <w:p w14:paraId="0AAC520D" w14:textId="77777777" w:rsidR="002C2855" w:rsidRPr="00BF08D5" w:rsidRDefault="002C2855" w:rsidP="00BF08D5">
      <w:pPr>
        <w:ind w:left="4536"/>
        <w:jc w:val="left"/>
        <w:rPr>
          <w:b/>
          <w:i/>
          <w:color w:val="001E50"/>
        </w:rPr>
      </w:pPr>
      <w:r w:rsidRPr="00BF08D5">
        <w:rPr>
          <w:b/>
          <w:i/>
          <w:color w:val="001E50"/>
        </w:rPr>
        <w:t>Wskaźniki zawsze budzą emocje, często przesadne…</w:t>
      </w:r>
    </w:p>
    <w:p w14:paraId="0FD46D21" w14:textId="77777777" w:rsidR="006B4E7E" w:rsidRDefault="002C2855" w:rsidP="002C2855">
      <w:pPr>
        <w:spacing w:after="160" w:line="259" w:lineRule="auto"/>
        <w:rPr>
          <w:lang w:eastAsia="pl-PL"/>
        </w:rPr>
      </w:pPr>
      <w:r>
        <w:rPr>
          <w:lang w:eastAsia="pl-PL"/>
        </w:rPr>
        <w:t xml:space="preserve">Powyższe ukazuje, że do zagadnień wskaźnikowania celów trzeba podchodzić z pewnym dystansem nie tylko przy ich doborze, ale także interpretacji. </w:t>
      </w:r>
      <w:r w:rsidRPr="002B1ABB">
        <w:rPr>
          <w:lang w:eastAsia="pl-PL"/>
        </w:rPr>
        <w:t xml:space="preserve">Poniższa ewaluacja wskaźników strategicznych przeprowadzona została z założeniem, że mają one przede wszystkim obrazować </w:t>
      </w:r>
      <w:r>
        <w:rPr>
          <w:lang w:eastAsia="pl-PL"/>
        </w:rPr>
        <w:t xml:space="preserve">w najbardziej zbliżony sposób </w:t>
      </w:r>
      <w:r w:rsidRPr="002B1ABB">
        <w:rPr>
          <w:lang w:eastAsia="pl-PL"/>
        </w:rPr>
        <w:t>zmiany w obszar</w:t>
      </w:r>
      <w:r>
        <w:rPr>
          <w:lang w:eastAsia="pl-PL"/>
        </w:rPr>
        <w:t>ze tematycznym, którego dana interwencja dotyczy. Przy czym należy pamiętać, że wskaźniki kontekstowe mają to do siebie, że obrazują pewne zagadnienia w znacznie szerszej perspektywie (względem interwencji,</w:t>
      </w:r>
      <w:r w:rsidR="006B4E7E">
        <w:rPr>
          <w:lang w:eastAsia="pl-PL"/>
        </w:rPr>
        <w:t xml:space="preserve"> które monitorują).</w:t>
      </w:r>
    </w:p>
    <w:p w14:paraId="636B4B80" w14:textId="4595D11A" w:rsidR="002C2855" w:rsidRDefault="002C2855" w:rsidP="002C2855">
      <w:pPr>
        <w:pStyle w:val="Legenda"/>
      </w:pPr>
      <w:bookmarkStart w:id="201" w:name="_Toc5699553"/>
      <w:r w:rsidRPr="00F236F2">
        <w:rPr>
          <w:color w:val="000000" w:themeColor="text1"/>
        </w:rPr>
        <w:t xml:space="preserve">Tabela </w:t>
      </w:r>
      <w:r w:rsidRPr="1FA2818E">
        <w:fldChar w:fldCharType="begin"/>
      </w:r>
      <w:r w:rsidRPr="00F236F2">
        <w:rPr>
          <w:noProof/>
          <w:color w:val="000000" w:themeColor="text1"/>
        </w:rPr>
        <w:instrText xml:space="preserve"> SEQ Tabela \* ARABIC </w:instrText>
      </w:r>
      <w:r w:rsidRPr="1FA2818E">
        <w:rPr>
          <w:noProof/>
          <w:color w:val="000000" w:themeColor="text1"/>
        </w:rPr>
        <w:fldChar w:fldCharType="separate"/>
      </w:r>
      <w:r w:rsidR="007F4FA2">
        <w:rPr>
          <w:noProof/>
          <w:color w:val="000000" w:themeColor="text1"/>
        </w:rPr>
        <w:t>20</w:t>
      </w:r>
      <w:r w:rsidRPr="1FA2818E">
        <w:fldChar w:fldCharType="end"/>
      </w:r>
      <w:r w:rsidRPr="00F236F2">
        <w:rPr>
          <w:color w:val="000000" w:themeColor="text1"/>
        </w:rPr>
        <w:t>. Ocena wskaźników monitorowania celów strategicznych</w:t>
      </w:r>
      <w:bookmarkEnd w:id="201"/>
    </w:p>
    <w:tbl>
      <w:tblPr>
        <w:tblStyle w:val="Siatkatabelijasna"/>
        <w:tblW w:w="9072" w:type="dxa"/>
        <w:tblBorders>
          <w:top w:val="single" w:sz="4" w:space="0" w:color="FFC000" w:themeColor="accent4"/>
          <w:left w:val="none" w:sz="0" w:space="0" w:color="auto"/>
          <w:bottom w:val="single" w:sz="4" w:space="0" w:color="FFC000" w:themeColor="accent4"/>
          <w:right w:val="none" w:sz="0" w:space="0" w:color="auto"/>
          <w:insideH w:val="single" w:sz="4" w:space="0" w:color="FFC000" w:themeColor="accent4"/>
          <w:insideV w:val="none" w:sz="0" w:space="0" w:color="auto"/>
        </w:tblBorders>
        <w:tblLook w:val="04A0" w:firstRow="1" w:lastRow="0" w:firstColumn="1" w:lastColumn="0" w:noHBand="0" w:noVBand="1"/>
        <w:tblCaption w:val="Tabela 19. Ocena wskaźników monitorowania celów strategicznych "/>
        <w:tblDescription w:val="Tabela przedstawia ocenę wskaźników monitorowania w układzie poszczególnych celów. Wskazano, które cele są odpowiednio monitorowane, a które wymagają modyfikacji w tym zakresie."/>
      </w:tblPr>
      <w:tblGrid>
        <w:gridCol w:w="3402"/>
        <w:gridCol w:w="5670"/>
      </w:tblGrid>
      <w:tr w:rsidR="002C2855" w:rsidRPr="00F236F2" w14:paraId="5E05EF34" w14:textId="77777777" w:rsidTr="6C72854D">
        <w:trPr>
          <w:trHeight w:val="427"/>
          <w:tblHeader/>
        </w:trPr>
        <w:tc>
          <w:tcPr>
            <w:tcW w:w="3402" w:type="dxa"/>
            <w:tcBorders>
              <w:top w:val="nil"/>
              <w:bottom w:val="nil"/>
              <w:right w:val="nil"/>
            </w:tcBorders>
            <w:shd w:val="clear" w:color="auto" w:fill="F6BB00"/>
            <w:vAlign w:val="center"/>
            <w:hideMark/>
          </w:tcPr>
          <w:p w14:paraId="263C5667" w14:textId="77777777" w:rsidR="002C2855" w:rsidRPr="00F236F2" w:rsidRDefault="002C2855" w:rsidP="00624AA4">
            <w:pPr>
              <w:pStyle w:val="Zwykytekst"/>
              <w:jc w:val="center"/>
              <w:rPr>
                <w:rFonts w:asciiTheme="minorHAnsi" w:hAnsiTheme="minorHAnsi" w:cs="Consolas"/>
                <w:b/>
                <w:color w:val="000000" w:themeColor="text1"/>
                <w:sz w:val="18"/>
                <w:szCs w:val="18"/>
              </w:rPr>
            </w:pPr>
            <w:r w:rsidRPr="00F236F2">
              <w:rPr>
                <w:rFonts w:asciiTheme="minorHAnsi" w:hAnsiTheme="minorHAnsi"/>
                <w:b/>
                <w:color w:val="000000" w:themeColor="text1"/>
                <w:sz w:val="18"/>
                <w:szCs w:val="18"/>
              </w:rPr>
              <w:t>Cel strategiczny</w:t>
            </w:r>
          </w:p>
        </w:tc>
        <w:tc>
          <w:tcPr>
            <w:tcW w:w="5670" w:type="dxa"/>
            <w:tcBorders>
              <w:top w:val="nil"/>
              <w:left w:val="nil"/>
              <w:bottom w:val="nil"/>
            </w:tcBorders>
            <w:shd w:val="clear" w:color="auto" w:fill="F6BB00"/>
            <w:vAlign w:val="center"/>
            <w:hideMark/>
          </w:tcPr>
          <w:p w14:paraId="73CB6C48" w14:textId="77777777" w:rsidR="002C2855" w:rsidRPr="00F236F2" w:rsidRDefault="002C2855" w:rsidP="00624AA4">
            <w:pPr>
              <w:pStyle w:val="Zwykytekst"/>
              <w:jc w:val="center"/>
              <w:rPr>
                <w:rFonts w:asciiTheme="minorHAnsi" w:hAnsiTheme="minorHAnsi"/>
                <w:b/>
                <w:color w:val="000000" w:themeColor="text1"/>
                <w:sz w:val="18"/>
                <w:szCs w:val="18"/>
              </w:rPr>
            </w:pPr>
            <w:r w:rsidRPr="00F236F2">
              <w:rPr>
                <w:rFonts w:asciiTheme="minorHAnsi" w:hAnsiTheme="minorHAnsi"/>
                <w:b/>
                <w:color w:val="000000" w:themeColor="text1"/>
                <w:sz w:val="18"/>
                <w:szCs w:val="18"/>
              </w:rPr>
              <w:t>Ocena</w:t>
            </w:r>
          </w:p>
        </w:tc>
      </w:tr>
      <w:tr w:rsidR="002C2855" w:rsidRPr="00F236F2" w14:paraId="50874086" w14:textId="77777777" w:rsidTr="6C72854D">
        <w:trPr>
          <w:trHeight w:val="490"/>
        </w:trPr>
        <w:tc>
          <w:tcPr>
            <w:tcW w:w="3402" w:type="dxa"/>
            <w:tcBorders>
              <w:top w:val="nil"/>
              <w:right w:val="nil"/>
            </w:tcBorders>
            <w:vAlign w:val="center"/>
            <w:hideMark/>
          </w:tcPr>
          <w:p w14:paraId="24B69135" w14:textId="77777777" w:rsidR="002C2855" w:rsidRPr="00F236F2" w:rsidRDefault="002C2855" w:rsidP="00624AA4">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t>1.Poprawa dostępności i spójności komunikacyjnej regionu</w:t>
            </w:r>
          </w:p>
        </w:tc>
        <w:tc>
          <w:tcPr>
            <w:tcW w:w="5670" w:type="dxa"/>
            <w:tcBorders>
              <w:top w:val="nil"/>
              <w:left w:val="nil"/>
            </w:tcBorders>
            <w:vAlign w:val="center"/>
          </w:tcPr>
          <w:p w14:paraId="0AED66A3" w14:textId="4EFF84B3" w:rsidR="002C2855" w:rsidRPr="00F236F2" w:rsidRDefault="002C2855" w:rsidP="000114F2">
            <w:pPr>
              <w:pStyle w:val="Zwykytekst"/>
              <w:rPr>
                <w:rFonts w:asciiTheme="minorHAnsi" w:hAnsiTheme="minorHAnsi" w:cs="Consolas"/>
                <w:color w:val="000000" w:themeColor="text1"/>
                <w:sz w:val="18"/>
                <w:szCs w:val="18"/>
              </w:rPr>
            </w:pPr>
            <w:r w:rsidRPr="00F236F2">
              <w:rPr>
                <w:rFonts w:asciiTheme="minorHAnsi" w:hAnsiTheme="minorHAnsi" w:cs="Consolas"/>
                <w:color w:val="000000" w:themeColor="text1"/>
                <w:sz w:val="18"/>
                <w:szCs w:val="18"/>
              </w:rPr>
              <w:t xml:space="preserve">Wskaźniki odpowiednie – sugerowane uzupełnienia - </w:t>
            </w:r>
            <w:r w:rsidRPr="001A5FE3">
              <w:rPr>
                <w:rFonts w:asciiTheme="minorHAnsi" w:hAnsiTheme="minorHAnsi" w:cs="Consolas"/>
                <w:color w:val="000000" w:themeColor="text1"/>
                <w:sz w:val="18"/>
                <w:szCs w:val="18"/>
              </w:rPr>
              <w:fldChar w:fldCharType="begin"/>
            </w:r>
            <w:r w:rsidRPr="001A5FE3">
              <w:rPr>
                <w:rFonts w:asciiTheme="minorHAnsi" w:hAnsiTheme="minorHAnsi" w:cs="Consolas"/>
                <w:color w:val="000000" w:themeColor="text1"/>
                <w:sz w:val="18"/>
                <w:szCs w:val="18"/>
              </w:rPr>
              <w:instrText xml:space="preserve"> REF _Ref536616795 \h  \* MERGEFORMAT </w:instrText>
            </w:r>
            <w:r w:rsidRPr="001A5FE3">
              <w:rPr>
                <w:rFonts w:asciiTheme="minorHAnsi" w:hAnsiTheme="minorHAnsi" w:cs="Consolas"/>
                <w:color w:val="000000" w:themeColor="text1"/>
                <w:sz w:val="18"/>
                <w:szCs w:val="18"/>
              </w:rPr>
            </w:r>
            <w:r w:rsidRPr="001A5FE3">
              <w:rPr>
                <w:rFonts w:asciiTheme="minorHAnsi" w:hAnsiTheme="minorHAnsi" w:cs="Consolas"/>
                <w:color w:val="000000" w:themeColor="text1"/>
                <w:sz w:val="18"/>
                <w:szCs w:val="18"/>
              </w:rPr>
              <w:fldChar w:fldCharType="separate"/>
            </w:r>
            <w:r w:rsidR="007F4FA2" w:rsidRPr="007F4FA2">
              <w:rPr>
                <w:color w:val="000000" w:themeColor="text1"/>
                <w:sz w:val="18"/>
                <w:szCs w:val="18"/>
              </w:rPr>
              <w:t>Tabela 22</w:t>
            </w:r>
            <w:r w:rsidRPr="001A5FE3">
              <w:rPr>
                <w:rFonts w:asciiTheme="minorHAnsi" w:hAnsiTheme="minorHAnsi" w:cs="Consolas"/>
                <w:color w:val="000000" w:themeColor="text1"/>
                <w:sz w:val="18"/>
                <w:szCs w:val="18"/>
              </w:rPr>
              <w:fldChar w:fldCharType="end"/>
            </w:r>
          </w:p>
        </w:tc>
      </w:tr>
      <w:tr w:rsidR="002C2855" w:rsidRPr="00F236F2" w14:paraId="5E20FD64" w14:textId="77777777" w:rsidTr="6C72854D">
        <w:trPr>
          <w:trHeight w:val="412"/>
        </w:trPr>
        <w:tc>
          <w:tcPr>
            <w:tcW w:w="3402" w:type="dxa"/>
            <w:tcBorders>
              <w:right w:val="nil"/>
            </w:tcBorders>
            <w:vAlign w:val="center"/>
          </w:tcPr>
          <w:p w14:paraId="6FC32F31" w14:textId="77777777" w:rsidR="002C2855" w:rsidRPr="00F236F2" w:rsidRDefault="002C2855" w:rsidP="00624AA4">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t>2.Poprawa stanu środowiska i racjonalne gospodarowanie jego zasobami</w:t>
            </w:r>
          </w:p>
        </w:tc>
        <w:tc>
          <w:tcPr>
            <w:tcW w:w="5670" w:type="dxa"/>
            <w:tcBorders>
              <w:left w:val="nil"/>
              <w:bottom w:val="single" w:sz="4" w:space="0" w:color="FFC000" w:themeColor="accent4"/>
            </w:tcBorders>
            <w:vAlign w:val="center"/>
          </w:tcPr>
          <w:p w14:paraId="2DF654D3" w14:textId="77777777" w:rsidR="002C2855" w:rsidRPr="00F236F2" w:rsidRDefault="002C2855" w:rsidP="000114F2">
            <w:pPr>
              <w:pStyle w:val="Zwykytekst"/>
              <w:rPr>
                <w:rFonts w:asciiTheme="minorHAnsi" w:hAnsiTheme="minorHAnsi" w:cs="Consolas"/>
                <w:color w:val="000000" w:themeColor="text1"/>
                <w:sz w:val="18"/>
                <w:szCs w:val="18"/>
              </w:rPr>
            </w:pPr>
            <w:r w:rsidRPr="00F236F2">
              <w:rPr>
                <w:rFonts w:asciiTheme="minorHAnsi" w:hAnsiTheme="minorHAnsi" w:cs="Consolas"/>
                <w:color w:val="000000" w:themeColor="text1"/>
                <w:sz w:val="18"/>
                <w:szCs w:val="18"/>
              </w:rPr>
              <w:t xml:space="preserve">Wskaźniki odpowiednie </w:t>
            </w:r>
          </w:p>
        </w:tc>
      </w:tr>
      <w:tr w:rsidR="002C2855" w:rsidRPr="00F236F2" w14:paraId="1D825C7F" w14:textId="77777777" w:rsidTr="6C72854D">
        <w:trPr>
          <w:trHeight w:val="329"/>
        </w:trPr>
        <w:tc>
          <w:tcPr>
            <w:tcW w:w="3402" w:type="dxa"/>
            <w:tcBorders>
              <w:right w:val="nil"/>
            </w:tcBorders>
            <w:vAlign w:val="center"/>
          </w:tcPr>
          <w:p w14:paraId="32A5BDE5" w14:textId="77777777" w:rsidR="002C2855" w:rsidRPr="00F236F2" w:rsidRDefault="002C2855" w:rsidP="00624AA4">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t>3. Lepsze zarządzanie energią</w:t>
            </w:r>
          </w:p>
        </w:tc>
        <w:tc>
          <w:tcPr>
            <w:tcW w:w="5670" w:type="dxa"/>
            <w:tcBorders>
              <w:left w:val="nil"/>
            </w:tcBorders>
            <w:vAlign w:val="center"/>
          </w:tcPr>
          <w:p w14:paraId="1B72C87E" w14:textId="77777777" w:rsidR="002C2855" w:rsidRPr="00F236F2" w:rsidRDefault="002C2855" w:rsidP="000114F2">
            <w:pPr>
              <w:pStyle w:val="Zwykytekst"/>
              <w:rPr>
                <w:rFonts w:asciiTheme="minorHAnsi" w:hAnsiTheme="minorHAnsi" w:cs="Consolas"/>
                <w:color w:val="000000" w:themeColor="text1"/>
                <w:sz w:val="18"/>
                <w:szCs w:val="18"/>
              </w:rPr>
            </w:pPr>
            <w:r w:rsidRPr="00F236F2">
              <w:rPr>
                <w:rFonts w:asciiTheme="minorHAnsi" w:hAnsiTheme="minorHAnsi" w:cs="Consolas"/>
                <w:color w:val="000000" w:themeColor="text1"/>
                <w:sz w:val="18"/>
                <w:szCs w:val="18"/>
              </w:rPr>
              <w:t>Wskaźniki odpowiednie</w:t>
            </w:r>
          </w:p>
        </w:tc>
      </w:tr>
      <w:tr w:rsidR="002C2855" w:rsidRPr="00F236F2" w14:paraId="04A11268" w14:textId="77777777" w:rsidTr="6C72854D">
        <w:trPr>
          <w:trHeight w:val="563"/>
        </w:trPr>
        <w:tc>
          <w:tcPr>
            <w:tcW w:w="3402" w:type="dxa"/>
            <w:tcBorders>
              <w:right w:val="nil"/>
            </w:tcBorders>
            <w:vAlign w:val="center"/>
            <w:hideMark/>
          </w:tcPr>
          <w:p w14:paraId="2D233BFF" w14:textId="77777777" w:rsidR="002C2855" w:rsidRPr="00F236F2" w:rsidRDefault="002C2855" w:rsidP="00624AA4">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t>4. Zwiększanie konkurencyjności metropolii poznańskiej i innych ośrodków wzrostu w województwie.</w:t>
            </w:r>
          </w:p>
        </w:tc>
        <w:tc>
          <w:tcPr>
            <w:tcW w:w="5670" w:type="dxa"/>
            <w:tcBorders>
              <w:left w:val="nil"/>
            </w:tcBorders>
            <w:vAlign w:val="center"/>
          </w:tcPr>
          <w:p w14:paraId="3BC16088" w14:textId="77777777" w:rsidR="002C2855" w:rsidRPr="00F236F2" w:rsidRDefault="002C2855" w:rsidP="000114F2">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t xml:space="preserve">Brakuje wskaźników obrazujących zmiany społeczne i w dostępie do usług publicznych. </w:t>
            </w:r>
          </w:p>
        </w:tc>
      </w:tr>
      <w:tr w:rsidR="002C2855" w:rsidRPr="00F236F2" w14:paraId="2E5C03E8" w14:textId="77777777" w:rsidTr="6C72854D">
        <w:trPr>
          <w:trHeight w:val="318"/>
        </w:trPr>
        <w:tc>
          <w:tcPr>
            <w:tcW w:w="3402" w:type="dxa"/>
            <w:tcBorders>
              <w:right w:val="nil"/>
            </w:tcBorders>
            <w:vAlign w:val="center"/>
            <w:hideMark/>
          </w:tcPr>
          <w:p w14:paraId="324BE0D2" w14:textId="77777777" w:rsidR="002C2855" w:rsidRPr="00F236F2" w:rsidRDefault="002C2855" w:rsidP="00624AA4">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t xml:space="preserve">5.Zwiększenie spójności województwa </w:t>
            </w:r>
          </w:p>
        </w:tc>
        <w:tc>
          <w:tcPr>
            <w:tcW w:w="5670" w:type="dxa"/>
            <w:tcBorders>
              <w:left w:val="nil"/>
            </w:tcBorders>
            <w:vAlign w:val="center"/>
          </w:tcPr>
          <w:p w14:paraId="23FCA53E" w14:textId="4F92A89C" w:rsidR="002C2855" w:rsidRPr="00F236F2" w:rsidRDefault="002C2855" w:rsidP="000114F2">
            <w:pPr>
              <w:autoSpaceDE w:val="0"/>
              <w:autoSpaceDN w:val="0"/>
              <w:adjustRightInd w:val="0"/>
              <w:spacing w:after="0"/>
              <w:jc w:val="left"/>
              <w:rPr>
                <w:rFonts w:cs="Arial"/>
                <w:sz w:val="18"/>
                <w:szCs w:val="18"/>
              </w:rPr>
            </w:pPr>
            <w:r w:rsidRPr="00F236F2">
              <w:rPr>
                <w:rFonts w:asciiTheme="minorHAnsi" w:hAnsiTheme="minorHAnsi" w:cs="Consolas"/>
                <w:sz w:val="18"/>
                <w:szCs w:val="18"/>
              </w:rPr>
              <w:t xml:space="preserve">Wskaźniki odpowiednie – sugerowane uzupełnienia - </w:t>
            </w:r>
            <w:r w:rsidRPr="001A5FE3">
              <w:rPr>
                <w:rFonts w:asciiTheme="minorHAnsi" w:hAnsiTheme="minorHAnsi" w:cs="Consolas"/>
                <w:sz w:val="18"/>
                <w:szCs w:val="18"/>
                <w:highlight w:val="yellow"/>
              </w:rPr>
              <w:fldChar w:fldCharType="begin"/>
            </w:r>
            <w:r w:rsidRPr="001A5FE3">
              <w:rPr>
                <w:rFonts w:asciiTheme="minorHAnsi" w:hAnsiTheme="minorHAnsi" w:cs="Consolas"/>
                <w:sz w:val="18"/>
                <w:szCs w:val="18"/>
              </w:rPr>
              <w:instrText xml:space="preserve"> REF _Ref536616795 \h </w:instrText>
            </w:r>
            <w:r w:rsidRPr="001A5FE3">
              <w:rPr>
                <w:rFonts w:asciiTheme="minorHAnsi" w:hAnsiTheme="minorHAnsi" w:cs="Consolas"/>
                <w:sz w:val="18"/>
                <w:szCs w:val="18"/>
                <w:highlight w:val="yellow"/>
              </w:rPr>
              <w:instrText xml:space="preserve"> \* MERGEFORMAT </w:instrText>
            </w:r>
            <w:r w:rsidRPr="001A5FE3">
              <w:rPr>
                <w:rFonts w:asciiTheme="minorHAnsi" w:hAnsiTheme="minorHAnsi" w:cs="Consolas"/>
                <w:sz w:val="18"/>
                <w:szCs w:val="18"/>
                <w:highlight w:val="yellow"/>
              </w:rPr>
            </w:r>
            <w:r w:rsidRPr="001A5FE3">
              <w:rPr>
                <w:rFonts w:asciiTheme="minorHAnsi" w:hAnsiTheme="minorHAnsi" w:cs="Consolas"/>
                <w:sz w:val="18"/>
                <w:szCs w:val="18"/>
                <w:highlight w:val="yellow"/>
              </w:rPr>
              <w:fldChar w:fldCharType="separate"/>
            </w:r>
            <w:r w:rsidR="007F4FA2" w:rsidRPr="007F4FA2">
              <w:rPr>
                <w:sz w:val="18"/>
                <w:szCs w:val="18"/>
              </w:rPr>
              <w:t>Tabela 22</w:t>
            </w:r>
            <w:r w:rsidRPr="001A5FE3">
              <w:rPr>
                <w:rFonts w:asciiTheme="minorHAnsi" w:hAnsiTheme="minorHAnsi" w:cs="Consolas"/>
                <w:sz w:val="18"/>
                <w:szCs w:val="18"/>
                <w:highlight w:val="yellow"/>
              </w:rPr>
              <w:fldChar w:fldCharType="end"/>
            </w:r>
          </w:p>
        </w:tc>
      </w:tr>
      <w:tr w:rsidR="002C2855" w:rsidRPr="00F236F2" w14:paraId="0FD625A7" w14:textId="77777777" w:rsidTr="6C72854D">
        <w:trPr>
          <w:trHeight w:val="269"/>
        </w:trPr>
        <w:tc>
          <w:tcPr>
            <w:tcW w:w="3402" w:type="dxa"/>
            <w:vMerge w:val="restart"/>
            <w:tcBorders>
              <w:right w:val="nil"/>
            </w:tcBorders>
            <w:vAlign w:val="center"/>
            <w:hideMark/>
          </w:tcPr>
          <w:p w14:paraId="1B0EA098" w14:textId="77777777" w:rsidR="002C2855" w:rsidRPr="00F236F2" w:rsidRDefault="002C2855" w:rsidP="00624AA4">
            <w:pPr>
              <w:pStyle w:val="Zwykytekst"/>
              <w:rPr>
                <w:rFonts w:asciiTheme="minorHAnsi" w:hAnsiTheme="minorHAnsi" w:cs="Consolas"/>
                <w:color w:val="000000" w:themeColor="text1"/>
                <w:sz w:val="18"/>
                <w:szCs w:val="18"/>
              </w:rPr>
            </w:pPr>
            <w:r w:rsidRPr="00F236F2">
              <w:rPr>
                <w:rFonts w:asciiTheme="minorHAnsi" w:hAnsiTheme="minorHAnsi"/>
                <w:color w:val="000000" w:themeColor="text1"/>
                <w:sz w:val="18"/>
                <w:szCs w:val="18"/>
              </w:rPr>
              <w:t>6.Wzmocnienie potencjału gospodarczego regionu</w:t>
            </w:r>
          </w:p>
        </w:tc>
        <w:tc>
          <w:tcPr>
            <w:tcW w:w="5670" w:type="dxa"/>
            <w:vMerge w:val="restart"/>
            <w:tcBorders>
              <w:left w:val="nil"/>
            </w:tcBorders>
            <w:vAlign w:val="center"/>
          </w:tcPr>
          <w:p w14:paraId="1B339B5F" w14:textId="77777777" w:rsidR="002C2855" w:rsidRPr="00F236F2" w:rsidRDefault="002C2855" w:rsidP="000114F2">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t>Brakuje wskaźników przedstawiających</w:t>
            </w:r>
            <w:r w:rsidR="000114F2">
              <w:rPr>
                <w:rFonts w:asciiTheme="minorHAnsi" w:hAnsiTheme="minorHAnsi"/>
                <w:color w:val="000000" w:themeColor="text1"/>
                <w:sz w:val="18"/>
                <w:szCs w:val="18"/>
              </w:rPr>
              <w:t xml:space="preserve"> potencjał jednostek naukowych.</w:t>
            </w:r>
          </w:p>
          <w:p w14:paraId="25DC4F2D" w14:textId="77777777" w:rsidR="002C2855" w:rsidRPr="00F236F2" w:rsidRDefault="002C2855" w:rsidP="000114F2">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t>Przy aktualizacji SRWW 2020 należałoby także uwzględnić monitoring inteligentnych specjalizacji.</w:t>
            </w:r>
          </w:p>
        </w:tc>
      </w:tr>
      <w:tr w:rsidR="002C2855" w:rsidRPr="00F236F2" w14:paraId="54513DF3" w14:textId="77777777" w:rsidTr="6C72854D">
        <w:trPr>
          <w:trHeight w:val="568"/>
        </w:trPr>
        <w:tc>
          <w:tcPr>
            <w:tcW w:w="3402" w:type="dxa"/>
            <w:vMerge/>
            <w:vAlign w:val="center"/>
            <w:hideMark/>
          </w:tcPr>
          <w:p w14:paraId="256F22E7" w14:textId="77777777" w:rsidR="002C2855" w:rsidRPr="00F236F2" w:rsidRDefault="002C2855" w:rsidP="00624AA4">
            <w:pPr>
              <w:rPr>
                <w:rFonts w:cs="Consolas"/>
                <w:sz w:val="18"/>
                <w:szCs w:val="18"/>
              </w:rPr>
            </w:pPr>
          </w:p>
        </w:tc>
        <w:tc>
          <w:tcPr>
            <w:tcW w:w="5670" w:type="dxa"/>
            <w:vMerge/>
            <w:vAlign w:val="center"/>
          </w:tcPr>
          <w:p w14:paraId="339ACA57" w14:textId="77777777" w:rsidR="002C2855" w:rsidRPr="00F236F2" w:rsidRDefault="002C2855" w:rsidP="000114F2">
            <w:pPr>
              <w:jc w:val="left"/>
              <w:rPr>
                <w:rFonts w:cs="Consolas"/>
                <w:sz w:val="18"/>
                <w:szCs w:val="18"/>
              </w:rPr>
            </w:pPr>
          </w:p>
        </w:tc>
      </w:tr>
      <w:tr w:rsidR="002C2855" w:rsidRPr="00F236F2" w14:paraId="452B528D" w14:textId="77777777" w:rsidTr="6C72854D">
        <w:tc>
          <w:tcPr>
            <w:tcW w:w="3402" w:type="dxa"/>
            <w:tcBorders>
              <w:right w:val="nil"/>
            </w:tcBorders>
            <w:vAlign w:val="center"/>
            <w:hideMark/>
          </w:tcPr>
          <w:p w14:paraId="4BC28505" w14:textId="77777777" w:rsidR="002C2855" w:rsidRPr="00F236F2" w:rsidRDefault="002C2855" w:rsidP="00624AA4">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t>7. Wzrost kompetencji mieszkańców i zatrudnienia</w:t>
            </w:r>
          </w:p>
        </w:tc>
        <w:tc>
          <w:tcPr>
            <w:tcW w:w="5670" w:type="dxa"/>
            <w:tcBorders>
              <w:left w:val="nil"/>
            </w:tcBorders>
            <w:vAlign w:val="center"/>
          </w:tcPr>
          <w:p w14:paraId="0075E052" w14:textId="653D91DA" w:rsidR="002C2855" w:rsidRPr="00F236F2" w:rsidRDefault="002C2855" w:rsidP="000114F2">
            <w:pPr>
              <w:pStyle w:val="Zwykytekst"/>
              <w:rPr>
                <w:rFonts w:asciiTheme="minorHAnsi" w:hAnsiTheme="minorHAnsi" w:cs="Consolas"/>
                <w:color w:val="000000" w:themeColor="text1"/>
                <w:sz w:val="18"/>
                <w:szCs w:val="18"/>
              </w:rPr>
            </w:pPr>
            <w:r w:rsidRPr="00F236F2">
              <w:rPr>
                <w:rFonts w:asciiTheme="minorHAnsi" w:hAnsiTheme="minorHAnsi" w:cs="Consolas"/>
                <w:color w:val="000000" w:themeColor="text1"/>
                <w:sz w:val="18"/>
                <w:szCs w:val="18"/>
              </w:rPr>
              <w:t>Brakuje wskaźnika, który obrazowałby zmiany w zakresie szkolnictwa zawodowego i technicznego (szczególnie dopasowanie kierunków kształcenia do potrzeb rynku pracy</w:t>
            </w:r>
            <w:r w:rsidR="56862DA9" w:rsidRPr="56862DA9">
              <w:rPr>
                <w:rFonts w:asciiTheme="minorHAnsi" w:hAnsiTheme="minorHAnsi" w:cs="Consolas"/>
                <w:color w:val="000000" w:themeColor="text1"/>
                <w:sz w:val="18"/>
                <w:szCs w:val="18"/>
              </w:rPr>
              <w:t>) –</w:t>
            </w:r>
            <w:r w:rsidRPr="00F236F2">
              <w:rPr>
                <w:rFonts w:asciiTheme="minorHAnsi" w:hAnsiTheme="minorHAnsi" w:cs="Consolas"/>
                <w:color w:val="000000" w:themeColor="text1"/>
                <w:sz w:val="18"/>
                <w:szCs w:val="18"/>
              </w:rPr>
              <w:t xml:space="preserve"> obserwując sytuację na rynku pracy w Wielkopolsce ten poziom edukacji jest bardzo istotny.</w:t>
            </w:r>
          </w:p>
        </w:tc>
      </w:tr>
      <w:tr w:rsidR="002C2855" w:rsidRPr="00F236F2" w14:paraId="4A062D25" w14:textId="77777777" w:rsidTr="6C72854D">
        <w:tc>
          <w:tcPr>
            <w:tcW w:w="3402" w:type="dxa"/>
            <w:tcBorders>
              <w:right w:val="nil"/>
            </w:tcBorders>
            <w:vAlign w:val="center"/>
            <w:hideMark/>
          </w:tcPr>
          <w:p w14:paraId="2A0ABDDF" w14:textId="77777777" w:rsidR="002C2855" w:rsidRPr="00F236F2" w:rsidRDefault="002C2855" w:rsidP="00624AA4">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t xml:space="preserve">8. Zwiększanie zasobów oraz wyrównywanie potencjałów społecznych województwa </w:t>
            </w:r>
          </w:p>
        </w:tc>
        <w:tc>
          <w:tcPr>
            <w:tcW w:w="5670" w:type="dxa"/>
            <w:tcBorders>
              <w:left w:val="nil"/>
            </w:tcBorders>
            <w:vAlign w:val="center"/>
          </w:tcPr>
          <w:p w14:paraId="7922E05C" w14:textId="77777777" w:rsidR="002C2855" w:rsidRPr="00F236F2" w:rsidRDefault="002C2855" w:rsidP="000114F2">
            <w:pPr>
              <w:pStyle w:val="Zwykytekst"/>
              <w:rPr>
                <w:rFonts w:asciiTheme="minorHAnsi" w:hAnsiTheme="minorHAnsi" w:cs="Consolas"/>
                <w:color w:val="000000" w:themeColor="text1"/>
                <w:sz w:val="18"/>
                <w:szCs w:val="18"/>
              </w:rPr>
            </w:pPr>
            <w:r w:rsidRPr="00F236F2">
              <w:rPr>
                <w:rFonts w:asciiTheme="minorHAnsi" w:hAnsiTheme="minorHAnsi" w:cs="Consolas"/>
                <w:color w:val="000000" w:themeColor="text1"/>
                <w:sz w:val="18"/>
                <w:szCs w:val="18"/>
              </w:rPr>
              <w:t>Brakuje wskaźnika, który obrazowałby aktywność społeczną mieszkańców.</w:t>
            </w:r>
          </w:p>
        </w:tc>
      </w:tr>
      <w:tr w:rsidR="002C2855" w:rsidRPr="00F236F2" w14:paraId="4C3BD525" w14:textId="77777777" w:rsidTr="6C72854D">
        <w:tc>
          <w:tcPr>
            <w:tcW w:w="3402" w:type="dxa"/>
            <w:tcBorders>
              <w:right w:val="nil"/>
            </w:tcBorders>
            <w:vAlign w:val="center"/>
            <w:hideMark/>
          </w:tcPr>
          <w:p w14:paraId="69FECADE" w14:textId="77777777" w:rsidR="002C2855" w:rsidRPr="00F236F2" w:rsidRDefault="002C2855" w:rsidP="00624AA4">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lastRenderedPageBreak/>
              <w:t>9. Wzrost bezpieczeństwa i sprawności zarzadzania regionem</w:t>
            </w:r>
          </w:p>
        </w:tc>
        <w:tc>
          <w:tcPr>
            <w:tcW w:w="5670" w:type="dxa"/>
            <w:tcBorders>
              <w:left w:val="nil"/>
            </w:tcBorders>
            <w:vAlign w:val="center"/>
          </w:tcPr>
          <w:p w14:paraId="6EB98C19" w14:textId="3621CBB2" w:rsidR="002C2855" w:rsidRPr="00F236F2" w:rsidRDefault="002C2855" w:rsidP="000114F2">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t>Wskaźnik frekwencji w wyborach jako efekt sprawności zarządzania regionem – można doszukać się takiego powiązania, ale obrazuje on raczej rozwó</w:t>
            </w:r>
            <w:r w:rsidR="000114F2">
              <w:rPr>
                <w:rFonts w:asciiTheme="minorHAnsi" w:hAnsiTheme="minorHAnsi"/>
                <w:color w:val="000000" w:themeColor="text1"/>
                <w:sz w:val="18"/>
                <w:szCs w:val="18"/>
              </w:rPr>
              <w:t>j społeczeństwa obywatelskiego.</w:t>
            </w:r>
          </w:p>
          <w:p w14:paraId="5F409909" w14:textId="5ED320AC" w:rsidR="002C2855" w:rsidRPr="00F236F2" w:rsidRDefault="002C2855" w:rsidP="000114F2">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t xml:space="preserve">Przy celu 9 wskaźniki w małym stopniu powiązane są z wyznaczonymi celami (jednak w statystyce publicznej ciężko znaleźć miary dobrze obrazujące zmiany w tym zakresie). Brakuje m.in. wskaźnika obrazującego napływ inwestorów, efekty współpracy terytorialnej, czy działań promocyjnych samorządu. Sugerowane uzupełnienia </w:t>
            </w:r>
            <w:r w:rsidRPr="001A5FE3">
              <w:rPr>
                <w:rFonts w:asciiTheme="minorHAnsi" w:hAnsiTheme="minorHAnsi"/>
                <w:color w:val="000000" w:themeColor="text1"/>
                <w:sz w:val="18"/>
                <w:szCs w:val="18"/>
              </w:rPr>
              <w:t xml:space="preserve">- </w:t>
            </w:r>
            <w:r w:rsidRPr="001A5FE3">
              <w:rPr>
                <w:rFonts w:asciiTheme="minorHAnsi" w:hAnsiTheme="minorHAnsi"/>
                <w:color w:val="000000" w:themeColor="text1"/>
                <w:sz w:val="18"/>
                <w:szCs w:val="18"/>
                <w:highlight w:val="yellow"/>
              </w:rPr>
              <w:fldChar w:fldCharType="begin"/>
            </w:r>
            <w:r w:rsidRPr="001A5FE3">
              <w:rPr>
                <w:rFonts w:asciiTheme="minorHAnsi" w:hAnsiTheme="minorHAnsi"/>
                <w:color w:val="000000" w:themeColor="text1"/>
                <w:sz w:val="18"/>
                <w:szCs w:val="18"/>
              </w:rPr>
              <w:instrText xml:space="preserve"> REF _Ref536616795 \h </w:instrText>
            </w:r>
            <w:r w:rsidRPr="001A5FE3">
              <w:rPr>
                <w:rFonts w:asciiTheme="minorHAnsi" w:hAnsiTheme="minorHAnsi"/>
                <w:color w:val="000000" w:themeColor="text1"/>
                <w:sz w:val="18"/>
                <w:szCs w:val="18"/>
                <w:highlight w:val="yellow"/>
              </w:rPr>
              <w:instrText xml:space="preserve"> \* MERGEFORMAT </w:instrText>
            </w:r>
            <w:r w:rsidRPr="001A5FE3">
              <w:rPr>
                <w:rFonts w:asciiTheme="minorHAnsi" w:hAnsiTheme="minorHAnsi"/>
                <w:color w:val="000000" w:themeColor="text1"/>
                <w:sz w:val="18"/>
                <w:szCs w:val="18"/>
                <w:highlight w:val="yellow"/>
              </w:rPr>
            </w:r>
            <w:r w:rsidRPr="001A5FE3">
              <w:rPr>
                <w:rFonts w:asciiTheme="minorHAnsi" w:hAnsiTheme="minorHAnsi"/>
                <w:color w:val="000000" w:themeColor="text1"/>
                <w:sz w:val="18"/>
                <w:szCs w:val="18"/>
                <w:highlight w:val="yellow"/>
              </w:rPr>
              <w:fldChar w:fldCharType="separate"/>
            </w:r>
            <w:r w:rsidR="007F4FA2" w:rsidRPr="007F4FA2">
              <w:rPr>
                <w:color w:val="000000" w:themeColor="text1"/>
                <w:sz w:val="18"/>
                <w:szCs w:val="18"/>
              </w:rPr>
              <w:t>Tabela 22</w:t>
            </w:r>
            <w:r w:rsidRPr="001A5FE3">
              <w:rPr>
                <w:rFonts w:asciiTheme="minorHAnsi" w:hAnsiTheme="minorHAnsi"/>
                <w:color w:val="000000" w:themeColor="text1"/>
                <w:sz w:val="18"/>
                <w:szCs w:val="18"/>
                <w:highlight w:val="yellow"/>
              </w:rPr>
              <w:fldChar w:fldCharType="end"/>
            </w:r>
          </w:p>
        </w:tc>
      </w:tr>
    </w:tbl>
    <w:p w14:paraId="2E6CD558" w14:textId="77777777" w:rsidR="002C2855" w:rsidRPr="00FA3810" w:rsidRDefault="002C2855" w:rsidP="002C2855">
      <w:pPr>
        <w:rPr>
          <w:sz w:val="14"/>
          <w:lang w:eastAsia="pl-PL"/>
        </w:rPr>
      </w:pPr>
      <w:r w:rsidRPr="00FA3810">
        <w:rPr>
          <w:sz w:val="14"/>
          <w:lang w:eastAsia="pl-PL"/>
        </w:rPr>
        <w:t>Źródł</w:t>
      </w:r>
      <w:r w:rsidR="006B4E7E">
        <w:rPr>
          <w:sz w:val="14"/>
          <w:lang w:eastAsia="pl-PL"/>
        </w:rPr>
        <w:t>o: o</w:t>
      </w:r>
      <w:r w:rsidRPr="00FA3810">
        <w:rPr>
          <w:sz w:val="14"/>
          <w:lang w:eastAsia="pl-PL"/>
        </w:rPr>
        <w:t>pracowanie własne</w:t>
      </w:r>
      <w:r w:rsidR="006B4E7E">
        <w:rPr>
          <w:sz w:val="14"/>
          <w:lang w:eastAsia="pl-PL"/>
        </w:rPr>
        <w:t>.</w:t>
      </w:r>
    </w:p>
    <w:p w14:paraId="20414FD6" w14:textId="77777777" w:rsidR="002C2855" w:rsidRDefault="002C2855" w:rsidP="00624AA4">
      <w:pPr>
        <w:pStyle w:val="Nagwek3"/>
      </w:pPr>
      <w:bookmarkStart w:id="202" w:name="_Toc536653117"/>
      <w:bookmarkStart w:id="203" w:name="_Toc1904789"/>
      <w:bookmarkStart w:id="204" w:name="_Toc5699484"/>
      <w:r>
        <w:t>Obszary tematyczne bez wskaźników</w:t>
      </w:r>
      <w:bookmarkEnd w:id="202"/>
      <w:bookmarkEnd w:id="203"/>
      <w:bookmarkEnd w:id="204"/>
    </w:p>
    <w:p w14:paraId="04A0876F" w14:textId="1491E1D1" w:rsidR="002C2855" w:rsidRDefault="00124395" w:rsidP="002C2855">
      <w:pPr>
        <w:spacing w:after="160" w:line="259" w:lineRule="auto"/>
        <w:rPr>
          <w:szCs w:val="22"/>
          <w:lang w:eastAsia="pl-PL"/>
        </w:rPr>
      </w:pPr>
      <w:r>
        <w:rPr>
          <w:szCs w:val="22"/>
          <w:lang w:eastAsia="pl-PL"/>
        </w:rPr>
        <w:t>W SRWW 2020 są cele operacyjne, których realizacja ma niewielki bądź też niezwykle ciężki do uchwycenia wpływ na zmiany wyznaczonych wskaźników monitoringowych (</w:t>
      </w:r>
      <w:r w:rsidR="006D6B86">
        <w:rPr>
          <w:szCs w:val="22"/>
          <w:lang w:eastAsia="pl-PL"/>
        </w:rPr>
        <w:fldChar w:fldCharType="begin"/>
      </w:r>
      <w:r w:rsidR="006D6B86">
        <w:rPr>
          <w:szCs w:val="22"/>
          <w:lang w:eastAsia="pl-PL"/>
        </w:rPr>
        <w:instrText xml:space="preserve"> REF _Ref5175564 \h </w:instrText>
      </w:r>
      <w:r w:rsidR="006D6B86">
        <w:rPr>
          <w:szCs w:val="22"/>
          <w:lang w:eastAsia="pl-PL"/>
        </w:rPr>
      </w:r>
      <w:r w:rsidR="006D6B86">
        <w:rPr>
          <w:szCs w:val="22"/>
          <w:lang w:eastAsia="pl-PL"/>
        </w:rPr>
        <w:fldChar w:fldCharType="separate"/>
      </w:r>
      <w:r w:rsidR="007F4FA2" w:rsidRPr="00F236F2">
        <w:t xml:space="preserve">Tabela </w:t>
      </w:r>
      <w:r w:rsidR="007F4FA2">
        <w:rPr>
          <w:noProof/>
        </w:rPr>
        <w:t>21</w:t>
      </w:r>
      <w:r w:rsidR="006D6B86">
        <w:rPr>
          <w:szCs w:val="22"/>
          <w:lang w:eastAsia="pl-PL"/>
        </w:rPr>
        <w:fldChar w:fldCharType="end"/>
      </w:r>
      <w:r>
        <w:rPr>
          <w:szCs w:val="22"/>
          <w:lang w:eastAsia="pl-PL"/>
        </w:rPr>
        <w:t>).</w:t>
      </w:r>
      <w:r w:rsidR="002C2855">
        <w:rPr>
          <w:szCs w:val="22"/>
          <w:lang w:eastAsia="pl-PL"/>
        </w:rPr>
        <w:t xml:space="preserve"> Są to działania, które trudno zmierzyć danymi pozyskanymi ze statystyki publicznej. W tym celu należałoby przeprowadzić badania własne. Przy czym nie rekomendujemy prowadzenia monitoringu wskaźnikowego na poziomie tak szczegółowych celów operacyjnych. Oparcie na wskaźnikach kontekstowych obrazujących w możliw</w:t>
      </w:r>
      <w:r w:rsidR="008640F4">
        <w:rPr>
          <w:szCs w:val="22"/>
          <w:lang w:eastAsia="pl-PL"/>
        </w:rPr>
        <w:t>i</w:t>
      </w:r>
      <w:r w:rsidR="002C2855">
        <w:rPr>
          <w:szCs w:val="22"/>
          <w:lang w:eastAsia="pl-PL"/>
        </w:rPr>
        <w:t>e najbardziej zbliżony sposób realizacji celów strategicznych w zupełności wystarczy, mając na uwadze, że zakres przedmiotowy monitoringu SRWW 2020 jest znacznie szerszy.</w:t>
      </w:r>
    </w:p>
    <w:p w14:paraId="1D7853C4" w14:textId="6F89EE58" w:rsidR="002C2855" w:rsidRPr="00F236F2" w:rsidRDefault="002C2855" w:rsidP="002C2855">
      <w:pPr>
        <w:pStyle w:val="Legenda"/>
        <w:rPr>
          <w:color w:val="000000" w:themeColor="text1"/>
          <w:szCs w:val="22"/>
        </w:rPr>
      </w:pPr>
      <w:bookmarkStart w:id="205" w:name="_Ref5175564"/>
      <w:bookmarkStart w:id="206" w:name="_Toc5699554"/>
      <w:r w:rsidRPr="00F236F2">
        <w:rPr>
          <w:color w:val="000000" w:themeColor="text1"/>
        </w:rPr>
        <w:t xml:space="preserve">Tabela </w:t>
      </w:r>
      <w:r w:rsidRPr="1FA2818E">
        <w:fldChar w:fldCharType="begin"/>
      </w:r>
      <w:r w:rsidRPr="00F236F2">
        <w:rPr>
          <w:noProof/>
          <w:color w:val="000000" w:themeColor="text1"/>
        </w:rPr>
        <w:instrText xml:space="preserve"> SEQ Tabela \* ARABIC </w:instrText>
      </w:r>
      <w:r w:rsidRPr="1FA2818E">
        <w:rPr>
          <w:noProof/>
          <w:color w:val="000000" w:themeColor="text1"/>
        </w:rPr>
        <w:fldChar w:fldCharType="separate"/>
      </w:r>
      <w:r w:rsidR="007F4FA2">
        <w:rPr>
          <w:noProof/>
          <w:color w:val="000000" w:themeColor="text1"/>
        </w:rPr>
        <w:t>21</w:t>
      </w:r>
      <w:r w:rsidRPr="1FA2818E">
        <w:fldChar w:fldCharType="end"/>
      </w:r>
      <w:bookmarkEnd w:id="205"/>
      <w:r w:rsidRPr="00F236F2">
        <w:rPr>
          <w:color w:val="000000" w:themeColor="text1"/>
        </w:rPr>
        <w:t>. Cele operacyjne bez wskaźników</w:t>
      </w:r>
      <w:bookmarkEnd w:id="206"/>
    </w:p>
    <w:tbl>
      <w:tblPr>
        <w:tblStyle w:val="Siatkatabelijasna"/>
        <w:tblW w:w="9351" w:type="dxa"/>
        <w:tblBorders>
          <w:top w:val="single" w:sz="4" w:space="0" w:color="FFC000" w:themeColor="accent4"/>
          <w:left w:val="none" w:sz="0" w:space="0" w:color="auto"/>
          <w:bottom w:val="single" w:sz="4" w:space="0" w:color="FFC000" w:themeColor="accent4"/>
          <w:right w:val="none" w:sz="0" w:space="0" w:color="auto"/>
          <w:insideH w:val="single" w:sz="4" w:space="0" w:color="FFC000" w:themeColor="accent4"/>
          <w:insideV w:val="none" w:sz="0" w:space="0" w:color="auto"/>
        </w:tblBorders>
        <w:tblLook w:val="04A0" w:firstRow="1" w:lastRow="0" w:firstColumn="1" w:lastColumn="0" w:noHBand="0" w:noVBand="1"/>
        <w:tblCaption w:val="Tabela 20. Cele operacyjne bez wskaźników "/>
        <w:tblDescription w:val="W tabeli wskazno, dla których celów operacyjnych nie zidentyfikowano wskaźników (z katalogu wskaźników SRWW 2020), które bezpośrednio je monitorują."/>
      </w:tblPr>
      <w:tblGrid>
        <w:gridCol w:w="3261"/>
        <w:gridCol w:w="6090"/>
      </w:tblGrid>
      <w:tr w:rsidR="002C2855" w:rsidRPr="00F236F2" w14:paraId="1C3FC453" w14:textId="77777777" w:rsidTr="6C72854D">
        <w:trPr>
          <w:trHeight w:val="427"/>
          <w:tblHeader/>
        </w:trPr>
        <w:tc>
          <w:tcPr>
            <w:tcW w:w="3261" w:type="dxa"/>
            <w:shd w:val="clear" w:color="auto" w:fill="FFC000" w:themeFill="accent4"/>
            <w:hideMark/>
          </w:tcPr>
          <w:p w14:paraId="2C3240A6" w14:textId="77777777" w:rsidR="002C2855" w:rsidRPr="00F236F2" w:rsidRDefault="002C2855" w:rsidP="00624AA4">
            <w:pPr>
              <w:pStyle w:val="Zwykytekst"/>
              <w:rPr>
                <w:rFonts w:asciiTheme="minorHAnsi" w:hAnsiTheme="minorHAnsi" w:cs="Consolas"/>
                <w:b/>
                <w:color w:val="000000" w:themeColor="text1"/>
                <w:sz w:val="18"/>
                <w:szCs w:val="18"/>
              </w:rPr>
            </w:pPr>
            <w:r w:rsidRPr="00F236F2">
              <w:rPr>
                <w:rFonts w:asciiTheme="minorHAnsi" w:hAnsiTheme="minorHAnsi"/>
                <w:b/>
                <w:color w:val="000000" w:themeColor="text1"/>
                <w:sz w:val="18"/>
                <w:szCs w:val="18"/>
              </w:rPr>
              <w:t>Cel strategiczny</w:t>
            </w:r>
          </w:p>
        </w:tc>
        <w:tc>
          <w:tcPr>
            <w:tcW w:w="6090" w:type="dxa"/>
            <w:shd w:val="clear" w:color="auto" w:fill="FFC000" w:themeFill="accent4"/>
            <w:hideMark/>
          </w:tcPr>
          <w:p w14:paraId="1EE6EDDC" w14:textId="77777777" w:rsidR="002C2855" w:rsidRPr="00F236F2" w:rsidRDefault="002C2855" w:rsidP="00624AA4">
            <w:pPr>
              <w:pStyle w:val="Zwykytekst"/>
              <w:rPr>
                <w:rFonts w:asciiTheme="minorHAnsi" w:hAnsiTheme="minorHAnsi"/>
                <w:b/>
                <w:color w:val="000000" w:themeColor="text1"/>
                <w:sz w:val="18"/>
                <w:szCs w:val="18"/>
              </w:rPr>
            </w:pPr>
            <w:r w:rsidRPr="00F236F2">
              <w:rPr>
                <w:rFonts w:asciiTheme="minorHAnsi" w:hAnsiTheme="minorHAnsi"/>
                <w:b/>
                <w:color w:val="000000" w:themeColor="text1"/>
                <w:sz w:val="18"/>
                <w:szCs w:val="18"/>
              </w:rPr>
              <w:t>Cel operacyjny – niemonitorowany</w:t>
            </w:r>
          </w:p>
        </w:tc>
      </w:tr>
      <w:tr w:rsidR="002C2855" w:rsidRPr="00F236F2" w14:paraId="2187D89B" w14:textId="77777777" w:rsidTr="6C72854D">
        <w:trPr>
          <w:trHeight w:val="778"/>
        </w:trPr>
        <w:tc>
          <w:tcPr>
            <w:tcW w:w="3261" w:type="dxa"/>
            <w:vAlign w:val="center"/>
            <w:hideMark/>
          </w:tcPr>
          <w:p w14:paraId="555B6EDB" w14:textId="77777777" w:rsidR="002C2855" w:rsidRPr="00F236F2" w:rsidRDefault="002C2855" w:rsidP="00624AA4">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t>1.Poprawa dostępności i spójności komunikacyjnej regionu</w:t>
            </w:r>
          </w:p>
        </w:tc>
        <w:tc>
          <w:tcPr>
            <w:tcW w:w="6090" w:type="dxa"/>
            <w:vAlign w:val="center"/>
            <w:hideMark/>
          </w:tcPr>
          <w:p w14:paraId="2FB8A512" w14:textId="77777777" w:rsidR="002C2855" w:rsidRPr="00F236F2" w:rsidRDefault="002C2855" w:rsidP="00624AA4">
            <w:pPr>
              <w:autoSpaceDE w:val="0"/>
              <w:autoSpaceDN w:val="0"/>
              <w:adjustRightInd w:val="0"/>
              <w:spacing w:after="0"/>
              <w:rPr>
                <w:rFonts w:asciiTheme="minorHAnsi" w:hAnsiTheme="minorHAnsi" w:cs="Arial"/>
                <w:sz w:val="18"/>
                <w:szCs w:val="18"/>
              </w:rPr>
            </w:pPr>
            <w:r w:rsidRPr="00F236F2">
              <w:rPr>
                <w:sz w:val="18"/>
                <w:szCs w:val="18"/>
              </w:rPr>
              <w:t xml:space="preserve">1.2. </w:t>
            </w:r>
            <w:r w:rsidRPr="00F236F2">
              <w:rPr>
                <w:rFonts w:cs="Arial"/>
                <w:sz w:val="18"/>
                <w:szCs w:val="18"/>
              </w:rPr>
              <w:t>Wzrost różnorodności oraz upowszechnianie efektywnych form transportu</w:t>
            </w:r>
          </w:p>
          <w:p w14:paraId="59A17163" w14:textId="77777777" w:rsidR="002C2855" w:rsidRPr="00F236F2" w:rsidRDefault="002C2855" w:rsidP="00624AA4">
            <w:pPr>
              <w:pStyle w:val="Zwykytekst"/>
              <w:rPr>
                <w:rFonts w:asciiTheme="minorHAnsi" w:hAnsiTheme="minorHAnsi" w:cs="Consolas"/>
                <w:color w:val="000000" w:themeColor="text1"/>
                <w:sz w:val="18"/>
                <w:szCs w:val="18"/>
              </w:rPr>
            </w:pPr>
            <w:r w:rsidRPr="00F236F2">
              <w:rPr>
                <w:rFonts w:asciiTheme="minorHAnsi" w:hAnsiTheme="minorHAnsi"/>
                <w:color w:val="000000" w:themeColor="text1"/>
                <w:sz w:val="18"/>
                <w:szCs w:val="18"/>
              </w:rPr>
              <w:t xml:space="preserve">1.4. </w:t>
            </w:r>
            <w:r w:rsidRPr="00F236F2">
              <w:rPr>
                <w:rFonts w:asciiTheme="minorHAnsi" w:hAnsiTheme="minorHAnsi" w:cs="Arial"/>
                <w:color w:val="000000" w:themeColor="text1"/>
                <w:sz w:val="18"/>
                <w:szCs w:val="18"/>
              </w:rPr>
              <w:t>Lepsze wykorzystanie dróg wodnych</w:t>
            </w:r>
          </w:p>
        </w:tc>
      </w:tr>
      <w:tr w:rsidR="002C2855" w:rsidRPr="00F236F2" w14:paraId="16B716DA" w14:textId="77777777" w:rsidTr="6C72854D">
        <w:trPr>
          <w:trHeight w:val="563"/>
        </w:trPr>
        <w:tc>
          <w:tcPr>
            <w:tcW w:w="3261" w:type="dxa"/>
            <w:vAlign w:val="center"/>
            <w:hideMark/>
          </w:tcPr>
          <w:p w14:paraId="738D6C86" w14:textId="77777777" w:rsidR="002C2855" w:rsidRPr="00F236F2" w:rsidRDefault="002C2855" w:rsidP="00624AA4">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t>2.Poprawa stanu środowiska i racjonalne gospodarowanie jego zasobami</w:t>
            </w:r>
          </w:p>
        </w:tc>
        <w:tc>
          <w:tcPr>
            <w:tcW w:w="6090" w:type="dxa"/>
            <w:vAlign w:val="center"/>
            <w:hideMark/>
          </w:tcPr>
          <w:p w14:paraId="1389560E" w14:textId="77777777" w:rsidR="002C2855" w:rsidRPr="00F236F2" w:rsidRDefault="002C2855" w:rsidP="00624AA4">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t xml:space="preserve">2.12. </w:t>
            </w:r>
            <w:r w:rsidRPr="00F236F2">
              <w:rPr>
                <w:rFonts w:asciiTheme="minorHAnsi" w:hAnsiTheme="minorHAnsi" w:cs="Arial"/>
                <w:color w:val="000000" w:themeColor="text1"/>
                <w:sz w:val="18"/>
                <w:szCs w:val="18"/>
              </w:rPr>
              <w:t>Poprawa stanu akustycznego województwa</w:t>
            </w:r>
          </w:p>
        </w:tc>
      </w:tr>
      <w:tr w:rsidR="002C2855" w:rsidRPr="00F236F2" w14:paraId="2A0DD6C7" w14:textId="77777777" w:rsidTr="6C72854D">
        <w:trPr>
          <w:trHeight w:val="550"/>
        </w:trPr>
        <w:tc>
          <w:tcPr>
            <w:tcW w:w="3261" w:type="dxa"/>
            <w:vAlign w:val="center"/>
            <w:hideMark/>
          </w:tcPr>
          <w:p w14:paraId="08F472C7" w14:textId="77777777" w:rsidR="002C2855" w:rsidRPr="00F236F2" w:rsidRDefault="002C2855" w:rsidP="00624AA4">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t xml:space="preserve">5.Zwiększenie spójności województwa </w:t>
            </w:r>
          </w:p>
        </w:tc>
        <w:tc>
          <w:tcPr>
            <w:tcW w:w="6090" w:type="dxa"/>
            <w:vAlign w:val="center"/>
            <w:hideMark/>
          </w:tcPr>
          <w:p w14:paraId="24E3FE02" w14:textId="77777777" w:rsidR="002C2855" w:rsidRPr="00F236F2" w:rsidRDefault="002C2855" w:rsidP="00624AA4">
            <w:pPr>
              <w:autoSpaceDE w:val="0"/>
              <w:autoSpaceDN w:val="0"/>
              <w:adjustRightInd w:val="0"/>
              <w:spacing w:after="0"/>
              <w:rPr>
                <w:rFonts w:asciiTheme="minorHAnsi" w:hAnsiTheme="minorHAnsi"/>
                <w:sz w:val="18"/>
                <w:szCs w:val="18"/>
              </w:rPr>
            </w:pPr>
            <w:r w:rsidRPr="00F236F2">
              <w:rPr>
                <w:rFonts w:cs="Arial"/>
                <w:sz w:val="18"/>
                <w:szCs w:val="18"/>
              </w:rPr>
              <w:t>5.4. Wsparcie terenów wymagających restrukturyzacji, odnowy i rewitalizacji</w:t>
            </w:r>
            <w:r w:rsidRPr="00F236F2">
              <w:rPr>
                <w:sz w:val="18"/>
                <w:szCs w:val="18"/>
              </w:rPr>
              <w:t xml:space="preserve"> </w:t>
            </w:r>
          </w:p>
          <w:p w14:paraId="599451AA" w14:textId="77777777" w:rsidR="002C2855" w:rsidRPr="00F236F2" w:rsidRDefault="002C2855" w:rsidP="00624AA4">
            <w:pPr>
              <w:autoSpaceDE w:val="0"/>
              <w:autoSpaceDN w:val="0"/>
              <w:adjustRightInd w:val="0"/>
              <w:spacing w:after="0"/>
              <w:rPr>
                <w:rFonts w:cs="Arial"/>
                <w:sz w:val="18"/>
                <w:szCs w:val="18"/>
              </w:rPr>
            </w:pPr>
            <w:r w:rsidRPr="00F236F2">
              <w:rPr>
                <w:sz w:val="18"/>
                <w:szCs w:val="18"/>
              </w:rPr>
              <w:t xml:space="preserve">5.6. </w:t>
            </w:r>
            <w:r w:rsidRPr="00F236F2">
              <w:rPr>
                <w:rFonts w:cs="Arial"/>
                <w:sz w:val="18"/>
                <w:szCs w:val="18"/>
              </w:rPr>
              <w:t>Wsparcie terenów o wyjątkowych walorach środowiska kulturowego</w:t>
            </w:r>
            <w:r w:rsidRPr="00F236F2">
              <w:rPr>
                <w:sz w:val="18"/>
                <w:szCs w:val="18"/>
              </w:rPr>
              <w:t xml:space="preserve"> </w:t>
            </w:r>
          </w:p>
        </w:tc>
      </w:tr>
      <w:tr w:rsidR="002C2855" w:rsidRPr="00F236F2" w14:paraId="025F1B69" w14:textId="77777777" w:rsidTr="6C72854D">
        <w:trPr>
          <w:trHeight w:val="269"/>
        </w:trPr>
        <w:tc>
          <w:tcPr>
            <w:tcW w:w="3261" w:type="dxa"/>
            <w:vMerge w:val="restart"/>
            <w:vAlign w:val="center"/>
            <w:hideMark/>
          </w:tcPr>
          <w:p w14:paraId="6FF558F9" w14:textId="77777777" w:rsidR="002C2855" w:rsidRPr="00F236F2" w:rsidRDefault="002C2855" w:rsidP="00624AA4">
            <w:pPr>
              <w:pStyle w:val="Zwykytekst"/>
              <w:rPr>
                <w:rFonts w:asciiTheme="minorHAnsi" w:hAnsiTheme="minorHAnsi" w:cs="Consolas"/>
                <w:color w:val="000000" w:themeColor="text1"/>
                <w:sz w:val="18"/>
                <w:szCs w:val="18"/>
              </w:rPr>
            </w:pPr>
            <w:r w:rsidRPr="00F236F2">
              <w:rPr>
                <w:rFonts w:asciiTheme="minorHAnsi" w:hAnsiTheme="minorHAnsi"/>
                <w:color w:val="000000" w:themeColor="text1"/>
                <w:sz w:val="18"/>
                <w:szCs w:val="18"/>
              </w:rPr>
              <w:t>6.Wzmocnienie potencjału gospodarczego regionu</w:t>
            </w:r>
          </w:p>
        </w:tc>
        <w:tc>
          <w:tcPr>
            <w:tcW w:w="6090" w:type="dxa"/>
            <w:vMerge w:val="restart"/>
            <w:hideMark/>
          </w:tcPr>
          <w:p w14:paraId="326329A4" w14:textId="77777777" w:rsidR="002C2855" w:rsidRPr="00F236F2" w:rsidRDefault="002C2855" w:rsidP="00624AA4">
            <w:pPr>
              <w:pStyle w:val="Zwykytekst"/>
              <w:rPr>
                <w:rFonts w:asciiTheme="minorHAnsi" w:hAnsiTheme="minorHAnsi"/>
                <w:color w:val="000000" w:themeColor="text1"/>
                <w:sz w:val="18"/>
                <w:szCs w:val="18"/>
              </w:rPr>
            </w:pPr>
            <w:r w:rsidRPr="00F236F2">
              <w:rPr>
                <w:rFonts w:asciiTheme="minorHAnsi" w:hAnsiTheme="minorHAnsi" w:cs="Arial"/>
                <w:color w:val="000000" w:themeColor="text1"/>
                <w:sz w:val="18"/>
                <w:szCs w:val="18"/>
              </w:rPr>
              <w:t>6.3. Rozwój sieci i kooperacji w gospodarce regionu</w:t>
            </w:r>
            <w:r w:rsidRPr="00F236F2">
              <w:rPr>
                <w:rFonts w:asciiTheme="minorHAnsi" w:hAnsiTheme="minorHAnsi"/>
                <w:color w:val="000000" w:themeColor="text1"/>
                <w:sz w:val="18"/>
                <w:szCs w:val="18"/>
              </w:rPr>
              <w:t xml:space="preserve"> ciężko zmierzyć tez rozwój sieci kooperacji </w:t>
            </w:r>
          </w:p>
          <w:p w14:paraId="214142AF" w14:textId="77777777" w:rsidR="002C2855" w:rsidRPr="00F236F2" w:rsidRDefault="002C2855" w:rsidP="00624AA4">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t xml:space="preserve">6.4. </w:t>
            </w:r>
            <w:r w:rsidRPr="00F236F2">
              <w:rPr>
                <w:rFonts w:asciiTheme="minorHAnsi" w:hAnsiTheme="minorHAnsi" w:cs="Arial"/>
                <w:color w:val="000000" w:themeColor="text1"/>
                <w:sz w:val="18"/>
                <w:szCs w:val="18"/>
              </w:rPr>
              <w:t>Rozbudowa instytucji otoczenia biznesu</w:t>
            </w:r>
          </w:p>
          <w:p w14:paraId="5FA7FFB3" w14:textId="77777777" w:rsidR="002C2855" w:rsidRPr="00F236F2" w:rsidRDefault="002C2855" w:rsidP="00624AA4">
            <w:pPr>
              <w:pStyle w:val="Zwykytekst"/>
              <w:rPr>
                <w:rFonts w:asciiTheme="minorHAnsi" w:hAnsiTheme="minorHAnsi"/>
                <w:color w:val="000000" w:themeColor="text1"/>
                <w:sz w:val="18"/>
                <w:szCs w:val="18"/>
              </w:rPr>
            </w:pPr>
            <w:r w:rsidRPr="00F236F2">
              <w:rPr>
                <w:color w:val="000000" w:themeColor="text1"/>
                <w:sz w:val="18"/>
                <w:szCs w:val="18"/>
              </w:rPr>
              <w:t xml:space="preserve">6.5. </w:t>
            </w:r>
            <w:r w:rsidRPr="00F236F2">
              <w:rPr>
                <w:rFonts w:cs="Arial"/>
                <w:color w:val="000000" w:themeColor="text1"/>
                <w:sz w:val="18"/>
                <w:szCs w:val="18"/>
              </w:rPr>
              <w:t>Tworzenie warunków rozwoju inteligentnych specjalizacji, w tym wspieranie sektorów kreatywnych w gospodarce</w:t>
            </w:r>
          </w:p>
          <w:p w14:paraId="4B0964D9" w14:textId="77777777" w:rsidR="002C2855" w:rsidRPr="00F236F2" w:rsidRDefault="002C2855" w:rsidP="00624AA4">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t xml:space="preserve">6.6. </w:t>
            </w:r>
            <w:r w:rsidRPr="00F236F2">
              <w:rPr>
                <w:rFonts w:asciiTheme="minorHAnsi" w:hAnsiTheme="minorHAnsi" w:cs="Arial"/>
                <w:color w:val="000000" w:themeColor="text1"/>
                <w:sz w:val="18"/>
                <w:szCs w:val="18"/>
              </w:rPr>
              <w:t>Rozwój instrumentów finansowych dla gospodarki</w:t>
            </w:r>
            <w:r w:rsidRPr="00F236F2">
              <w:rPr>
                <w:rFonts w:asciiTheme="minorHAnsi" w:hAnsiTheme="minorHAnsi"/>
                <w:color w:val="000000" w:themeColor="text1"/>
                <w:sz w:val="18"/>
                <w:szCs w:val="18"/>
              </w:rPr>
              <w:t xml:space="preserve"> </w:t>
            </w:r>
          </w:p>
          <w:p w14:paraId="426EA51C" w14:textId="77777777" w:rsidR="002C2855" w:rsidRPr="00F236F2" w:rsidRDefault="002C2855" w:rsidP="00624AA4">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t xml:space="preserve">6.7. </w:t>
            </w:r>
            <w:r w:rsidRPr="00F236F2">
              <w:rPr>
                <w:rFonts w:asciiTheme="minorHAnsi" w:hAnsiTheme="minorHAnsi" w:cs="Arial"/>
                <w:color w:val="000000" w:themeColor="text1"/>
                <w:sz w:val="18"/>
                <w:szCs w:val="18"/>
              </w:rPr>
              <w:t>Doskonalenie kadr gospodarki</w:t>
            </w:r>
            <w:r w:rsidRPr="00F236F2">
              <w:rPr>
                <w:rFonts w:asciiTheme="minorHAnsi" w:hAnsiTheme="minorHAnsi"/>
                <w:color w:val="000000" w:themeColor="text1"/>
                <w:sz w:val="18"/>
                <w:szCs w:val="18"/>
              </w:rPr>
              <w:t xml:space="preserve"> </w:t>
            </w:r>
          </w:p>
          <w:p w14:paraId="29C0F991" w14:textId="77777777" w:rsidR="002C2855" w:rsidRPr="00F236F2" w:rsidRDefault="002C2855" w:rsidP="00624AA4">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t xml:space="preserve">6.11. </w:t>
            </w:r>
            <w:r w:rsidRPr="00F236F2">
              <w:rPr>
                <w:rFonts w:asciiTheme="minorHAnsi" w:hAnsiTheme="minorHAnsi" w:cs="Arial"/>
                <w:color w:val="000000" w:themeColor="text1"/>
                <w:sz w:val="18"/>
                <w:szCs w:val="18"/>
              </w:rPr>
              <w:t>Rozwój gospodarki społecznej</w:t>
            </w:r>
          </w:p>
          <w:p w14:paraId="6B32F3B5" w14:textId="77777777" w:rsidR="002C2855" w:rsidRPr="00F236F2" w:rsidRDefault="002C2855" w:rsidP="00624AA4">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t xml:space="preserve">6.12. </w:t>
            </w:r>
            <w:r w:rsidRPr="00F236F2">
              <w:rPr>
                <w:rFonts w:asciiTheme="minorHAnsi" w:hAnsiTheme="minorHAnsi" w:cs="Arial"/>
                <w:color w:val="000000" w:themeColor="text1"/>
                <w:sz w:val="18"/>
                <w:szCs w:val="18"/>
              </w:rPr>
              <w:t>Rozwój „srebrnego” sektora gospodarki</w:t>
            </w:r>
          </w:p>
          <w:p w14:paraId="1CBC6443" w14:textId="77777777" w:rsidR="002C2855" w:rsidRPr="00F236F2" w:rsidRDefault="002C2855" w:rsidP="00624AA4">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t xml:space="preserve">6.13. </w:t>
            </w:r>
            <w:r w:rsidRPr="00F236F2">
              <w:rPr>
                <w:rFonts w:asciiTheme="minorHAnsi" w:hAnsiTheme="minorHAnsi" w:cs="Arial"/>
                <w:color w:val="000000" w:themeColor="text1"/>
                <w:sz w:val="18"/>
                <w:szCs w:val="18"/>
              </w:rPr>
              <w:t>Rozwój biznesu i usług zdrowotnych</w:t>
            </w:r>
          </w:p>
        </w:tc>
      </w:tr>
      <w:tr w:rsidR="002C2855" w:rsidRPr="00F236F2" w14:paraId="495F0DA4" w14:textId="77777777" w:rsidTr="6C72854D">
        <w:trPr>
          <w:trHeight w:val="1320"/>
        </w:trPr>
        <w:tc>
          <w:tcPr>
            <w:tcW w:w="3261" w:type="dxa"/>
            <w:vMerge/>
            <w:vAlign w:val="center"/>
            <w:hideMark/>
          </w:tcPr>
          <w:p w14:paraId="15AB400C" w14:textId="77777777" w:rsidR="002C2855" w:rsidRPr="00F236F2" w:rsidRDefault="002C2855" w:rsidP="00624AA4">
            <w:pPr>
              <w:rPr>
                <w:rFonts w:cs="Consolas"/>
                <w:sz w:val="18"/>
                <w:szCs w:val="18"/>
              </w:rPr>
            </w:pPr>
          </w:p>
        </w:tc>
        <w:tc>
          <w:tcPr>
            <w:tcW w:w="6090" w:type="dxa"/>
            <w:vMerge/>
            <w:vAlign w:val="center"/>
            <w:hideMark/>
          </w:tcPr>
          <w:p w14:paraId="65C4C8FA" w14:textId="77777777" w:rsidR="002C2855" w:rsidRPr="00F236F2" w:rsidRDefault="002C2855" w:rsidP="00624AA4">
            <w:pPr>
              <w:rPr>
                <w:rFonts w:cs="Consolas"/>
                <w:sz w:val="18"/>
                <w:szCs w:val="18"/>
              </w:rPr>
            </w:pPr>
          </w:p>
        </w:tc>
      </w:tr>
      <w:tr w:rsidR="002C2855" w:rsidRPr="00F236F2" w14:paraId="720ED7AC" w14:textId="77777777" w:rsidTr="6C72854D">
        <w:trPr>
          <w:trHeight w:val="401"/>
        </w:trPr>
        <w:tc>
          <w:tcPr>
            <w:tcW w:w="3261" w:type="dxa"/>
            <w:vMerge/>
            <w:vAlign w:val="center"/>
            <w:hideMark/>
          </w:tcPr>
          <w:p w14:paraId="5E9B18DB" w14:textId="77777777" w:rsidR="002C2855" w:rsidRPr="00F236F2" w:rsidRDefault="002C2855" w:rsidP="00624AA4">
            <w:pPr>
              <w:rPr>
                <w:rFonts w:cs="Consolas"/>
                <w:sz w:val="18"/>
                <w:szCs w:val="18"/>
              </w:rPr>
            </w:pPr>
          </w:p>
        </w:tc>
        <w:tc>
          <w:tcPr>
            <w:tcW w:w="6090" w:type="dxa"/>
            <w:vMerge/>
            <w:vAlign w:val="center"/>
            <w:hideMark/>
          </w:tcPr>
          <w:p w14:paraId="7F155FF3" w14:textId="77777777" w:rsidR="002C2855" w:rsidRPr="00F236F2" w:rsidRDefault="002C2855" w:rsidP="00624AA4">
            <w:pPr>
              <w:rPr>
                <w:rFonts w:cs="Consolas"/>
                <w:sz w:val="18"/>
                <w:szCs w:val="18"/>
              </w:rPr>
            </w:pPr>
          </w:p>
        </w:tc>
      </w:tr>
      <w:tr w:rsidR="002C2855" w:rsidRPr="00F236F2" w14:paraId="7AA4ABDD" w14:textId="77777777" w:rsidTr="6C72854D">
        <w:trPr>
          <w:trHeight w:val="373"/>
        </w:trPr>
        <w:tc>
          <w:tcPr>
            <w:tcW w:w="3261" w:type="dxa"/>
            <w:vMerge/>
            <w:vAlign w:val="center"/>
            <w:hideMark/>
          </w:tcPr>
          <w:p w14:paraId="3E74DEFD" w14:textId="77777777" w:rsidR="002C2855" w:rsidRPr="00F236F2" w:rsidRDefault="002C2855" w:rsidP="00624AA4">
            <w:pPr>
              <w:rPr>
                <w:rFonts w:cs="Consolas"/>
                <w:sz w:val="18"/>
                <w:szCs w:val="18"/>
              </w:rPr>
            </w:pPr>
          </w:p>
        </w:tc>
        <w:tc>
          <w:tcPr>
            <w:tcW w:w="6090" w:type="dxa"/>
            <w:vMerge/>
            <w:vAlign w:val="center"/>
            <w:hideMark/>
          </w:tcPr>
          <w:p w14:paraId="249B7358" w14:textId="77777777" w:rsidR="002C2855" w:rsidRPr="00F236F2" w:rsidRDefault="002C2855" w:rsidP="00624AA4">
            <w:pPr>
              <w:rPr>
                <w:rFonts w:cs="Consolas"/>
                <w:sz w:val="18"/>
                <w:szCs w:val="18"/>
              </w:rPr>
            </w:pPr>
          </w:p>
        </w:tc>
      </w:tr>
      <w:tr w:rsidR="002C2855" w:rsidRPr="00F236F2" w14:paraId="0358C00C" w14:textId="77777777" w:rsidTr="6C72854D">
        <w:tc>
          <w:tcPr>
            <w:tcW w:w="3261" w:type="dxa"/>
            <w:vAlign w:val="center"/>
            <w:hideMark/>
          </w:tcPr>
          <w:p w14:paraId="1A6246A2" w14:textId="77777777" w:rsidR="002C2855" w:rsidRPr="00F236F2" w:rsidRDefault="002C2855" w:rsidP="00624AA4">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t>7. Wzrost kompetencji mieszkańców i zatrudnienia</w:t>
            </w:r>
          </w:p>
        </w:tc>
        <w:tc>
          <w:tcPr>
            <w:tcW w:w="6090" w:type="dxa"/>
            <w:vAlign w:val="center"/>
          </w:tcPr>
          <w:p w14:paraId="473C6661" w14:textId="7D42A27C" w:rsidR="002C2855" w:rsidRPr="00F236F2" w:rsidRDefault="002C2855" w:rsidP="00624AA4">
            <w:pPr>
              <w:autoSpaceDE w:val="0"/>
              <w:autoSpaceDN w:val="0"/>
              <w:adjustRightInd w:val="0"/>
              <w:spacing w:after="0"/>
              <w:rPr>
                <w:rFonts w:asciiTheme="minorHAnsi" w:hAnsiTheme="minorHAnsi" w:cs="Arial"/>
                <w:sz w:val="18"/>
                <w:szCs w:val="18"/>
              </w:rPr>
            </w:pPr>
            <w:r w:rsidRPr="00F236F2">
              <w:rPr>
                <w:rFonts w:cs="Arial"/>
                <w:sz w:val="18"/>
                <w:szCs w:val="18"/>
              </w:rPr>
              <w:t xml:space="preserve">7.4. Rozwój oraz promocja postaw kreatywnych i </w:t>
            </w:r>
            <w:r w:rsidR="00942F6F">
              <w:rPr>
                <w:rFonts w:cs="Arial"/>
                <w:sz w:val="18"/>
                <w:szCs w:val="18"/>
              </w:rPr>
              <w:t>i</w:t>
            </w:r>
            <w:r w:rsidR="00942F6F" w:rsidRPr="00F236F2">
              <w:rPr>
                <w:rFonts w:cs="Arial"/>
                <w:sz w:val="18"/>
                <w:szCs w:val="18"/>
              </w:rPr>
              <w:t>nnowacyjnych</w:t>
            </w:r>
          </w:p>
          <w:p w14:paraId="7330738C" w14:textId="77777777" w:rsidR="002C2855" w:rsidRPr="00F236F2" w:rsidRDefault="002C2855" w:rsidP="00624AA4">
            <w:pPr>
              <w:autoSpaceDE w:val="0"/>
              <w:autoSpaceDN w:val="0"/>
              <w:adjustRightInd w:val="0"/>
              <w:spacing w:after="0"/>
              <w:rPr>
                <w:rFonts w:cs="Arial"/>
                <w:sz w:val="18"/>
                <w:szCs w:val="18"/>
              </w:rPr>
            </w:pPr>
            <w:r w:rsidRPr="00F236F2">
              <w:rPr>
                <w:rFonts w:cs="Arial"/>
                <w:sz w:val="18"/>
                <w:szCs w:val="18"/>
              </w:rPr>
              <w:t>7.5. Wzmocnienie szkolnictwa zawodowego i technicznego oraz poprawa organizacji rynku pracy</w:t>
            </w:r>
          </w:p>
          <w:p w14:paraId="24CDB9AC" w14:textId="77777777" w:rsidR="002C2855" w:rsidRPr="00F236F2" w:rsidRDefault="002C2855" w:rsidP="00624AA4">
            <w:pPr>
              <w:pStyle w:val="Zwykytekst"/>
              <w:rPr>
                <w:rFonts w:asciiTheme="minorHAnsi" w:hAnsiTheme="minorHAnsi" w:cs="Consolas"/>
                <w:color w:val="000000" w:themeColor="text1"/>
                <w:sz w:val="18"/>
                <w:szCs w:val="18"/>
              </w:rPr>
            </w:pPr>
            <w:r w:rsidRPr="00F236F2">
              <w:rPr>
                <w:rFonts w:asciiTheme="minorHAnsi" w:hAnsiTheme="minorHAnsi" w:cs="Arial"/>
                <w:color w:val="000000" w:themeColor="text1"/>
                <w:sz w:val="18"/>
                <w:szCs w:val="18"/>
              </w:rPr>
              <w:t>7.6. Rozwój kształcenia ustawicznego</w:t>
            </w:r>
          </w:p>
        </w:tc>
      </w:tr>
      <w:tr w:rsidR="002C2855" w:rsidRPr="00F236F2" w14:paraId="5B22CF9C" w14:textId="77777777" w:rsidTr="6C72854D">
        <w:tc>
          <w:tcPr>
            <w:tcW w:w="3261" w:type="dxa"/>
            <w:vAlign w:val="center"/>
            <w:hideMark/>
          </w:tcPr>
          <w:p w14:paraId="7ECC478D" w14:textId="77777777" w:rsidR="002C2855" w:rsidRPr="00F236F2" w:rsidRDefault="002C2855" w:rsidP="00624AA4">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t xml:space="preserve">8. Zwiększanie zasobów oraz wyrównywanie potencjałów społecznych województwa </w:t>
            </w:r>
          </w:p>
        </w:tc>
        <w:tc>
          <w:tcPr>
            <w:tcW w:w="6090" w:type="dxa"/>
            <w:vAlign w:val="center"/>
          </w:tcPr>
          <w:p w14:paraId="7DE1D917" w14:textId="77777777" w:rsidR="002C2855" w:rsidRPr="00F236F2" w:rsidRDefault="002C2855" w:rsidP="00624AA4">
            <w:pPr>
              <w:pStyle w:val="Zwykytekst"/>
              <w:rPr>
                <w:rFonts w:asciiTheme="minorHAnsi" w:hAnsiTheme="minorHAnsi" w:cs="Arial"/>
                <w:color w:val="000000" w:themeColor="text1"/>
                <w:sz w:val="18"/>
                <w:szCs w:val="18"/>
              </w:rPr>
            </w:pPr>
            <w:r w:rsidRPr="00F236F2">
              <w:rPr>
                <w:rFonts w:asciiTheme="minorHAnsi" w:hAnsiTheme="minorHAnsi" w:cs="Arial"/>
                <w:color w:val="000000" w:themeColor="text1"/>
                <w:sz w:val="18"/>
                <w:szCs w:val="18"/>
              </w:rPr>
              <w:t>8.9. Ochrona zasobów, standardu i jakości życia rodziny</w:t>
            </w:r>
          </w:p>
          <w:p w14:paraId="5C5244B6" w14:textId="77777777" w:rsidR="002C2855" w:rsidRPr="00F236F2" w:rsidRDefault="002C2855" w:rsidP="00624AA4">
            <w:pPr>
              <w:pStyle w:val="Zwykytekst"/>
              <w:rPr>
                <w:rFonts w:asciiTheme="minorHAnsi" w:hAnsiTheme="minorHAnsi" w:cs="Consolas"/>
                <w:color w:val="000000" w:themeColor="text1"/>
                <w:sz w:val="18"/>
                <w:szCs w:val="18"/>
              </w:rPr>
            </w:pPr>
            <w:r w:rsidRPr="00F236F2">
              <w:rPr>
                <w:rFonts w:asciiTheme="minorHAnsi" w:hAnsiTheme="minorHAnsi" w:cs="Arial"/>
                <w:color w:val="000000" w:themeColor="text1"/>
                <w:sz w:val="18"/>
                <w:szCs w:val="18"/>
              </w:rPr>
              <w:t>8.10. Ochrona i utrwalanie dziedzictwa kulturowego</w:t>
            </w:r>
          </w:p>
        </w:tc>
      </w:tr>
      <w:tr w:rsidR="002C2855" w:rsidRPr="00F236F2" w14:paraId="43179BA0" w14:textId="77777777" w:rsidTr="6C72854D">
        <w:tc>
          <w:tcPr>
            <w:tcW w:w="3261" w:type="dxa"/>
            <w:vAlign w:val="center"/>
            <w:hideMark/>
          </w:tcPr>
          <w:p w14:paraId="6183772D" w14:textId="77777777" w:rsidR="002C2855" w:rsidRPr="00F236F2" w:rsidRDefault="002C2855" w:rsidP="00624AA4">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t>9. Wzrost bezpieczeństwa i sprawności zarzadzania regionem</w:t>
            </w:r>
          </w:p>
        </w:tc>
        <w:tc>
          <w:tcPr>
            <w:tcW w:w="6090" w:type="dxa"/>
            <w:vAlign w:val="center"/>
            <w:hideMark/>
          </w:tcPr>
          <w:p w14:paraId="0B7FDB95" w14:textId="77777777" w:rsidR="002C2855" w:rsidRPr="00F236F2" w:rsidRDefault="002C2855" w:rsidP="00624AA4">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t xml:space="preserve">Cały cel 9 mierzony </w:t>
            </w:r>
            <w:r>
              <w:rPr>
                <w:rFonts w:asciiTheme="minorHAnsi" w:hAnsiTheme="minorHAnsi"/>
                <w:color w:val="000000" w:themeColor="text1"/>
                <w:sz w:val="18"/>
                <w:szCs w:val="18"/>
              </w:rPr>
              <w:t>jest</w:t>
            </w:r>
            <w:r w:rsidRPr="00F236F2">
              <w:rPr>
                <w:rFonts w:asciiTheme="minorHAnsi" w:hAnsiTheme="minorHAnsi"/>
                <w:color w:val="000000" w:themeColor="text1"/>
                <w:sz w:val="18"/>
                <w:szCs w:val="18"/>
              </w:rPr>
              <w:t xml:space="preserve"> tak naprawę pośrednio (poza celem 9.5)</w:t>
            </w:r>
          </w:p>
        </w:tc>
      </w:tr>
    </w:tbl>
    <w:p w14:paraId="7BBA2150" w14:textId="7784A231" w:rsidR="0034123E" w:rsidRDefault="002C2855" w:rsidP="002C2855">
      <w:pPr>
        <w:rPr>
          <w:sz w:val="14"/>
          <w:lang w:eastAsia="pl-PL"/>
        </w:rPr>
      </w:pPr>
      <w:r w:rsidRPr="00FA3810">
        <w:rPr>
          <w:sz w:val="14"/>
          <w:lang w:eastAsia="pl-PL"/>
        </w:rPr>
        <w:t>Źródło: opracowanie własne.</w:t>
      </w:r>
    </w:p>
    <w:p w14:paraId="364F25F1" w14:textId="77777777" w:rsidR="0034123E" w:rsidRDefault="0034123E">
      <w:pPr>
        <w:spacing w:after="0" w:line="240" w:lineRule="auto"/>
        <w:jc w:val="left"/>
        <w:rPr>
          <w:sz w:val="14"/>
          <w:lang w:eastAsia="pl-PL"/>
        </w:rPr>
      </w:pPr>
      <w:r>
        <w:rPr>
          <w:sz w:val="14"/>
          <w:lang w:eastAsia="pl-PL"/>
        </w:rPr>
        <w:br w:type="page"/>
      </w:r>
    </w:p>
    <w:p w14:paraId="2E9CF240" w14:textId="77777777" w:rsidR="002C2855" w:rsidRDefault="002C2855" w:rsidP="00624AA4">
      <w:pPr>
        <w:pStyle w:val="Nagwek3"/>
      </w:pPr>
      <w:bookmarkStart w:id="207" w:name="_Toc536653118"/>
      <w:bookmarkStart w:id="208" w:name="_Toc1904790"/>
      <w:bookmarkStart w:id="209" w:name="_Toc5699485"/>
      <w:r>
        <w:lastRenderedPageBreak/>
        <w:t>Gdy opieramy się na statystyce publicznej</w:t>
      </w:r>
      <w:bookmarkEnd w:id="207"/>
      <w:bookmarkEnd w:id="208"/>
      <w:bookmarkEnd w:id="209"/>
    </w:p>
    <w:p w14:paraId="56064236" w14:textId="77777777" w:rsidR="002C2855" w:rsidRPr="004C223D" w:rsidRDefault="002C2855" w:rsidP="002C2855">
      <w:pPr>
        <w:rPr>
          <w:szCs w:val="22"/>
        </w:rPr>
      </w:pPr>
      <w:r>
        <w:t>Większość wyznaczonych wskaźników jest ciągle monitorowana. Oczywiście zdarzają się opóźnienia w zasileniu danych – problematyczne są np. wskaźniki oparte na wartości PKB, które udostępniane są z 2 letnim opóźnieniem. Na obecną chwilę problem nie jest już tak wyraźny ze względu na to, że podawane są wartości szacunkowe. We wskaźnikach przypisanych do celów SRWW 2020 zidentyfikowano natomiast następujące braki:</w:t>
      </w:r>
    </w:p>
    <w:p w14:paraId="4926FDF7" w14:textId="2D66738E" w:rsidR="002C2855" w:rsidRPr="00E476BE" w:rsidRDefault="56862DA9">
      <w:pPr>
        <w:pStyle w:val="Akapitzlist"/>
        <w:numPr>
          <w:ilvl w:val="0"/>
          <w:numId w:val="42"/>
        </w:numPr>
        <w:spacing w:after="160" w:line="259" w:lineRule="auto"/>
      </w:pPr>
      <w:r>
        <w:t>wartość</w:t>
      </w:r>
      <w:r w:rsidR="002C2855">
        <w:t xml:space="preserve"> eksportu ogółem – wskaźnik nie jest już monitorowany przez GUS (od 2013r.). Rekomendujemy, żeby dane te pozyskiwać mimo wszystko z izby celnej (być może we współpracy z departamentem gospodarki, który pozyskuje je m.in. na potrzeby </w:t>
      </w:r>
      <w:r w:rsidR="006F3985">
        <w:t>monitoringu RIS</w:t>
      </w:r>
      <w:r w:rsidR="002C2855">
        <w:t>).</w:t>
      </w:r>
    </w:p>
    <w:p w14:paraId="77E9B93B" w14:textId="10EB6E31" w:rsidR="002C2855" w:rsidRPr="00E476BE" w:rsidRDefault="56862DA9">
      <w:pPr>
        <w:pStyle w:val="Akapitzlist"/>
        <w:numPr>
          <w:ilvl w:val="0"/>
          <w:numId w:val="42"/>
        </w:numPr>
        <w:spacing w:after="160" w:line="259" w:lineRule="auto"/>
      </w:pPr>
      <w:r>
        <w:t>frekwencja</w:t>
      </w:r>
      <w:r w:rsidR="002C2855" w:rsidRPr="00E476BE">
        <w:t xml:space="preserve"> wyborcza – dla wzoru wskazanego w metryczce wskaźnika</w:t>
      </w:r>
      <w:r w:rsidR="002C2855">
        <w:t>,</w:t>
      </w:r>
      <w:r w:rsidR="002C2855" w:rsidRPr="00E476BE">
        <w:t xml:space="preserve"> w BDL nie zidentyfikowano jednej składowej (karty wydane do głosowania). Proponujemy wykorzystać bezpośrednio bazę danych PKW.</w:t>
      </w:r>
    </w:p>
    <w:p w14:paraId="5C73F7BB" w14:textId="4A52BBC2" w:rsidR="002C2855" w:rsidRPr="00E476BE" w:rsidRDefault="56862DA9">
      <w:pPr>
        <w:pStyle w:val="Akapitzlist"/>
        <w:numPr>
          <w:ilvl w:val="0"/>
          <w:numId w:val="42"/>
        </w:numPr>
        <w:spacing w:after="160" w:line="259" w:lineRule="auto"/>
      </w:pPr>
      <w:r>
        <w:t>uczniowie</w:t>
      </w:r>
      <w:r w:rsidR="002C2855" w:rsidRPr="00E476BE">
        <w:t xml:space="preserve"> przypadający na 1 komputer z dostępem do Internetu przeznaczony do użytku uczniów – od 2012 roku wskaźnik nie jest zasilany w bazie GUS. Także we wskazanych jako źródło rocznikach statystycznych województw, nie wszystkie składowe wskaźnika są gromadzone. Proponujemy pominięcie wskaźnika.</w:t>
      </w:r>
    </w:p>
    <w:p w14:paraId="67F39EF7" w14:textId="77777777" w:rsidR="002C2855" w:rsidRPr="00A866E9" w:rsidRDefault="56862DA9">
      <w:pPr>
        <w:pStyle w:val="Akapitzlist"/>
        <w:numPr>
          <w:ilvl w:val="0"/>
          <w:numId w:val="42"/>
        </w:numPr>
        <w:spacing w:after="160" w:line="259" w:lineRule="auto"/>
        <w:rPr>
          <w:lang w:eastAsia="pl-PL"/>
        </w:rPr>
      </w:pPr>
      <w:r>
        <w:t>widoczne</w:t>
      </w:r>
      <w:r w:rsidR="002C2855">
        <w:t xml:space="preserve"> są także braki w składowych wskaźnika syntetycznego – zdawalność egzaminów maturalnych jest wskaźnikiem udostępnianym tylko na poziomie województwa, nie powiatu.</w:t>
      </w:r>
    </w:p>
    <w:p w14:paraId="0826685D" w14:textId="54156A2A" w:rsidR="002C2855" w:rsidRDefault="002C2855" w:rsidP="002C2855">
      <w:pPr>
        <w:spacing w:after="160" w:line="259" w:lineRule="auto"/>
        <w:rPr>
          <w:lang w:eastAsia="pl-PL"/>
        </w:rPr>
      </w:pPr>
      <w:r>
        <w:t xml:space="preserve">Przy wskaźnikach dla powiatu (wskaźniki syntetyczne), na etapie pozyskiwania danych do badania był problem z wyświetleniem dwóch wskaźników: przeciętne miesięczne wynagrodzenie brutto i </w:t>
      </w:r>
      <w:r w:rsidR="56862DA9">
        <w:t>łóżka</w:t>
      </w:r>
      <w:r>
        <w:t xml:space="preserve"> w szpitalach na 10000 mieszkańców. Warto podkreślić, że takie okresowe „zawieszenia” baz także są słabością statystyki publicznej.</w:t>
      </w:r>
    </w:p>
    <w:p w14:paraId="447E6A36" w14:textId="77777777" w:rsidR="002C2855" w:rsidRPr="00521333" w:rsidRDefault="002C2855" w:rsidP="00624AA4">
      <w:pPr>
        <w:pStyle w:val="Nagwek3"/>
      </w:pPr>
      <w:bookmarkStart w:id="210" w:name="_Toc536653119"/>
      <w:bookmarkStart w:id="211" w:name="_Toc1904791"/>
      <w:bookmarkStart w:id="212" w:name="_Toc5699486"/>
      <w:r>
        <w:t>Ku lepszym wskaźnikom</w:t>
      </w:r>
      <w:bookmarkEnd w:id="210"/>
      <w:bookmarkEnd w:id="211"/>
      <w:bookmarkEnd w:id="212"/>
    </w:p>
    <w:p w14:paraId="40BD7CD3" w14:textId="77777777" w:rsidR="002C2855" w:rsidRPr="00F236F2" w:rsidRDefault="002C2855" w:rsidP="002C2855">
      <w:pPr>
        <w:rPr>
          <w:szCs w:val="22"/>
          <w:lang w:eastAsia="pl-PL"/>
        </w:rPr>
      </w:pPr>
      <w:r>
        <w:rPr>
          <w:szCs w:val="22"/>
          <w:lang w:eastAsia="pl-PL"/>
        </w:rPr>
        <w:t>Obrany katalog miar po niewielkiej modyfikacji właściwe obrazuje zmiany w poszczególnych obszarach tematycznych. Poniżej znajdują się rekomendacje dotyczące uzupełnienia listy wskaźników.</w:t>
      </w:r>
    </w:p>
    <w:p w14:paraId="406A7103" w14:textId="3B159157" w:rsidR="002C2855" w:rsidRPr="00F236F2" w:rsidRDefault="002C2855" w:rsidP="002C2855">
      <w:pPr>
        <w:pStyle w:val="Legenda"/>
        <w:rPr>
          <w:b w:val="0"/>
          <w:i/>
          <w:color w:val="000000" w:themeColor="text1"/>
        </w:rPr>
      </w:pPr>
      <w:bookmarkStart w:id="213" w:name="_Ref536616795"/>
      <w:bookmarkStart w:id="214" w:name="_Toc5699555"/>
      <w:r w:rsidRPr="00F236F2">
        <w:rPr>
          <w:color w:val="000000" w:themeColor="text1"/>
        </w:rPr>
        <w:t xml:space="preserve">Tabela </w:t>
      </w:r>
      <w:r w:rsidRPr="1FA2818E">
        <w:fldChar w:fldCharType="begin"/>
      </w:r>
      <w:r w:rsidRPr="00F236F2">
        <w:rPr>
          <w:noProof/>
          <w:color w:val="000000" w:themeColor="text1"/>
        </w:rPr>
        <w:instrText xml:space="preserve"> SEQ Tabela \* ARABIC </w:instrText>
      </w:r>
      <w:r w:rsidRPr="1FA2818E">
        <w:rPr>
          <w:noProof/>
          <w:color w:val="000000" w:themeColor="text1"/>
        </w:rPr>
        <w:fldChar w:fldCharType="separate"/>
      </w:r>
      <w:r w:rsidR="007F4FA2">
        <w:rPr>
          <w:noProof/>
          <w:color w:val="000000" w:themeColor="text1"/>
        </w:rPr>
        <w:t>22</w:t>
      </w:r>
      <w:r w:rsidRPr="1FA2818E">
        <w:fldChar w:fldCharType="end"/>
      </w:r>
      <w:bookmarkEnd w:id="213"/>
      <w:r w:rsidRPr="00F236F2">
        <w:rPr>
          <w:color w:val="000000" w:themeColor="text1"/>
        </w:rPr>
        <w:t>. Propozycja modyfikacji katalogu wskaźników</w:t>
      </w:r>
      <w:bookmarkEnd w:id="214"/>
    </w:p>
    <w:tbl>
      <w:tblPr>
        <w:tblStyle w:val="Zwykatabela2"/>
        <w:tblW w:w="9073" w:type="dxa"/>
        <w:tblBorders>
          <w:top w:val="single" w:sz="4" w:space="0" w:color="F6BB00"/>
          <w:bottom w:val="single" w:sz="4" w:space="0" w:color="F6BB00"/>
          <w:insideH w:val="single" w:sz="4" w:space="0" w:color="F6BB00"/>
        </w:tblBorders>
        <w:tblLayout w:type="fixed"/>
        <w:tblCellMar>
          <w:left w:w="85" w:type="dxa"/>
          <w:right w:w="85" w:type="dxa"/>
        </w:tblCellMar>
        <w:tblLook w:val="04A0" w:firstRow="1" w:lastRow="0" w:firstColumn="1" w:lastColumn="0" w:noHBand="0" w:noVBand="1"/>
        <w:tblCaption w:val="Tabela 21. Propozycja modyfikacji katalogu wskaźników"/>
        <w:tblDescription w:val="Tabela wskazuje rekomendacje dotyczące zmian monitorowania poszczególnych celów strategicznych (modyfikacje i/lub uzupełnienia wskaźników kontekstowych)."/>
      </w:tblPr>
      <w:tblGrid>
        <w:gridCol w:w="2552"/>
        <w:gridCol w:w="6521"/>
      </w:tblGrid>
      <w:tr w:rsidR="002C2855" w:rsidRPr="00F236F2" w14:paraId="121CCD58" w14:textId="77777777" w:rsidTr="0034123E">
        <w:trPr>
          <w:cnfStyle w:val="100000000000" w:firstRow="1" w:lastRow="0" w:firstColumn="0" w:lastColumn="0" w:oddVBand="0" w:evenVBand="0" w:oddHBand="0" w:evenHBand="0" w:firstRowFirstColumn="0" w:firstRowLastColumn="0" w:lastRowFirstColumn="0" w:lastRowLastColumn="0"/>
          <w:trHeight w:val="262"/>
          <w:tblHeader/>
        </w:trPr>
        <w:tc>
          <w:tcPr>
            <w:cnfStyle w:val="001000000000" w:firstRow="0" w:lastRow="0" w:firstColumn="1" w:lastColumn="0" w:oddVBand="0" w:evenVBand="0" w:oddHBand="0" w:evenHBand="0" w:firstRowFirstColumn="0" w:firstRowLastColumn="0" w:lastRowFirstColumn="0" w:lastRowLastColumn="0"/>
            <w:tcW w:w="2552" w:type="dxa"/>
            <w:tcBorders>
              <w:bottom w:val="none" w:sz="0" w:space="0" w:color="auto"/>
            </w:tcBorders>
            <w:shd w:val="clear" w:color="auto" w:fill="F6BB00"/>
            <w:vAlign w:val="center"/>
            <w:hideMark/>
          </w:tcPr>
          <w:p w14:paraId="4E7E4912" w14:textId="77777777" w:rsidR="002C2855" w:rsidRPr="00F236F2" w:rsidRDefault="002C2855" w:rsidP="0034123E">
            <w:pPr>
              <w:pStyle w:val="Zwykytekst"/>
              <w:jc w:val="center"/>
              <w:rPr>
                <w:rFonts w:asciiTheme="minorHAnsi" w:hAnsiTheme="minorHAnsi" w:cs="Consolas"/>
                <w:color w:val="000000" w:themeColor="text1"/>
                <w:sz w:val="20"/>
              </w:rPr>
            </w:pPr>
            <w:r w:rsidRPr="00F236F2">
              <w:rPr>
                <w:rFonts w:asciiTheme="minorHAnsi" w:hAnsiTheme="minorHAnsi"/>
                <w:color w:val="000000" w:themeColor="text1"/>
                <w:sz w:val="20"/>
              </w:rPr>
              <w:t>Cel strategiczny</w:t>
            </w:r>
          </w:p>
        </w:tc>
        <w:tc>
          <w:tcPr>
            <w:tcW w:w="6521" w:type="dxa"/>
            <w:tcBorders>
              <w:bottom w:val="none" w:sz="0" w:space="0" w:color="auto"/>
            </w:tcBorders>
            <w:shd w:val="clear" w:color="auto" w:fill="F6BB00"/>
            <w:vAlign w:val="center"/>
            <w:hideMark/>
          </w:tcPr>
          <w:p w14:paraId="5DC60E3B" w14:textId="690EEB30" w:rsidR="002C2855" w:rsidRPr="00F236F2" w:rsidRDefault="002C2855" w:rsidP="0034123E">
            <w:pPr>
              <w:pStyle w:val="Zwykytek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themeColor="text1"/>
                <w:sz w:val="20"/>
              </w:rPr>
            </w:pPr>
            <w:r w:rsidRPr="00F236F2">
              <w:rPr>
                <w:rFonts w:asciiTheme="minorHAnsi" w:hAnsiTheme="minorHAnsi"/>
                <w:color w:val="000000" w:themeColor="text1"/>
                <w:sz w:val="20"/>
              </w:rPr>
              <w:t>Rekomendacje</w:t>
            </w:r>
          </w:p>
        </w:tc>
      </w:tr>
      <w:tr w:rsidR="002C2855" w:rsidRPr="00F236F2" w14:paraId="32AA0D7A" w14:textId="77777777" w:rsidTr="0034123E">
        <w:trPr>
          <w:cnfStyle w:val="000000100000" w:firstRow="0" w:lastRow="0" w:firstColumn="0" w:lastColumn="0" w:oddVBand="0" w:evenVBand="0" w:oddHBand="1" w:evenHBand="0" w:firstRowFirstColumn="0" w:firstRowLastColumn="0" w:lastRowFirstColumn="0" w:lastRowLastColumn="0"/>
          <w:trHeight w:val="127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bottom w:val="none" w:sz="0" w:space="0" w:color="auto"/>
            </w:tcBorders>
            <w:vAlign w:val="center"/>
            <w:hideMark/>
          </w:tcPr>
          <w:p w14:paraId="75FE6FA0" w14:textId="77777777" w:rsidR="002C2855" w:rsidRPr="00F236F2" w:rsidRDefault="002C2855" w:rsidP="0034123E">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t>1.Poprawa dostępności i spójności komunikacyjnej regionu</w:t>
            </w:r>
          </w:p>
        </w:tc>
        <w:tc>
          <w:tcPr>
            <w:tcW w:w="6521" w:type="dxa"/>
            <w:tcBorders>
              <w:top w:val="none" w:sz="0" w:space="0" w:color="auto"/>
              <w:bottom w:val="none" w:sz="0" w:space="0" w:color="auto"/>
            </w:tcBorders>
            <w:hideMark/>
          </w:tcPr>
          <w:p w14:paraId="3D0D31FB" w14:textId="5487A781" w:rsidR="002C2855" w:rsidRPr="00F236F2" w:rsidRDefault="002C2855" w:rsidP="0034123E">
            <w:pPr>
              <w:pStyle w:val="Zwykytekst"/>
              <w:spacing w:before="60" w:after="60"/>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F236F2">
              <w:rPr>
                <w:color w:val="000000" w:themeColor="text1"/>
                <w:sz w:val="18"/>
                <w:szCs w:val="18"/>
              </w:rPr>
              <w:t xml:space="preserve">Wskaźnik opisujący </w:t>
            </w:r>
            <w:r w:rsidR="00D01317">
              <w:rPr>
                <w:color w:val="000000" w:themeColor="text1"/>
                <w:sz w:val="18"/>
                <w:szCs w:val="18"/>
              </w:rPr>
              <w:t>p</w:t>
            </w:r>
            <w:r w:rsidR="00D01317" w:rsidRPr="00D01317">
              <w:rPr>
                <w:color w:val="000000" w:themeColor="text1"/>
                <w:sz w:val="18"/>
                <w:szCs w:val="18"/>
              </w:rPr>
              <w:t>rzewozy pasażerów środkami komunikacji miejskiej</w:t>
            </w:r>
            <w:r w:rsidR="00D01317">
              <w:rPr>
                <w:color w:val="000000" w:themeColor="text1"/>
                <w:sz w:val="18"/>
                <w:szCs w:val="18"/>
              </w:rPr>
              <w:t xml:space="preserve"> (GUS)</w:t>
            </w:r>
            <w:r w:rsidR="00D01317" w:rsidRPr="00D01317">
              <w:rPr>
                <w:color w:val="000000" w:themeColor="text1"/>
                <w:sz w:val="18"/>
                <w:szCs w:val="18"/>
              </w:rPr>
              <w:t xml:space="preserve"> </w:t>
            </w:r>
            <w:r w:rsidRPr="00F236F2">
              <w:rPr>
                <w:color w:val="000000" w:themeColor="text1"/>
                <w:sz w:val="18"/>
                <w:szCs w:val="18"/>
              </w:rPr>
              <w:t>wydaje się lepiej obrazować efekty (względem km linii komunikacyjnej, który jest raczej wskaźnikiem produktu).</w:t>
            </w:r>
          </w:p>
          <w:p w14:paraId="3E43308B" w14:textId="77777777" w:rsidR="002C2855" w:rsidRPr="00F236F2" w:rsidRDefault="002C2855" w:rsidP="0034123E">
            <w:pPr>
              <w:pStyle w:val="Zwykytekst"/>
              <w:spacing w:before="60"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sidRPr="00F236F2">
              <w:rPr>
                <w:color w:val="000000" w:themeColor="text1"/>
                <w:sz w:val="18"/>
                <w:szCs w:val="18"/>
              </w:rPr>
              <w:t xml:space="preserve"> </w:t>
            </w:r>
            <w:r w:rsidRPr="00F236F2">
              <w:rPr>
                <w:rFonts w:asciiTheme="minorHAnsi" w:hAnsiTheme="minorHAnsi"/>
                <w:color w:val="000000" w:themeColor="text1"/>
                <w:sz w:val="18"/>
                <w:szCs w:val="18"/>
              </w:rPr>
              <w:t xml:space="preserve">Warto uwzględnić wskaźniki tzw. czasów dojazdu </w:t>
            </w:r>
            <w:r>
              <w:rPr>
                <w:rFonts w:asciiTheme="minorHAnsi" w:hAnsiTheme="minorHAnsi"/>
                <w:color w:val="000000" w:themeColor="text1"/>
                <w:sz w:val="18"/>
                <w:szCs w:val="18"/>
              </w:rPr>
              <w:t xml:space="preserve">i/lub liczby połączeń transportem publicznym </w:t>
            </w:r>
            <w:r w:rsidRPr="00F236F2">
              <w:rPr>
                <w:rFonts w:asciiTheme="minorHAnsi" w:hAnsiTheme="minorHAnsi"/>
                <w:color w:val="000000" w:themeColor="text1"/>
                <w:sz w:val="18"/>
                <w:szCs w:val="18"/>
              </w:rPr>
              <w:t>(na podstawie własnych badań</w:t>
            </w:r>
            <w:r>
              <w:rPr>
                <w:rFonts w:asciiTheme="minorHAnsi" w:hAnsiTheme="minorHAnsi"/>
                <w:color w:val="000000" w:themeColor="text1"/>
                <w:sz w:val="18"/>
                <w:szCs w:val="18"/>
              </w:rPr>
              <w:t>) – z</w:t>
            </w:r>
            <w:r w:rsidRPr="00F236F2">
              <w:rPr>
                <w:rFonts w:asciiTheme="minorHAnsi" w:hAnsiTheme="minorHAnsi"/>
                <w:color w:val="000000" w:themeColor="text1"/>
                <w:sz w:val="18"/>
                <w:szCs w:val="18"/>
              </w:rPr>
              <w:t xml:space="preserve"> mniejszych ośrodków miejskich do Poznania, ale także z innych ośrodków metropolitalnych w Polsce</w:t>
            </w:r>
            <w:r>
              <w:rPr>
                <w:sz w:val="18"/>
                <w:szCs w:val="18"/>
                <w:lang w:eastAsia="pl-PL"/>
              </w:rPr>
              <w:t xml:space="preserve">. Warto pomyśleć o mierzeniu również dostępności do np. ośrodków powiatowych. </w:t>
            </w:r>
            <w:r w:rsidRPr="00F236F2">
              <w:rPr>
                <w:rFonts w:asciiTheme="minorHAnsi" w:hAnsiTheme="minorHAnsi"/>
                <w:color w:val="000000" w:themeColor="text1"/>
                <w:sz w:val="18"/>
                <w:szCs w:val="18"/>
              </w:rPr>
              <w:t>(ew.</w:t>
            </w:r>
            <w:r>
              <w:rPr>
                <w:rFonts w:asciiTheme="minorHAnsi" w:hAnsiTheme="minorHAnsi"/>
                <w:color w:val="000000" w:themeColor="text1"/>
                <w:sz w:val="18"/>
                <w:szCs w:val="18"/>
              </w:rPr>
              <w:t xml:space="preserve"> wskaźniki te można uwzględnić</w:t>
            </w:r>
            <w:r w:rsidRPr="00F236F2">
              <w:rPr>
                <w:rFonts w:asciiTheme="minorHAnsi" w:hAnsiTheme="minorHAnsi"/>
                <w:color w:val="000000" w:themeColor="text1"/>
                <w:sz w:val="18"/>
                <w:szCs w:val="18"/>
              </w:rPr>
              <w:t xml:space="preserve"> przy celu 4.).</w:t>
            </w:r>
          </w:p>
        </w:tc>
      </w:tr>
      <w:tr w:rsidR="002C2855" w:rsidRPr="00F236F2" w14:paraId="5E0285A8" w14:textId="77777777" w:rsidTr="0034123E">
        <w:trPr>
          <w:trHeight w:val="606"/>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14:paraId="40D3D803" w14:textId="77777777" w:rsidR="002C2855" w:rsidRPr="00F236F2" w:rsidRDefault="002C2855" w:rsidP="0034123E">
            <w:pPr>
              <w:pStyle w:val="Default"/>
              <w:spacing w:after="0"/>
              <w:rPr>
                <w:rFonts w:ascii="Times New Roman" w:hAnsi="Times New Roman"/>
                <w:color w:val="000000" w:themeColor="text1"/>
                <w:sz w:val="24"/>
              </w:rPr>
            </w:pPr>
            <w:r w:rsidRPr="00F236F2">
              <w:rPr>
                <w:rFonts w:asciiTheme="minorHAnsi" w:hAnsiTheme="minorHAnsi"/>
                <w:color w:val="000000" w:themeColor="text1"/>
                <w:sz w:val="18"/>
                <w:szCs w:val="18"/>
              </w:rPr>
              <w:t>4</w:t>
            </w:r>
            <w:r w:rsidRPr="00F236F2">
              <w:rPr>
                <w:rFonts w:asciiTheme="minorHAnsi" w:hAnsiTheme="minorHAnsi"/>
                <w:color w:val="000000" w:themeColor="text1"/>
                <w:sz w:val="12"/>
                <w:szCs w:val="18"/>
              </w:rPr>
              <w:t xml:space="preserve">. </w:t>
            </w:r>
            <w:r w:rsidRPr="00F236F2">
              <w:rPr>
                <w:rFonts w:asciiTheme="minorHAnsi" w:hAnsiTheme="minorHAnsi"/>
                <w:color w:val="000000" w:themeColor="text1"/>
                <w:sz w:val="18"/>
              </w:rPr>
              <w:t xml:space="preserve">Zwiększanie konkurencyjności metropolii poznańskiej i innych </w:t>
            </w:r>
            <w:r w:rsidR="006B4E7E">
              <w:rPr>
                <w:rFonts w:asciiTheme="minorHAnsi" w:hAnsiTheme="minorHAnsi"/>
                <w:color w:val="000000" w:themeColor="text1"/>
                <w:sz w:val="18"/>
              </w:rPr>
              <w:t>ośrodków wzrostu w województwie</w:t>
            </w:r>
          </w:p>
        </w:tc>
        <w:tc>
          <w:tcPr>
            <w:tcW w:w="6521" w:type="dxa"/>
          </w:tcPr>
          <w:p w14:paraId="1A12CB00" w14:textId="77777777" w:rsidR="002C2855" w:rsidRPr="00F236F2" w:rsidRDefault="002C2855" w:rsidP="0034123E">
            <w:pPr>
              <w:pStyle w:val="Zwykytekst"/>
              <w:spacing w:before="60" w:after="60"/>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F236F2">
              <w:rPr>
                <w:color w:val="000000" w:themeColor="text1"/>
                <w:sz w:val="18"/>
                <w:szCs w:val="18"/>
              </w:rPr>
              <w:t>Wykorzystane wskaźniki gospodarcze i demograficzne być może warto uzupełnić o wskaźniki dotyczące dostępu do usług np. związanych kultu</w:t>
            </w:r>
            <w:r w:rsidR="006B4E7E">
              <w:rPr>
                <w:color w:val="000000" w:themeColor="text1"/>
                <w:sz w:val="18"/>
                <w:szCs w:val="18"/>
              </w:rPr>
              <w:t>rą czy usługami wyższego rzędu.</w:t>
            </w:r>
          </w:p>
        </w:tc>
      </w:tr>
      <w:tr w:rsidR="002C2855" w:rsidRPr="00F236F2" w14:paraId="7486FBE3" w14:textId="77777777" w:rsidTr="00341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bottom w:val="none" w:sz="0" w:space="0" w:color="auto"/>
            </w:tcBorders>
            <w:vAlign w:val="center"/>
            <w:hideMark/>
          </w:tcPr>
          <w:p w14:paraId="21CE62E3" w14:textId="77777777" w:rsidR="002C2855" w:rsidRPr="00F236F2" w:rsidRDefault="002C2855" w:rsidP="0034123E">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t xml:space="preserve">5.Zwiększenie spójności województwa </w:t>
            </w:r>
          </w:p>
        </w:tc>
        <w:tc>
          <w:tcPr>
            <w:tcW w:w="6521" w:type="dxa"/>
            <w:tcBorders>
              <w:top w:val="none" w:sz="0" w:space="0" w:color="auto"/>
              <w:bottom w:val="none" w:sz="0" w:space="0" w:color="auto"/>
            </w:tcBorders>
          </w:tcPr>
          <w:p w14:paraId="05B464AD" w14:textId="53434112" w:rsidR="002C2855" w:rsidRPr="00F236F2" w:rsidRDefault="002C2855" w:rsidP="0034123E">
            <w:pPr>
              <w:pStyle w:val="Zwykytekst"/>
              <w:spacing w:before="60" w:after="60"/>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F236F2">
              <w:rPr>
                <w:color w:val="000000" w:themeColor="text1"/>
                <w:sz w:val="18"/>
                <w:szCs w:val="18"/>
              </w:rPr>
              <w:t>Brakuje wskaźnika obrazującego aktywność środowisk lokalnych np. członkostwo w organizacjach, stowarzyszeniach</w:t>
            </w:r>
            <w:r w:rsidR="00DB1105">
              <w:rPr>
                <w:color w:val="000000" w:themeColor="text1"/>
                <w:sz w:val="18"/>
                <w:szCs w:val="18"/>
              </w:rPr>
              <w:t xml:space="preserve"> (</w:t>
            </w:r>
            <w:r w:rsidR="007707D1">
              <w:rPr>
                <w:color w:val="000000" w:themeColor="text1"/>
                <w:sz w:val="18"/>
                <w:szCs w:val="18"/>
              </w:rPr>
              <w:t xml:space="preserve">takie </w:t>
            </w:r>
            <w:r w:rsidR="00DB1105">
              <w:rPr>
                <w:color w:val="000000" w:themeColor="text1"/>
                <w:sz w:val="18"/>
                <w:szCs w:val="18"/>
              </w:rPr>
              <w:t>dane</w:t>
            </w:r>
            <w:r w:rsidR="007707D1">
              <w:rPr>
                <w:color w:val="000000" w:themeColor="text1"/>
                <w:sz w:val="18"/>
                <w:szCs w:val="18"/>
              </w:rPr>
              <w:t xml:space="preserve"> można pozyskać z</w:t>
            </w:r>
            <w:r w:rsidR="00DB1105">
              <w:rPr>
                <w:color w:val="000000" w:themeColor="text1"/>
                <w:sz w:val="18"/>
                <w:szCs w:val="18"/>
              </w:rPr>
              <w:t xml:space="preserve"> </w:t>
            </w:r>
            <w:r w:rsidR="007707D1">
              <w:rPr>
                <w:color w:val="000000" w:themeColor="text1"/>
                <w:sz w:val="18"/>
                <w:szCs w:val="18"/>
              </w:rPr>
              <w:t xml:space="preserve">Banku Danych Lokalnych </w:t>
            </w:r>
            <w:r w:rsidR="00DB1105">
              <w:rPr>
                <w:color w:val="000000" w:themeColor="text1"/>
                <w:sz w:val="18"/>
                <w:szCs w:val="18"/>
              </w:rPr>
              <w:t>GUS)</w:t>
            </w:r>
            <w:r w:rsidRPr="00F236F2">
              <w:rPr>
                <w:color w:val="000000" w:themeColor="text1"/>
                <w:sz w:val="18"/>
                <w:szCs w:val="18"/>
              </w:rPr>
              <w:t xml:space="preserve">. </w:t>
            </w:r>
          </w:p>
        </w:tc>
      </w:tr>
      <w:tr w:rsidR="002C2855" w:rsidRPr="00F236F2" w14:paraId="166D6D7E" w14:textId="77777777" w:rsidTr="0034123E">
        <w:tc>
          <w:tcPr>
            <w:cnfStyle w:val="001000000000" w:firstRow="0" w:lastRow="0" w:firstColumn="1" w:lastColumn="0" w:oddVBand="0" w:evenVBand="0" w:oddHBand="0" w:evenHBand="0" w:firstRowFirstColumn="0" w:firstRowLastColumn="0" w:lastRowFirstColumn="0" w:lastRowLastColumn="0"/>
            <w:tcW w:w="2552" w:type="dxa"/>
            <w:vAlign w:val="center"/>
          </w:tcPr>
          <w:p w14:paraId="797A38C2" w14:textId="77777777" w:rsidR="002C2855" w:rsidRPr="00F236F2" w:rsidRDefault="002C2855" w:rsidP="0034123E">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lastRenderedPageBreak/>
              <w:t>6.Wzmocnienie potencjału gospodarczego regionu</w:t>
            </w:r>
          </w:p>
        </w:tc>
        <w:tc>
          <w:tcPr>
            <w:tcW w:w="6521" w:type="dxa"/>
          </w:tcPr>
          <w:p w14:paraId="60E07012" w14:textId="77777777" w:rsidR="002C2855" w:rsidRPr="00F236F2" w:rsidRDefault="002C2855" w:rsidP="0034123E">
            <w:pPr>
              <w:pStyle w:val="Zwykytekst"/>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F236F2">
              <w:rPr>
                <w:color w:val="000000" w:themeColor="text1"/>
                <w:sz w:val="18"/>
                <w:szCs w:val="18"/>
              </w:rPr>
              <w:t xml:space="preserve">Zaleca się uzupełnienie listy o wskaźnik udziału jednostek naukowych z oceną parametryczną A lub A+ jako % wszystkich podlegających ocenie (MNiSW), </w:t>
            </w:r>
            <w:r w:rsidRPr="00F236F2">
              <w:rPr>
                <w:rFonts w:asciiTheme="minorHAnsi" w:hAnsiTheme="minorHAnsi"/>
                <w:color w:val="000000" w:themeColor="text1"/>
                <w:sz w:val="18"/>
                <w:szCs w:val="18"/>
              </w:rPr>
              <w:t>a także wskaźnik udziału pracujących w B+R w sektorze przedsiębiorstw.</w:t>
            </w:r>
          </w:p>
          <w:p w14:paraId="1D385DA6" w14:textId="4B486235" w:rsidR="002C2855" w:rsidRPr="00F236F2" w:rsidRDefault="002C2855" w:rsidP="0034123E">
            <w:pPr>
              <w:pStyle w:val="Zwykytekst"/>
              <w:spacing w:before="60" w:after="60"/>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F236F2">
              <w:rPr>
                <w:rFonts w:asciiTheme="minorHAnsi" w:hAnsiTheme="minorHAnsi"/>
                <w:color w:val="000000" w:themeColor="text1"/>
                <w:sz w:val="18"/>
                <w:szCs w:val="18"/>
              </w:rPr>
              <w:t>Inteligentne specjalizacje na etapie określania wskaźników nie były jeszcze wyznaczone</w:t>
            </w:r>
            <w:r>
              <w:rPr>
                <w:rFonts w:asciiTheme="minorHAnsi" w:hAnsiTheme="minorHAnsi"/>
                <w:color w:val="000000" w:themeColor="text1"/>
                <w:sz w:val="18"/>
                <w:szCs w:val="18"/>
              </w:rPr>
              <w:t>,</w:t>
            </w:r>
            <w:r w:rsidRPr="00F236F2">
              <w:rPr>
                <w:rFonts w:asciiTheme="minorHAnsi" w:hAnsiTheme="minorHAnsi"/>
                <w:color w:val="000000" w:themeColor="text1"/>
                <w:sz w:val="18"/>
                <w:szCs w:val="18"/>
              </w:rPr>
              <w:t xml:space="preserve"> więc ich monitoring został pominięty. Rekomendujemy wykorzystanie jednego ze wskaźników monitorowania specjalizacji, zapisanych w </w:t>
            </w:r>
            <w:r>
              <w:rPr>
                <w:rFonts w:asciiTheme="minorHAnsi" w:hAnsiTheme="minorHAnsi"/>
                <w:color w:val="000000" w:themeColor="text1"/>
                <w:sz w:val="18"/>
                <w:szCs w:val="18"/>
              </w:rPr>
              <w:t>RI</w:t>
            </w:r>
            <w:r w:rsidR="006F3985">
              <w:rPr>
                <w:rFonts w:asciiTheme="minorHAnsi" w:hAnsiTheme="minorHAnsi"/>
                <w:color w:val="000000" w:themeColor="text1"/>
                <w:sz w:val="18"/>
                <w:szCs w:val="18"/>
              </w:rPr>
              <w:t>S</w:t>
            </w:r>
            <w:r w:rsidRPr="00F236F2">
              <w:rPr>
                <w:rFonts w:asciiTheme="minorHAnsi" w:hAnsiTheme="minorHAnsi"/>
                <w:color w:val="000000" w:themeColor="text1"/>
                <w:sz w:val="18"/>
                <w:szCs w:val="18"/>
              </w:rPr>
              <w:t xml:space="preserve"> – liczba przedsiębiorstw z poszczególnych specjalizacji; wartość eksportu przedsiębiorstw z poszczególnych specjalizacji; liczba inicjatyw klastrowych w poszczególnych specjalizacjach; liczba zatrudnionych w poszczególnych specjalizacjach</w:t>
            </w:r>
            <w:r>
              <w:rPr>
                <w:rFonts w:asciiTheme="minorHAnsi" w:hAnsiTheme="minorHAnsi"/>
                <w:color w:val="000000" w:themeColor="text1"/>
                <w:sz w:val="18"/>
                <w:szCs w:val="18"/>
              </w:rPr>
              <w:t>.</w:t>
            </w:r>
          </w:p>
        </w:tc>
      </w:tr>
      <w:tr w:rsidR="002C2855" w:rsidRPr="00F236F2" w14:paraId="6F1E28B9" w14:textId="77777777" w:rsidTr="00341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bottom w:val="none" w:sz="0" w:space="0" w:color="auto"/>
            </w:tcBorders>
            <w:vAlign w:val="center"/>
            <w:hideMark/>
          </w:tcPr>
          <w:p w14:paraId="7F0E397C" w14:textId="77777777" w:rsidR="002C2855" w:rsidRPr="00F236F2" w:rsidRDefault="002C2855" w:rsidP="0034123E">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t>7. Wzrost kompetencji mieszkańców i zatrudnienia</w:t>
            </w:r>
          </w:p>
        </w:tc>
        <w:tc>
          <w:tcPr>
            <w:tcW w:w="6521" w:type="dxa"/>
            <w:tcBorders>
              <w:top w:val="none" w:sz="0" w:space="0" w:color="auto"/>
              <w:bottom w:val="none" w:sz="0" w:space="0" w:color="auto"/>
            </w:tcBorders>
          </w:tcPr>
          <w:p w14:paraId="5FC04B85" w14:textId="77777777" w:rsidR="002C2855" w:rsidRPr="00F236F2" w:rsidRDefault="002C2855" w:rsidP="0034123E">
            <w:pPr>
              <w:pStyle w:val="Zwykytekst"/>
              <w:spacing w:before="60" w:after="60"/>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F236F2">
              <w:rPr>
                <w:color w:val="000000" w:themeColor="text1"/>
                <w:sz w:val="18"/>
                <w:szCs w:val="18"/>
              </w:rPr>
              <w:t>Warto byłoby dodać wskaźniki monitorujące zmiany i efekty z zakresu kształcenia zawodowego i technicznego. Jednak wprowadzenie szkół branżowych oraz likwidacja gimnazjów mogą zaburzyć „ciągłość danych” statystyki publicznej. Być może w tym aspekcie warto sięgnąć do badań własnych WUP.</w:t>
            </w:r>
          </w:p>
        </w:tc>
      </w:tr>
      <w:tr w:rsidR="002C2855" w:rsidRPr="00F236F2" w14:paraId="1BC1D752" w14:textId="77777777" w:rsidTr="0034123E">
        <w:tc>
          <w:tcPr>
            <w:cnfStyle w:val="001000000000" w:firstRow="0" w:lastRow="0" w:firstColumn="1" w:lastColumn="0" w:oddVBand="0" w:evenVBand="0" w:oddHBand="0" w:evenHBand="0" w:firstRowFirstColumn="0" w:firstRowLastColumn="0" w:lastRowFirstColumn="0" w:lastRowLastColumn="0"/>
            <w:tcW w:w="2552" w:type="dxa"/>
            <w:vAlign w:val="center"/>
            <w:hideMark/>
          </w:tcPr>
          <w:p w14:paraId="730D2143" w14:textId="77777777" w:rsidR="002C2855" w:rsidRPr="00F236F2" w:rsidRDefault="002C2855" w:rsidP="0034123E">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t xml:space="preserve">8. Zwiększanie zasobów oraz wyrównywanie potencjałów społecznych województwa </w:t>
            </w:r>
          </w:p>
        </w:tc>
        <w:tc>
          <w:tcPr>
            <w:tcW w:w="6521" w:type="dxa"/>
          </w:tcPr>
          <w:p w14:paraId="59C20272" w14:textId="4A27CFF9" w:rsidR="002C2855" w:rsidRPr="00F236F2" w:rsidRDefault="002C2855" w:rsidP="0034123E">
            <w:pPr>
              <w:pStyle w:val="Zwykytekst"/>
              <w:spacing w:before="60" w:after="60"/>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F236F2">
              <w:rPr>
                <w:color w:val="000000" w:themeColor="text1"/>
                <w:sz w:val="18"/>
                <w:szCs w:val="18"/>
              </w:rPr>
              <w:t xml:space="preserve">Rekomendujemy </w:t>
            </w:r>
            <w:r w:rsidR="56862DA9" w:rsidRPr="56862DA9">
              <w:rPr>
                <w:color w:val="000000" w:themeColor="text1"/>
                <w:sz w:val="18"/>
                <w:szCs w:val="18"/>
              </w:rPr>
              <w:t>uwzględnienie</w:t>
            </w:r>
            <w:r w:rsidRPr="00F236F2">
              <w:rPr>
                <w:color w:val="000000" w:themeColor="text1"/>
                <w:sz w:val="18"/>
                <w:szCs w:val="18"/>
              </w:rPr>
              <w:t xml:space="preserve"> wskaźnika (wartość względna) liczba organizacji pozarządowych l</w:t>
            </w:r>
            <w:r w:rsidR="00A679B3">
              <w:rPr>
                <w:color w:val="000000" w:themeColor="text1"/>
                <w:sz w:val="18"/>
                <w:szCs w:val="18"/>
              </w:rPr>
              <w:t xml:space="preserve">ub członkostwo w organizacjach, </w:t>
            </w:r>
            <w:r w:rsidRPr="00F236F2">
              <w:rPr>
                <w:color w:val="000000" w:themeColor="text1"/>
                <w:sz w:val="18"/>
                <w:szCs w:val="18"/>
              </w:rPr>
              <w:t>jako przejaw aktywności społecznej – ten w</w:t>
            </w:r>
            <w:r w:rsidR="00A679B3">
              <w:rPr>
                <w:color w:val="000000" w:themeColor="text1"/>
                <w:sz w:val="18"/>
                <w:szCs w:val="18"/>
              </w:rPr>
              <w:t>skaźnik nie pojawia się nigdzie (takie dane można pozyskać z Banku Danych Lokalnych GUS)</w:t>
            </w:r>
            <w:r w:rsidR="00A679B3" w:rsidRPr="00F236F2">
              <w:rPr>
                <w:color w:val="000000" w:themeColor="text1"/>
                <w:sz w:val="18"/>
                <w:szCs w:val="18"/>
              </w:rPr>
              <w:t>.</w:t>
            </w:r>
          </w:p>
          <w:p w14:paraId="02E4BA0B" w14:textId="77777777" w:rsidR="002C2855" w:rsidRPr="00F236F2" w:rsidRDefault="002C2855" w:rsidP="0034123E">
            <w:pPr>
              <w:pStyle w:val="Zwykytekst"/>
              <w:spacing w:before="60" w:after="60"/>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F236F2">
              <w:rPr>
                <w:color w:val="000000" w:themeColor="text1"/>
                <w:sz w:val="18"/>
                <w:szCs w:val="18"/>
              </w:rPr>
              <w:t>Jako uzupełninie proponujemy także dodać wskaźnik % osób w gospodarstwach domowych żyjących poniżej relatywnej granicy ubóstwa.</w:t>
            </w:r>
          </w:p>
        </w:tc>
      </w:tr>
      <w:tr w:rsidR="002C2855" w:rsidRPr="00F236F2" w14:paraId="2DEA8ECB" w14:textId="77777777" w:rsidTr="00341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bottom w:val="none" w:sz="0" w:space="0" w:color="auto"/>
            </w:tcBorders>
            <w:vAlign w:val="center"/>
            <w:hideMark/>
          </w:tcPr>
          <w:p w14:paraId="766E156B" w14:textId="77777777" w:rsidR="002C2855" w:rsidRPr="00F236F2" w:rsidRDefault="002C2855" w:rsidP="0034123E">
            <w:pPr>
              <w:pStyle w:val="Zwykytekst"/>
              <w:rPr>
                <w:rFonts w:asciiTheme="minorHAnsi" w:hAnsiTheme="minorHAnsi"/>
                <w:color w:val="000000" w:themeColor="text1"/>
                <w:sz w:val="18"/>
                <w:szCs w:val="18"/>
              </w:rPr>
            </w:pPr>
            <w:r w:rsidRPr="00F236F2">
              <w:rPr>
                <w:rFonts w:asciiTheme="minorHAnsi" w:hAnsiTheme="minorHAnsi"/>
                <w:color w:val="000000" w:themeColor="text1"/>
                <w:sz w:val="18"/>
                <w:szCs w:val="18"/>
              </w:rPr>
              <w:t>9. Wzrost bezpieczeństwa i sprawności zarzadzania regionem</w:t>
            </w:r>
          </w:p>
        </w:tc>
        <w:tc>
          <w:tcPr>
            <w:tcW w:w="6521" w:type="dxa"/>
            <w:tcBorders>
              <w:top w:val="none" w:sz="0" w:space="0" w:color="auto"/>
              <w:bottom w:val="none" w:sz="0" w:space="0" w:color="auto"/>
            </w:tcBorders>
            <w:hideMark/>
          </w:tcPr>
          <w:p w14:paraId="7838964A" w14:textId="77777777" w:rsidR="002C2855" w:rsidRPr="00F236F2" w:rsidRDefault="002C2855" w:rsidP="0034123E">
            <w:pPr>
              <w:pStyle w:val="Zwykytekst"/>
              <w:spacing w:before="60"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sz w:val="18"/>
                <w:szCs w:val="18"/>
                <w:shd w:val="clear" w:color="auto" w:fill="FAFAFA"/>
              </w:rPr>
            </w:pPr>
            <w:r w:rsidRPr="00F236F2">
              <w:rPr>
                <w:rFonts w:asciiTheme="minorHAnsi" w:hAnsiTheme="minorHAnsi" w:cs="Arial"/>
                <w:color w:val="000000" w:themeColor="text1"/>
                <w:sz w:val="18"/>
                <w:szCs w:val="18"/>
                <w:shd w:val="clear" w:color="auto" w:fill="FAFAFA"/>
              </w:rPr>
              <w:t>Warto uzupełnić o wskaźnik dotyczący przyjazdów turystów zagranicznych (noclegi udzielone turystom zagranicznym) jako efekt działań związanych z promocją regionu.</w:t>
            </w:r>
          </w:p>
        </w:tc>
      </w:tr>
    </w:tbl>
    <w:p w14:paraId="1A74C99B" w14:textId="3C906A02" w:rsidR="002C2855" w:rsidRPr="00521333" w:rsidRDefault="002C2855" w:rsidP="0034123E">
      <w:pPr>
        <w:rPr>
          <w:sz w:val="16"/>
          <w:lang w:eastAsia="pl-PL"/>
        </w:rPr>
      </w:pPr>
      <w:r w:rsidRPr="001A1F76">
        <w:rPr>
          <w:sz w:val="16"/>
          <w:lang w:eastAsia="pl-PL"/>
        </w:rPr>
        <w:t xml:space="preserve">Źródło: </w:t>
      </w:r>
      <w:r w:rsidR="004D2591">
        <w:rPr>
          <w:sz w:val="16"/>
          <w:lang w:eastAsia="pl-PL"/>
        </w:rPr>
        <w:t>o</w:t>
      </w:r>
      <w:r w:rsidRPr="001A1F76">
        <w:rPr>
          <w:sz w:val="16"/>
          <w:lang w:eastAsia="pl-PL"/>
        </w:rPr>
        <w:t>pracowanie własne</w:t>
      </w:r>
    </w:p>
    <w:p w14:paraId="0D66FA35" w14:textId="77777777" w:rsidR="002C2855" w:rsidRDefault="002C2855" w:rsidP="00624AA4">
      <w:pPr>
        <w:pStyle w:val="Nagwek2"/>
      </w:pPr>
      <w:bookmarkStart w:id="215" w:name="_Toc536653172"/>
      <w:bookmarkStart w:id="216" w:name="_Toc1904839"/>
      <w:bookmarkStart w:id="217" w:name="_Toc5699487"/>
      <w:r>
        <w:t>W kierunku optymalnego monitoringu</w:t>
      </w:r>
      <w:bookmarkEnd w:id="215"/>
      <w:bookmarkEnd w:id="216"/>
      <w:bookmarkEnd w:id="217"/>
    </w:p>
    <w:p w14:paraId="42996DE3" w14:textId="77777777" w:rsidR="002C2855" w:rsidRDefault="002C2855" w:rsidP="002C2855">
      <w:pPr>
        <w:rPr>
          <w:lang w:eastAsia="pl-PL"/>
        </w:rPr>
      </w:pPr>
      <w:r>
        <w:rPr>
          <w:lang w:eastAsia="pl-PL"/>
        </w:rPr>
        <w:t>Optymalny monitoring oznacza, że trzy człony monitoringu: pozyskiwanie informacji, analiza danych oraz uczenie się przebiegają w sposób pozwalający podejmować trafne decyzje zarządcze.</w:t>
      </w:r>
    </w:p>
    <w:p w14:paraId="131984DE" w14:textId="391297FA" w:rsidR="002C2855" w:rsidRDefault="002C2855" w:rsidP="002C2855">
      <w:pPr>
        <w:rPr>
          <w:lang w:eastAsia="pl-PL"/>
        </w:rPr>
      </w:pPr>
      <w:r>
        <w:rPr>
          <w:lang w:eastAsia="pl-PL"/>
        </w:rPr>
        <w:t>Problem monitorowania strategii województw jest przedmiotem dyskusji już od pierwszych prac nad tymi dokumentami (lata 1999-2000) i można powiedzieć, że wciąż uczymy się monitorować. Dlatego w pierwszej kolejności wskazujemy</w:t>
      </w:r>
      <w:r w:rsidR="00EE0A1F">
        <w:rPr>
          <w:lang w:eastAsia="pl-PL"/>
        </w:rPr>
        <w:t xml:space="preserve"> na</w:t>
      </w:r>
      <w:r>
        <w:rPr>
          <w:lang w:eastAsia="pl-PL"/>
        </w:rPr>
        <w:t xml:space="preserve"> doświadczenia innych województwa.</w:t>
      </w:r>
    </w:p>
    <w:p w14:paraId="550B0599" w14:textId="77777777" w:rsidR="002C2855" w:rsidRDefault="002C2855" w:rsidP="00624AA4">
      <w:pPr>
        <w:pStyle w:val="Nagwek3"/>
      </w:pPr>
      <w:bookmarkStart w:id="218" w:name="_Toc536653173"/>
      <w:bookmarkStart w:id="219" w:name="_Toc1904840"/>
      <w:bookmarkStart w:id="220" w:name="_Toc5699488"/>
      <w:r>
        <w:t>Czego nas uczą inne regiony?</w:t>
      </w:r>
      <w:bookmarkEnd w:id="218"/>
      <w:bookmarkEnd w:id="219"/>
      <w:bookmarkEnd w:id="220"/>
    </w:p>
    <w:p w14:paraId="22E2AD54" w14:textId="77777777" w:rsidR="002C2855" w:rsidRPr="00BF08D5" w:rsidRDefault="002C2855" w:rsidP="00BF08D5">
      <w:pPr>
        <w:ind w:left="4536"/>
        <w:jc w:val="left"/>
        <w:rPr>
          <w:b/>
          <w:i/>
          <w:color w:val="001E50"/>
        </w:rPr>
      </w:pPr>
      <w:r w:rsidRPr="00BF08D5">
        <w:rPr>
          <w:b/>
          <w:i/>
          <w:color w:val="001E50"/>
        </w:rPr>
        <w:t>Nie ma systemu idealnego, ale z czasem jesteśmy coraz lepsi …</w:t>
      </w:r>
    </w:p>
    <w:p w14:paraId="6D2034D2" w14:textId="77777777" w:rsidR="002C2855" w:rsidRPr="001203DE" w:rsidRDefault="002C2855" w:rsidP="006B4E7E">
      <w:pPr>
        <w:shd w:val="clear" w:color="auto" w:fill="FFE599"/>
        <w:rPr>
          <w:szCs w:val="22"/>
          <w:lang w:eastAsia="pl-PL"/>
        </w:rPr>
      </w:pPr>
      <w:r w:rsidRPr="001203DE">
        <w:rPr>
          <w:szCs w:val="22"/>
          <w:lang w:eastAsia="pl-PL"/>
        </w:rPr>
        <w:t xml:space="preserve">Dwa Sprawozdania z realizacji Strategii </w:t>
      </w:r>
      <w:r>
        <w:rPr>
          <w:szCs w:val="22"/>
          <w:lang w:eastAsia="pl-PL"/>
        </w:rPr>
        <w:t xml:space="preserve">rozwoju województwa wielkopolskiego </w:t>
      </w:r>
      <w:r w:rsidRPr="001203DE">
        <w:rPr>
          <w:szCs w:val="22"/>
          <w:lang w:eastAsia="pl-PL"/>
        </w:rPr>
        <w:t xml:space="preserve">przygotowane za lata 2013-2014 i 2015-2016 mogą być również przykładem dobrej praktyki dla innych województw, choć zawsze można wskazać obszary, które można poprawić. </w:t>
      </w:r>
    </w:p>
    <w:p w14:paraId="07975D2B" w14:textId="7E71338B" w:rsidR="002C2855" w:rsidRDefault="002C2855" w:rsidP="002C2855">
      <w:pPr>
        <w:rPr>
          <w:lang w:eastAsia="pl-PL"/>
        </w:rPr>
      </w:pPr>
      <w:r>
        <w:rPr>
          <w:lang w:eastAsia="pl-PL"/>
        </w:rPr>
        <w:t xml:space="preserve">Pogłębione analizy systemu monitorowania strategii województw: lubuskiego, małopolskiego, podkarpackiego i warmińsko-mazurskiego wskazują rozwiązania, które warto rozważyć formułując nowy system </w:t>
      </w:r>
      <w:r w:rsidR="56862DA9" w:rsidRPr="56862DA9">
        <w:rPr>
          <w:lang w:eastAsia="pl-PL"/>
        </w:rPr>
        <w:t>monitorowania</w:t>
      </w:r>
      <w:r>
        <w:rPr>
          <w:lang w:eastAsia="pl-PL"/>
        </w:rPr>
        <w:t xml:space="preserve"> Strategii województwa:</w:t>
      </w:r>
    </w:p>
    <w:p w14:paraId="54DDFE48" w14:textId="34F66898" w:rsidR="002C2855" w:rsidRDefault="002C2855" w:rsidP="009B597F">
      <w:pPr>
        <w:pStyle w:val="Akapitzlist"/>
        <w:numPr>
          <w:ilvl w:val="0"/>
          <w:numId w:val="43"/>
        </w:numPr>
        <w:ind w:left="426"/>
        <w:rPr>
          <w:lang w:eastAsia="pl-PL"/>
        </w:rPr>
      </w:pPr>
      <w:r>
        <w:rPr>
          <w:lang w:eastAsia="pl-PL"/>
        </w:rPr>
        <w:t>budowa silnego merytorycznie zespołu ludzi z jasno określonym celem monitorowania Strategii rozwoju województwa, co nie oznacza, że osoby te muszą być pracownikami jednej komórki w UMWW);</w:t>
      </w:r>
    </w:p>
    <w:p w14:paraId="6370EAD1" w14:textId="77777777" w:rsidR="002C2855" w:rsidRDefault="002C2855" w:rsidP="009B597F">
      <w:pPr>
        <w:pStyle w:val="Akapitzlist"/>
        <w:numPr>
          <w:ilvl w:val="0"/>
          <w:numId w:val="43"/>
        </w:numPr>
        <w:ind w:left="426"/>
        <w:rPr>
          <w:lang w:eastAsia="pl-PL"/>
        </w:rPr>
      </w:pPr>
      <w:r>
        <w:rPr>
          <w:lang w:eastAsia="pl-PL"/>
        </w:rPr>
        <w:t>filozofia monitorowania może opierać się na podejściu odgórnym (przyjęte w strategii wskaźniki) lub oddolnym (monitorowanie określonych w strategii programów);</w:t>
      </w:r>
    </w:p>
    <w:p w14:paraId="7DED4BE2" w14:textId="77777777" w:rsidR="002C2855" w:rsidRDefault="002C2855" w:rsidP="009B597F">
      <w:pPr>
        <w:pStyle w:val="Akapitzlist"/>
        <w:numPr>
          <w:ilvl w:val="0"/>
          <w:numId w:val="43"/>
        </w:numPr>
        <w:ind w:left="426"/>
        <w:rPr>
          <w:lang w:eastAsia="pl-PL"/>
        </w:rPr>
      </w:pPr>
      <w:r>
        <w:rPr>
          <w:lang w:eastAsia="pl-PL"/>
        </w:rPr>
        <w:lastRenderedPageBreak/>
        <w:t>partycypacyjny sposób wyłaniania wskaźników monitoringu, angażujący również regionalny oddział Głównego Urzędu Statystycznego (różne instytucje mają swoje doświadczenia i wiedzę, a także ocenę);</w:t>
      </w:r>
    </w:p>
    <w:p w14:paraId="138515E4" w14:textId="0348E783" w:rsidR="002C2855" w:rsidRDefault="002C2855" w:rsidP="009B597F">
      <w:pPr>
        <w:pStyle w:val="Akapitzlist"/>
        <w:numPr>
          <w:ilvl w:val="0"/>
          <w:numId w:val="43"/>
        </w:numPr>
        <w:ind w:left="426"/>
        <w:rPr>
          <w:lang w:eastAsia="pl-PL"/>
        </w:rPr>
      </w:pPr>
      <w:r>
        <w:rPr>
          <w:lang w:eastAsia="pl-PL"/>
        </w:rPr>
        <w:t>podejście do monitoringu w sposób holistyczny – Strategia jest narzędziem zarządzania rozwojem cał</w:t>
      </w:r>
      <w:r w:rsidR="00EE0A1F">
        <w:rPr>
          <w:lang w:eastAsia="pl-PL"/>
        </w:rPr>
        <w:t>ego</w:t>
      </w:r>
      <w:r>
        <w:rPr>
          <w:lang w:eastAsia="pl-PL"/>
        </w:rPr>
        <w:t xml:space="preserve"> region</w:t>
      </w:r>
      <w:r w:rsidR="00EE0A1F">
        <w:rPr>
          <w:lang w:eastAsia="pl-PL"/>
        </w:rPr>
        <w:t>u</w:t>
      </w:r>
      <w:r>
        <w:rPr>
          <w:lang w:eastAsia="pl-PL"/>
        </w:rPr>
        <w:t xml:space="preserve">, zatem oprócz wskaźników strategicznych i raportu z realizacji </w:t>
      </w:r>
      <w:r w:rsidR="56862DA9" w:rsidRPr="56862DA9">
        <w:rPr>
          <w:lang w:eastAsia="pl-PL"/>
        </w:rPr>
        <w:t>Strategii</w:t>
      </w:r>
      <w:r>
        <w:rPr>
          <w:lang w:eastAsia="pl-PL"/>
        </w:rPr>
        <w:t xml:space="preserve"> ważne są różne badania i ekspertyzy wzbogacające wiedzę o procesach zachodzących w regionie; </w:t>
      </w:r>
    </w:p>
    <w:p w14:paraId="73A577CF" w14:textId="77777777" w:rsidR="002C2855" w:rsidRDefault="002C2855" w:rsidP="009B597F">
      <w:pPr>
        <w:pStyle w:val="Akapitzlist"/>
        <w:numPr>
          <w:ilvl w:val="0"/>
          <w:numId w:val="43"/>
        </w:numPr>
        <w:ind w:left="426"/>
        <w:rPr>
          <w:lang w:eastAsia="pl-PL"/>
        </w:rPr>
      </w:pPr>
      <w:r>
        <w:rPr>
          <w:lang w:eastAsia="pl-PL"/>
        </w:rPr>
        <w:t>warto stosować różnorodność metod w pracach monitoringowych;</w:t>
      </w:r>
    </w:p>
    <w:p w14:paraId="2DF231F1" w14:textId="77777777" w:rsidR="002C2855" w:rsidRDefault="002C2855" w:rsidP="009B597F">
      <w:pPr>
        <w:pStyle w:val="Akapitzlist"/>
        <w:numPr>
          <w:ilvl w:val="0"/>
          <w:numId w:val="43"/>
        </w:numPr>
        <w:ind w:left="426"/>
        <w:rPr>
          <w:lang w:eastAsia="pl-PL"/>
        </w:rPr>
      </w:pPr>
      <w:r>
        <w:rPr>
          <w:lang w:eastAsia="pl-PL"/>
        </w:rPr>
        <w:t>monitoring jest elementem zarządzania rozwojem regionu;</w:t>
      </w:r>
    </w:p>
    <w:p w14:paraId="3F72BA33" w14:textId="77777777" w:rsidR="002C2855" w:rsidRDefault="002C2855" w:rsidP="009B597F">
      <w:pPr>
        <w:pStyle w:val="Akapitzlist"/>
        <w:numPr>
          <w:ilvl w:val="0"/>
          <w:numId w:val="43"/>
        </w:numPr>
        <w:ind w:left="426"/>
        <w:rPr>
          <w:lang w:eastAsia="pl-PL"/>
        </w:rPr>
      </w:pPr>
      <w:r>
        <w:rPr>
          <w:lang w:eastAsia="pl-PL"/>
        </w:rPr>
        <w:t>cyklicznie powtarzane raporty z realizacji Strategii z czasem tworzą serię wydawniczą, stanowiącą wartość poznawczą i podstawę do głębszej refleksji o regionie.</w:t>
      </w:r>
    </w:p>
    <w:p w14:paraId="2F5E1397" w14:textId="77777777" w:rsidR="002C2855" w:rsidRDefault="002C2855" w:rsidP="00624AA4">
      <w:pPr>
        <w:pStyle w:val="Nagwek3"/>
      </w:pPr>
      <w:bookmarkStart w:id="221" w:name="_Toc536653174"/>
      <w:bookmarkStart w:id="222" w:name="_Toc1904841"/>
      <w:bookmarkStart w:id="223" w:name="_Toc5699489"/>
      <w:r>
        <w:t>Organizacja lepszego monitoringu</w:t>
      </w:r>
      <w:bookmarkEnd w:id="221"/>
      <w:bookmarkEnd w:id="222"/>
      <w:bookmarkEnd w:id="223"/>
    </w:p>
    <w:p w14:paraId="47225242" w14:textId="5CFD61B9" w:rsidR="002C2855" w:rsidRDefault="002C2855" w:rsidP="002C2855">
      <w:pPr>
        <w:rPr>
          <w:lang w:eastAsia="pl-PL"/>
        </w:rPr>
      </w:pPr>
      <w:r>
        <w:rPr>
          <w:lang w:eastAsia="pl-PL"/>
        </w:rPr>
        <w:t>W tej części koncentrujemy się na kilku kluczowych cechach monitoringu SRWW 2020, które wynikają</w:t>
      </w:r>
      <w:r w:rsidR="000817E6">
        <w:rPr>
          <w:lang w:eastAsia="pl-PL"/>
        </w:rPr>
        <w:t xml:space="preserve"> z postawionych przed zespołem E</w:t>
      </w:r>
      <w:r>
        <w:rPr>
          <w:lang w:eastAsia="pl-PL"/>
        </w:rPr>
        <w:t>waluatorów pytań, ale przede wszystkim powinny być częścią dyskusji nad usprawnieniem monitoringu przy okazji aktualizacji SRWW 2020.</w:t>
      </w:r>
    </w:p>
    <w:p w14:paraId="0ABA95FB" w14:textId="21DCBE7C" w:rsidR="002C2855" w:rsidRPr="00BF08D5" w:rsidRDefault="002C2855" w:rsidP="00BF08D5">
      <w:pPr>
        <w:ind w:left="4536"/>
        <w:jc w:val="left"/>
        <w:rPr>
          <w:b/>
          <w:i/>
          <w:color w:val="001E50"/>
        </w:rPr>
      </w:pPr>
      <w:r w:rsidRPr="00BF08D5">
        <w:rPr>
          <w:b/>
          <w:i/>
          <w:color w:val="001E50"/>
        </w:rPr>
        <w:t xml:space="preserve">Monitorowanie strategii </w:t>
      </w:r>
      <w:r w:rsidR="009B597F">
        <w:rPr>
          <w:b/>
          <w:i/>
          <w:color w:val="001E50"/>
        </w:rPr>
        <w:t>jest procesem dostarczania informacji strategicznych i podstawą uczenia się</w:t>
      </w:r>
      <w:r w:rsidRPr="00BF08D5">
        <w:rPr>
          <w:b/>
          <w:i/>
          <w:color w:val="001E50"/>
        </w:rPr>
        <w:t>…</w:t>
      </w:r>
    </w:p>
    <w:p w14:paraId="33187628" w14:textId="77777777" w:rsidR="002C2855" w:rsidRDefault="002C2855" w:rsidP="006B4E7E">
      <w:pPr>
        <w:shd w:val="clear" w:color="auto" w:fill="FFE599"/>
        <w:rPr>
          <w:lang w:eastAsia="pl-PL"/>
        </w:rPr>
      </w:pPr>
      <w:r>
        <w:rPr>
          <w:szCs w:val="22"/>
          <w:lang w:eastAsia="pl-PL"/>
        </w:rPr>
        <w:t>Każda strategia rozwoju województw w Polsce zawiera informację, iż jej twórcy zakładają, iż dokument ten będzie monitorowany. Padają deklaracje dotyczące okresów i formy, w jaki sposób monitoring będzie realizowany. Niektóre dokumenty określają nawet zręby systemu instytucjonalnego. Każda strategia zawiera jakiś zestaw wskaźników, które będą informowały zarząd o sytuacji w regionie.</w:t>
      </w:r>
    </w:p>
    <w:p w14:paraId="4C79AA4E" w14:textId="7AF97C09" w:rsidR="002C2855" w:rsidRDefault="0062250A" w:rsidP="002C2855">
      <w:r>
        <w:t xml:space="preserve">Nawet idealnie opracowany </w:t>
      </w:r>
      <w:r w:rsidR="002C2855">
        <w:t>rozdział strategii zatytułowany „monitoring”</w:t>
      </w:r>
      <w:r>
        <w:t xml:space="preserve"> nie daje gwarancji, iż w rzeczywistości monitorowanie będzie efektywnym procesem pozyskiwania informacji o strategii oraz uczenia się. </w:t>
      </w:r>
      <w:r w:rsidR="002C2855">
        <w:t xml:space="preserve">Dzieje się tak, ponieważ </w:t>
      </w:r>
      <w:r>
        <w:t xml:space="preserve">strategia dość szybko po jej uchwaleniu schodzi na drugi plan, a organizacja koncentruje się na </w:t>
      </w:r>
      <w:r w:rsidR="002C2855">
        <w:t>program</w:t>
      </w:r>
      <w:r>
        <w:t>ach</w:t>
      </w:r>
      <w:r w:rsidR="002C2855">
        <w:t xml:space="preserve"> wdrożeniow</w:t>
      </w:r>
      <w:r>
        <w:t>ych</w:t>
      </w:r>
      <w:r w:rsidR="002C2855">
        <w:t xml:space="preserve"> i spraw</w:t>
      </w:r>
      <w:r>
        <w:t>ach</w:t>
      </w:r>
      <w:r w:rsidR="002C2855">
        <w:t xml:space="preserve"> bieżąc</w:t>
      </w:r>
      <w:r>
        <w:t>ych</w:t>
      </w:r>
      <w:r w:rsidR="002C2855">
        <w:t>.</w:t>
      </w:r>
      <w:r>
        <w:t xml:space="preserve"> </w:t>
      </w:r>
    </w:p>
    <w:p w14:paraId="72876101" w14:textId="77777777" w:rsidR="002C2855" w:rsidRPr="00BF08D5" w:rsidRDefault="002C2855" w:rsidP="00BF08D5">
      <w:pPr>
        <w:ind w:left="4536"/>
        <w:jc w:val="left"/>
        <w:rPr>
          <w:b/>
          <w:i/>
          <w:color w:val="001E50"/>
        </w:rPr>
      </w:pPr>
      <w:r w:rsidRPr="00BF08D5">
        <w:rPr>
          <w:b/>
          <w:i/>
          <w:color w:val="001E50"/>
        </w:rPr>
        <w:t>System monitorowania SRWW 2020 – krótki tekst, dający dużo miejsca na kreatywność</w:t>
      </w:r>
    </w:p>
    <w:p w14:paraId="4EA14811" w14:textId="77777777" w:rsidR="002C2855" w:rsidRDefault="002C2855" w:rsidP="006B4E7E">
      <w:pPr>
        <w:shd w:val="clear" w:color="auto" w:fill="FFE599"/>
        <w:rPr>
          <w:lang w:eastAsia="pl-PL"/>
        </w:rPr>
      </w:pPr>
      <w:r>
        <w:rPr>
          <w:lang w:eastAsia="pl-PL"/>
        </w:rPr>
        <w:t xml:space="preserve">Zaprezentowany w SRWW 2020 rozdział dotyczący systemu monitorowania jest krótki, ale należy pamiętać, że uzupełniają go wskaźniki celu głównego i celów strategicznych. Oznacza to, że jego ramy stanowią: </w:t>
      </w:r>
      <w:r w:rsidR="000114F2">
        <w:rPr>
          <w:lang w:eastAsia="pl-PL"/>
        </w:rPr>
        <w:t xml:space="preserve">ponad 100 </w:t>
      </w:r>
      <w:r>
        <w:rPr>
          <w:lang w:eastAsia="pl-PL"/>
        </w:rPr>
        <w:t>wskaźników, struktura organizacyjna (Wielkopolskie Regionalne Obserwatorium Terytorialne), ale również kilka ogólników i, tak się wydaje, dwa dyskusyjne założenia</w:t>
      </w:r>
      <w:r>
        <w:rPr>
          <w:szCs w:val="22"/>
          <w:lang w:eastAsia="pl-PL"/>
        </w:rPr>
        <w:t>.</w:t>
      </w:r>
    </w:p>
    <w:p w14:paraId="1C5692D0" w14:textId="77777777" w:rsidR="002C2855" w:rsidRDefault="002C2855" w:rsidP="002C2855">
      <w:pPr>
        <w:rPr>
          <w:lang w:eastAsia="pl-PL"/>
        </w:rPr>
      </w:pPr>
      <w:r>
        <w:rPr>
          <w:lang w:eastAsia="pl-PL"/>
        </w:rPr>
        <w:t>W pierwszej kolejności należy podkreślić, że zapisany w SRWW 2020 system monitorowania słusznie stara się oprzeć go o Wielkopolskie Regionalne Obserwatorium Terytorialne, które w okresie tworzenia Strategii mogło być traktowane jako wartościowy element krajowego systemu monitorowania rozwoju (KOT + 16 ROT-ów). Jednak należy podkreślić, że rozwój tej sieci był możliwy dzięki środkom europejskim. Na szczęście obecnie nie musimy jeszcze odpowiadać na pytanie ile zarządów województw zrezygnuje z takich komórek, jeśli zabraknie zewnętrznego źródła finansowania.</w:t>
      </w:r>
    </w:p>
    <w:p w14:paraId="404AF8D9" w14:textId="77777777" w:rsidR="002C2855" w:rsidRDefault="002C2855" w:rsidP="002C2855">
      <w:pPr>
        <w:rPr>
          <w:lang w:eastAsia="pl-PL"/>
        </w:rPr>
      </w:pPr>
      <w:r>
        <w:rPr>
          <w:lang w:eastAsia="pl-PL"/>
        </w:rPr>
        <w:t>Do sformułowań ogólnikowych, które mogły być interpretowane dość dowolnie zaliczyć należy fragmenty dotyczące (wszystkie prezentowane poniżej cytaty pochodzą ze s. 165 SRWW 2020 ):</w:t>
      </w:r>
    </w:p>
    <w:p w14:paraId="17397B05" w14:textId="35291971" w:rsidR="002C2855" w:rsidRDefault="002C2855" w:rsidP="009B597F">
      <w:pPr>
        <w:pStyle w:val="Akapitzlist"/>
        <w:numPr>
          <w:ilvl w:val="0"/>
          <w:numId w:val="46"/>
        </w:numPr>
        <w:ind w:left="567"/>
        <w:rPr>
          <w:lang w:eastAsia="pl-PL"/>
        </w:rPr>
      </w:pPr>
      <w:r>
        <w:rPr>
          <w:lang w:eastAsia="pl-PL"/>
        </w:rPr>
        <w:lastRenderedPageBreak/>
        <w:t xml:space="preserve">określenia istoty monitoringu: </w:t>
      </w:r>
      <w:r w:rsidRPr="00B126AF">
        <w:rPr>
          <w:i/>
          <w:lang w:eastAsia="pl-PL"/>
        </w:rPr>
        <w:t>…w celu oceny realizacji celów Strategii oraz formułowania przesłanek do ewentualnych decyzji o zmianach w zapisach dokumentu</w:t>
      </w:r>
      <w:r>
        <w:rPr>
          <w:lang w:eastAsia="pl-PL"/>
        </w:rPr>
        <w:t xml:space="preserve">: </w:t>
      </w:r>
    </w:p>
    <w:p w14:paraId="13312EA9" w14:textId="6BCC949A" w:rsidR="002C2855" w:rsidRDefault="002C2855" w:rsidP="009B597F">
      <w:pPr>
        <w:pStyle w:val="Akapitzlist"/>
        <w:numPr>
          <w:ilvl w:val="0"/>
          <w:numId w:val="46"/>
        </w:numPr>
        <w:ind w:left="567"/>
        <w:rPr>
          <w:lang w:eastAsia="pl-PL"/>
        </w:rPr>
      </w:pPr>
      <w:r>
        <w:rPr>
          <w:lang w:eastAsia="pl-PL"/>
        </w:rPr>
        <w:t xml:space="preserve">określenia relacji między strategią a programami: </w:t>
      </w:r>
      <w:r w:rsidRPr="00EE77D7">
        <w:rPr>
          <w:i/>
          <w:lang w:eastAsia="pl-PL"/>
        </w:rPr>
        <w:t>Analiza stopnia realizacji poszczególnych celów strategii prowadzona będzie w ramach monitorowania poszczególnych programów lub innych dokumentów czy przedsięwzięć wykonawczych (projektów, działań, inwestycji itp.) według wskaźników określonych w tych dokumentach</w:t>
      </w:r>
      <w:r>
        <w:rPr>
          <w:lang w:eastAsia="pl-PL"/>
        </w:rPr>
        <w:t>;</w:t>
      </w:r>
    </w:p>
    <w:p w14:paraId="60D7B394" w14:textId="77777777" w:rsidR="002C2855" w:rsidRDefault="002C2855" w:rsidP="009B597F">
      <w:pPr>
        <w:pStyle w:val="Akapitzlist"/>
        <w:numPr>
          <w:ilvl w:val="0"/>
          <w:numId w:val="46"/>
        </w:numPr>
        <w:ind w:left="567"/>
        <w:rPr>
          <w:lang w:eastAsia="pl-PL"/>
        </w:rPr>
      </w:pPr>
      <w:r>
        <w:rPr>
          <w:lang w:eastAsia="pl-PL"/>
        </w:rPr>
        <w:t xml:space="preserve">określenia podejścia do monitoringu: </w:t>
      </w:r>
      <w:r w:rsidRPr="00B126AF">
        <w:rPr>
          <w:i/>
          <w:lang w:eastAsia="pl-PL"/>
        </w:rPr>
        <w:t>Ocena realizacji celów strategii będzie dokonywana w trakcie jej realizacji, stosownie do potrzeb</w:t>
      </w:r>
      <w:r>
        <w:rPr>
          <w:lang w:eastAsia="pl-PL"/>
        </w:rPr>
        <w:t>.</w:t>
      </w:r>
    </w:p>
    <w:p w14:paraId="00EE3087" w14:textId="552CDDA0" w:rsidR="002C2855" w:rsidRDefault="00DE7B72" w:rsidP="00DE7B72">
      <w:pPr>
        <w:rPr>
          <w:lang w:eastAsia="pl-PL"/>
        </w:rPr>
      </w:pPr>
      <w:r>
        <w:rPr>
          <w:lang w:eastAsia="pl-PL"/>
        </w:rPr>
        <w:t xml:space="preserve">Jako dyskusyjny fragment </w:t>
      </w:r>
      <w:r w:rsidR="002C2855">
        <w:rPr>
          <w:lang w:eastAsia="pl-PL"/>
        </w:rPr>
        <w:t>założe</w:t>
      </w:r>
      <w:r>
        <w:rPr>
          <w:lang w:eastAsia="pl-PL"/>
        </w:rPr>
        <w:t xml:space="preserve">ń można traktować </w:t>
      </w:r>
      <w:r w:rsidR="002C2855">
        <w:rPr>
          <w:lang w:eastAsia="pl-PL"/>
        </w:rPr>
        <w:t>oparcie monitoringu Strategii o wskaźniki pochodzące w przeważającej mierze ze źródeł statystyki publicznej (tu głównie GUS)</w:t>
      </w:r>
      <w:r>
        <w:rPr>
          <w:lang w:eastAsia="pl-PL"/>
        </w:rPr>
        <w:t>. N</w:t>
      </w:r>
      <w:r w:rsidR="002C2855">
        <w:rPr>
          <w:lang w:eastAsia="pl-PL"/>
        </w:rPr>
        <w:t>ależy</w:t>
      </w:r>
      <w:r>
        <w:rPr>
          <w:lang w:eastAsia="pl-PL"/>
        </w:rPr>
        <w:t xml:space="preserve"> </w:t>
      </w:r>
      <w:r w:rsidR="002C2855">
        <w:rPr>
          <w:lang w:eastAsia="pl-PL"/>
        </w:rPr>
        <w:t>podkreślić, że statystyki publiczne mają przede wszystkim charakter kontekstowy, nie odpowiadają precyzyjnie na pytania dotyczące realizacji konkretnej strategii, nie wyodrębniają też z ogółu informacji działań zależnych od samorządu województwa, jak i innych interesarius</w:t>
      </w:r>
      <w:r>
        <w:rPr>
          <w:lang w:eastAsia="pl-PL"/>
        </w:rPr>
        <w:t>zy procesu wdrażania strategii.</w:t>
      </w:r>
    </w:p>
    <w:p w14:paraId="3AEAE801" w14:textId="77777777" w:rsidR="002C2855" w:rsidRPr="00BF08D5" w:rsidRDefault="002C2855" w:rsidP="00BF08D5">
      <w:pPr>
        <w:ind w:left="4536"/>
        <w:jc w:val="left"/>
        <w:rPr>
          <w:b/>
          <w:i/>
          <w:color w:val="001E50"/>
        </w:rPr>
      </w:pPr>
      <w:r w:rsidRPr="00BF08D5">
        <w:rPr>
          <w:b/>
          <w:i/>
          <w:color w:val="001E50"/>
        </w:rPr>
        <w:t>Dane zasilają system, ale przede wszystkim są podstawą do dyskusji, która powinna stać za konkretnymi decyzjami</w:t>
      </w:r>
    </w:p>
    <w:p w14:paraId="60D33684" w14:textId="77777777" w:rsidR="002C2855" w:rsidRDefault="002C2855" w:rsidP="006B4E7E">
      <w:pPr>
        <w:shd w:val="clear" w:color="auto" w:fill="FFE599"/>
        <w:rPr>
          <w:lang w:eastAsia="pl-PL"/>
        </w:rPr>
      </w:pPr>
      <w:r>
        <w:rPr>
          <w:szCs w:val="22"/>
          <w:lang w:eastAsia="pl-PL"/>
        </w:rPr>
        <w:t xml:space="preserve">Urząd Marszałkowski jest skarbnicą rozproszonych informacji, które zalegają w różnych bazach, sprawozdaniach, notatkach. Paradoksalnie coś, co często </w:t>
      </w:r>
      <w:r w:rsidR="00FA7F46">
        <w:rPr>
          <w:szCs w:val="22"/>
          <w:lang w:eastAsia="pl-PL"/>
        </w:rPr>
        <w:t xml:space="preserve">poddawane jest </w:t>
      </w:r>
      <w:r>
        <w:rPr>
          <w:szCs w:val="22"/>
          <w:lang w:eastAsia="pl-PL"/>
        </w:rPr>
        <w:t>kryty</w:t>
      </w:r>
      <w:r w:rsidR="00FA7F46">
        <w:rPr>
          <w:szCs w:val="22"/>
          <w:lang w:eastAsia="pl-PL"/>
        </w:rPr>
        <w:t>ce</w:t>
      </w:r>
      <w:r>
        <w:rPr>
          <w:szCs w:val="22"/>
          <w:lang w:eastAsia="pl-PL"/>
        </w:rPr>
        <w:t xml:space="preserve">, czyli sektorowe podejście, w którym podstawą są departamenty odpowiedzialne za konkretne tematy, </w:t>
      </w:r>
      <w:r w:rsidR="00FA7F46">
        <w:rPr>
          <w:szCs w:val="22"/>
          <w:lang w:eastAsia="pl-PL"/>
        </w:rPr>
        <w:t xml:space="preserve">okazuje się </w:t>
      </w:r>
      <w:r>
        <w:rPr>
          <w:szCs w:val="22"/>
          <w:lang w:eastAsia="pl-PL"/>
        </w:rPr>
        <w:t>chroni</w:t>
      </w:r>
      <w:r w:rsidR="00FA7F46">
        <w:rPr>
          <w:szCs w:val="22"/>
          <w:lang w:eastAsia="pl-PL"/>
        </w:rPr>
        <w:t xml:space="preserve">ć organizację </w:t>
      </w:r>
      <w:r>
        <w:rPr>
          <w:szCs w:val="22"/>
          <w:lang w:eastAsia="pl-PL"/>
        </w:rPr>
        <w:t>przed dublowaniem prac nad pozyskiwaniem informacji.</w:t>
      </w:r>
    </w:p>
    <w:p w14:paraId="21DF6316" w14:textId="29768D77" w:rsidR="002C2855" w:rsidRDefault="002C2855" w:rsidP="002C2855">
      <w:r>
        <w:t xml:space="preserve">Przeprowadzone analizy nie pozwalają jednoznacznie wskazać zakresów informacji, których pozyskiwanie wymaga dużego nakładu pracy i </w:t>
      </w:r>
      <w:r w:rsidR="00727291">
        <w:t xml:space="preserve">dodatkowo </w:t>
      </w:r>
      <w:r>
        <w:t xml:space="preserve">praca ta wykonywana jest niejako podwójnie. Dublowanie prac dotyczy </w:t>
      </w:r>
      <w:r w:rsidR="00727291">
        <w:t xml:space="preserve">tylko danych </w:t>
      </w:r>
      <w:r>
        <w:t>pozyskiwan</w:t>
      </w:r>
      <w:r w:rsidR="00727291">
        <w:t xml:space="preserve">ych </w:t>
      </w:r>
      <w:r>
        <w:t>z GUS</w:t>
      </w:r>
      <w:r w:rsidR="00727291">
        <w:t xml:space="preserve"> i to </w:t>
      </w:r>
      <w:r>
        <w:t>tych</w:t>
      </w:r>
      <w:r w:rsidR="00727291">
        <w:t xml:space="preserve">, które </w:t>
      </w:r>
      <w:r>
        <w:t>dostępn</w:t>
      </w:r>
      <w:r w:rsidR="00727291">
        <w:t>e</w:t>
      </w:r>
      <w:r>
        <w:t xml:space="preserve"> </w:t>
      </w:r>
      <w:r w:rsidR="00727291">
        <w:t xml:space="preserve">są </w:t>
      </w:r>
      <w:r>
        <w:t>na stronie internetowej</w:t>
      </w:r>
      <w:r w:rsidR="00727291">
        <w:t xml:space="preserve"> (</w:t>
      </w:r>
      <w:r>
        <w:t xml:space="preserve">zatem </w:t>
      </w:r>
      <w:r w:rsidR="00727291">
        <w:t>ew. straty czasu są niewielkie)</w:t>
      </w:r>
      <w:r>
        <w:t>.</w:t>
      </w:r>
    </w:p>
    <w:p w14:paraId="333854C4" w14:textId="5C0F4922" w:rsidR="002C2855" w:rsidRDefault="002C2855" w:rsidP="002C2855">
      <w:pPr>
        <w:rPr>
          <w:lang w:eastAsia="pl-PL"/>
        </w:rPr>
      </w:pPr>
      <w:r>
        <w:rPr>
          <w:lang w:eastAsia="pl-PL"/>
        </w:rPr>
        <w:t>W analizowanych jednostkach dysponujemy olbrzymimi zasobami informacyjnymi, zarówno na temat aktywności konkretnych departamentów, jak i zewnętrznych źródeł informacji. Analizując zestawy wskaźników</w:t>
      </w:r>
      <w:r w:rsidR="56862DA9" w:rsidRPr="56862DA9">
        <w:rPr>
          <w:lang w:eastAsia="pl-PL"/>
        </w:rPr>
        <w:t xml:space="preserve"> i</w:t>
      </w:r>
      <w:r>
        <w:rPr>
          <w:lang w:eastAsia="pl-PL"/>
        </w:rPr>
        <w:t xml:space="preserve"> sposób postępowania w przypadku monitorowania, można stwierdzić, że zarządzanie wiedzą w Urzędzie jest na wysokim poziomie (potwierdzone przykłady przekazywania danych), jednak odbywa się to dzięki determinacji poszczególnych pracowników. </w:t>
      </w:r>
    </w:p>
    <w:p w14:paraId="1318A212" w14:textId="77777777" w:rsidR="002C2855" w:rsidRPr="00BF08D5" w:rsidRDefault="00831FBC" w:rsidP="00BF08D5">
      <w:pPr>
        <w:ind w:left="4536"/>
        <w:jc w:val="left"/>
        <w:rPr>
          <w:b/>
          <w:i/>
          <w:color w:val="001E50"/>
        </w:rPr>
      </w:pPr>
      <w:r>
        <w:rPr>
          <w:b/>
          <w:i/>
          <w:color w:val="001E50"/>
        </w:rPr>
        <w:t>Raporty z realizacji Strategii będą wkrótce częścią raportów o stanie województwa</w:t>
      </w:r>
    </w:p>
    <w:p w14:paraId="330E4F3A" w14:textId="77777777" w:rsidR="002C2855" w:rsidRDefault="002C2855" w:rsidP="006B4E7E">
      <w:pPr>
        <w:shd w:val="clear" w:color="auto" w:fill="FFE599"/>
        <w:rPr>
          <w:lang w:eastAsia="pl-PL"/>
        </w:rPr>
      </w:pPr>
      <w:r>
        <w:rPr>
          <w:szCs w:val="22"/>
          <w:lang w:eastAsia="pl-PL"/>
        </w:rPr>
        <w:t>Dwa ostatnie spr</w:t>
      </w:r>
      <w:r w:rsidR="00831FBC">
        <w:rPr>
          <w:szCs w:val="22"/>
          <w:lang w:eastAsia="pl-PL"/>
        </w:rPr>
        <w:t>awozdania z realizacji S</w:t>
      </w:r>
      <w:r>
        <w:rPr>
          <w:szCs w:val="22"/>
          <w:lang w:eastAsia="pl-PL"/>
        </w:rPr>
        <w:t xml:space="preserve">trategii </w:t>
      </w:r>
      <w:r w:rsidR="00831FBC">
        <w:rPr>
          <w:szCs w:val="22"/>
          <w:lang w:eastAsia="pl-PL"/>
        </w:rPr>
        <w:t xml:space="preserve">świadczą o wysokim potencjale organizacyjnym w zakresie tworzenia dokumentów podsumowujących aktywność Samorządu Województwa. Może to również oznaczać, że nie będzie problemów z przygotowaniem raportów o stanie województwa, które powinny zawierać informacje o postępach we wdrażaniu Strategii (samo sprawozdanie z realizacji Strategii straci rację bytu). </w:t>
      </w:r>
    </w:p>
    <w:p w14:paraId="470230DF" w14:textId="5A4428C4" w:rsidR="002C2855" w:rsidRDefault="002C2855" w:rsidP="002C2855">
      <w:pPr>
        <w:rPr>
          <w:lang w:eastAsia="pl-PL"/>
        </w:rPr>
      </w:pPr>
      <w:r>
        <w:rPr>
          <w:lang w:eastAsia="pl-PL"/>
        </w:rPr>
        <w:t xml:space="preserve">Oceniając sprawozdania z realizacji Strategii można powiedzieć, że Urząd Marszałkowski posiada zdolności do opracowania materiału zawierającego bardzo rozbudowany zakres </w:t>
      </w:r>
      <w:r w:rsidR="00831FBC">
        <w:rPr>
          <w:lang w:eastAsia="pl-PL"/>
        </w:rPr>
        <w:t xml:space="preserve">przydatnych </w:t>
      </w:r>
      <w:r>
        <w:rPr>
          <w:lang w:eastAsia="pl-PL"/>
        </w:rPr>
        <w:t xml:space="preserve">informacji. Przygotowanie raportów, a nawet umieszczenie ich w </w:t>
      </w:r>
      <w:r w:rsidR="003954AE">
        <w:rPr>
          <w:lang w:eastAsia="pl-PL"/>
        </w:rPr>
        <w:t>I</w:t>
      </w:r>
      <w:r>
        <w:rPr>
          <w:lang w:eastAsia="pl-PL"/>
        </w:rPr>
        <w:t>nternecie nie oznacza, że dokonujemy transferu wiedzy. Dochodzi raczej do przypadkowej i ograniczonej dyfuzji.</w:t>
      </w:r>
    </w:p>
    <w:p w14:paraId="3A19BBD2" w14:textId="77777777" w:rsidR="002C2855" w:rsidRDefault="002C2855" w:rsidP="002C2855">
      <w:pPr>
        <w:rPr>
          <w:lang w:eastAsia="pl-PL"/>
        </w:rPr>
      </w:pPr>
      <w:r>
        <w:rPr>
          <w:lang w:eastAsia="pl-PL"/>
        </w:rPr>
        <w:lastRenderedPageBreak/>
        <w:t>Pozyskane z analizowanych jednostek dane oraz zakresy obowiązków departamentów pozwalają stwierdzić, że obieg informacji w UMWW jest zorganizowany co do zakresów działania, jednak zgłaszane są interesujące postulaty usprawnienia tego systemu. W szczególności dotyczą one:</w:t>
      </w:r>
    </w:p>
    <w:p w14:paraId="084734D8" w14:textId="77777777" w:rsidR="002C2855" w:rsidRDefault="002C2855" w:rsidP="00DE7B72">
      <w:pPr>
        <w:pStyle w:val="Akapitzlist"/>
        <w:numPr>
          <w:ilvl w:val="0"/>
          <w:numId w:val="44"/>
        </w:numPr>
        <w:ind w:left="426"/>
        <w:rPr>
          <w:lang w:eastAsia="pl-PL"/>
        </w:rPr>
      </w:pPr>
      <w:r>
        <w:rPr>
          <w:lang w:eastAsia="pl-PL"/>
        </w:rPr>
        <w:t>systemowej organizacji obiegu informacji strategicznej, uwzględniającej podejście macierzowe (transfer pionowy i poziomy);</w:t>
      </w:r>
    </w:p>
    <w:p w14:paraId="2EC2F5DF" w14:textId="1C5173EB" w:rsidR="002C2855" w:rsidRDefault="002C2855" w:rsidP="00DE7B72">
      <w:pPr>
        <w:pStyle w:val="Akapitzlist"/>
        <w:numPr>
          <w:ilvl w:val="0"/>
          <w:numId w:val="44"/>
        </w:numPr>
        <w:ind w:left="426"/>
        <w:rPr>
          <w:lang w:eastAsia="pl-PL"/>
        </w:rPr>
      </w:pPr>
      <w:r>
        <w:rPr>
          <w:lang w:eastAsia="pl-PL"/>
        </w:rPr>
        <w:t xml:space="preserve">materiały są zbierane z różnych departamentów </w:t>
      </w:r>
      <w:r w:rsidR="003954AE">
        <w:rPr>
          <w:lang w:eastAsia="pl-PL"/>
        </w:rPr>
        <w:t>przez</w:t>
      </w:r>
      <w:r>
        <w:rPr>
          <w:lang w:eastAsia="pl-PL"/>
        </w:rPr>
        <w:t xml:space="preserve"> DPR i to się udaje;</w:t>
      </w:r>
    </w:p>
    <w:p w14:paraId="085F36B8" w14:textId="58E1B6F2" w:rsidR="002C2855" w:rsidRDefault="002C2855" w:rsidP="00DE7B72">
      <w:pPr>
        <w:pStyle w:val="Akapitzlist"/>
        <w:numPr>
          <w:ilvl w:val="0"/>
          <w:numId w:val="44"/>
        </w:numPr>
        <w:ind w:left="426"/>
        <w:rPr>
          <w:lang w:eastAsia="pl-PL"/>
        </w:rPr>
      </w:pPr>
      <w:r>
        <w:rPr>
          <w:lang w:eastAsia="pl-PL"/>
        </w:rPr>
        <w:t xml:space="preserve">DPR wszystkie swoje analizy publikuje w różnej formie, a większość z nich umieszczana jest w </w:t>
      </w:r>
      <w:r w:rsidR="003954AE">
        <w:rPr>
          <w:lang w:eastAsia="pl-PL"/>
        </w:rPr>
        <w:t>I</w:t>
      </w:r>
      <w:r>
        <w:rPr>
          <w:lang w:eastAsia="pl-PL"/>
        </w:rPr>
        <w:t>nternecie.</w:t>
      </w:r>
    </w:p>
    <w:p w14:paraId="47C2E7FE" w14:textId="77777777" w:rsidR="002C2855" w:rsidRDefault="002C2855" w:rsidP="002C2855">
      <w:pPr>
        <w:rPr>
          <w:lang w:eastAsia="pl-PL"/>
        </w:rPr>
      </w:pPr>
      <w:r>
        <w:rPr>
          <w:lang w:eastAsia="pl-PL"/>
        </w:rPr>
        <w:t>Warto zwrócić uwagę na fakt, że część rozmówców postuluje szersz</w:t>
      </w:r>
      <w:r w:rsidR="00831FBC">
        <w:rPr>
          <w:lang w:eastAsia="pl-PL"/>
        </w:rPr>
        <w:t xml:space="preserve">ą dyskusję nad wynikami, co świadczyć może o wyraźnej potrzebie pogłębiania wiedzy, ale również uzasadnienia celowości pracy wkładanej przez różne departamenty, by mógł powstać określony dokument. </w:t>
      </w:r>
    </w:p>
    <w:p w14:paraId="1B4AC920" w14:textId="02910BB0" w:rsidR="002C2855" w:rsidRPr="00BF08D5" w:rsidRDefault="00DE7B72" w:rsidP="00BF08D5">
      <w:pPr>
        <w:ind w:left="4536"/>
        <w:jc w:val="left"/>
        <w:rPr>
          <w:b/>
          <w:i/>
          <w:color w:val="001E50"/>
        </w:rPr>
      </w:pPr>
      <w:r>
        <w:rPr>
          <w:b/>
          <w:i/>
          <w:color w:val="001E50"/>
        </w:rPr>
        <w:t>Koordynacja i zaangażowanie w monitoring Strategii</w:t>
      </w:r>
    </w:p>
    <w:p w14:paraId="1F129FE7" w14:textId="26B15128" w:rsidR="002C2855" w:rsidRDefault="00995BEF" w:rsidP="006B4E7E">
      <w:pPr>
        <w:shd w:val="clear" w:color="auto" w:fill="FFE599"/>
        <w:rPr>
          <w:lang w:eastAsia="pl-PL"/>
        </w:rPr>
      </w:pPr>
      <w:r>
        <w:rPr>
          <w:szCs w:val="22"/>
          <w:lang w:eastAsia="pl-PL"/>
        </w:rPr>
        <w:t>W</w:t>
      </w:r>
      <w:r w:rsidR="00831FBC">
        <w:rPr>
          <w:szCs w:val="22"/>
          <w:lang w:eastAsia="pl-PL"/>
        </w:rPr>
        <w:t xml:space="preserve"> strukturze </w:t>
      </w:r>
      <w:r>
        <w:rPr>
          <w:szCs w:val="22"/>
          <w:lang w:eastAsia="pl-PL"/>
        </w:rPr>
        <w:t xml:space="preserve">organizacyjnej </w:t>
      </w:r>
      <w:r w:rsidR="00831FBC">
        <w:rPr>
          <w:szCs w:val="22"/>
          <w:lang w:eastAsia="pl-PL"/>
        </w:rPr>
        <w:t xml:space="preserve">DPR </w:t>
      </w:r>
      <w:r>
        <w:rPr>
          <w:szCs w:val="22"/>
          <w:lang w:eastAsia="pl-PL"/>
        </w:rPr>
        <w:t xml:space="preserve">znajdują się kluczowe oddziały z punktu widzenia planowania i realizacji Strategii, także monitorowania i pozyskiwania ogólnej wiedzy o regionie (tu </w:t>
      </w:r>
      <w:r w:rsidR="00B26870">
        <w:rPr>
          <w:szCs w:val="22"/>
          <w:lang w:eastAsia="pl-PL"/>
        </w:rPr>
        <w:t>funkcjonuje</w:t>
      </w:r>
      <w:r>
        <w:rPr>
          <w:szCs w:val="22"/>
          <w:lang w:eastAsia="pl-PL"/>
        </w:rPr>
        <w:t xml:space="preserve"> również Wielkopolskie Regionalne Obserwatorium Terytorialne). Przyznany zakres kompetencji tego departamentu pozwala stwierdzić, że jest on kluczową jednostką organizacyjną odpowiedzialną za całościową politykę rozwoju regionu. Ma to swoje zalety, ale i wady.</w:t>
      </w:r>
    </w:p>
    <w:p w14:paraId="288D1B24" w14:textId="77777777" w:rsidR="002C2855" w:rsidRDefault="002C2855" w:rsidP="002C2855">
      <w:r>
        <w:t>W kontekście przygotowania systemowego podejścia do monitorowania SRWW 2020 ważne wydają się następujące zagadnienia:</w:t>
      </w:r>
    </w:p>
    <w:p w14:paraId="4856ECB9" w14:textId="77777777" w:rsidR="002C2855" w:rsidRDefault="002C2855" w:rsidP="00DE7B72">
      <w:pPr>
        <w:pStyle w:val="Akapitzlist"/>
        <w:numPr>
          <w:ilvl w:val="0"/>
          <w:numId w:val="45"/>
        </w:numPr>
        <w:ind w:left="426"/>
      </w:pPr>
      <w:r>
        <w:t>DPR jest nie tylko określany jako jednostka posiadająca zasoby ludzkie oraz doświadczenie w zakresie przygotowywania okresowych raportów z realizacji Strategii, ale również jako jednostka, która powinna skupiać wiedzę potrzebną do oceny SRWW 2020;</w:t>
      </w:r>
    </w:p>
    <w:p w14:paraId="49C45B56" w14:textId="77777777" w:rsidR="00995BEF" w:rsidRDefault="002C2855" w:rsidP="00DE7B72">
      <w:pPr>
        <w:pStyle w:val="Akapitzlist"/>
        <w:numPr>
          <w:ilvl w:val="0"/>
          <w:numId w:val="45"/>
        </w:numPr>
        <w:ind w:left="426"/>
      </w:pPr>
      <w:r>
        <w:t>niestety takie podejście skutkuje również założeniem, że „sprawy Strategii”, to problem przede wszystkim Departamentu Polityki Regionalnej.</w:t>
      </w:r>
    </w:p>
    <w:p w14:paraId="0CF0BBD3" w14:textId="77777777" w:rsidR="00BF08D5" w:rsidRPr="00831FBC" w:rsidRDefault="00995BEF" w:rsidP="00995BEF">
      <w:r>
        <w:rPr>
          <w:lang w:eastAsia="pl-PL"/>
        </w:rPr>
        <w:t>Podejmowane w trakcie wywiadów zagadnienia organizacji prac nad Strategią stwarzają wrażenie, że szeroki i integrujący charakter uprawnień DPR pozwala niejako traktować zadania niektórych departamentów jako „niezwiązane z wdrażaniem Strategii”. Ponadto próby wydobycia w dyskusji efektów prac na rzecz Strategii spotykały się (kilka razy) z informacją, iż za Strategię odpowiedzialny jest DPR. Tego typu sytuacja wymaga nie tylko lepszej polityki informacyjnej, ale przede wszystkim podniesienia poziomu świadomości, czym w istocie jest (lub powinna być) Strategia.</w:t>
      </w:r>
      <w:r w:rsidR="00BF08D5" w:rsidRPr="00995BEF">
        <w:rPr>
          <w:lang w:eastAsia="pl-PL"/>
        </w:rPr>
        <w:br w:type="page"/>
      </w:r>
    </w:p>
    <w:p w14:paraId="0A624F5E" w14:textId="77777777" w:rsidR="004A3B6E" w:rsidRDefault="004A3B6E" w:rsidP="00624AA4">
      <w:pPr>
        <w:pStyle w:val="Nagwek1"/>
      </w:pPr>
      <w:bookmarkStart w:id="224" w:name="_Toc536653154"/>
      <w:bookmarkStart w:id="225" w:name="_Toc1904825"/>
      <w:bookmarkStart w:id="226" w:name="_Toc5699490"/>
      <w:r>
        <w:lastRenderedPageBreak/>
        <w:t>Wizja nowego systemu realizacji Strategii</w:t>
      </w:r>
      <w:bookmarkEnd w:id="224"/>
      <w:bookmarkEnd w:id="225"/>
      <w:bookmarkEnd w:id="226"/>
    </w:p>
    <w:p w14:paraId="5582EE97" w14:textId="1290707A" w:rsidR="00124395" w:rsidRPr="00124395" w:rsidRDefault="004D2591" w:rsidP="00124395">
      <w:pPr>
        <w:rPr>
          <w:lang w:eastAsia="pl-PL"/>
        </w:rPr>
      </w:pPr>
      <w:r>
        <w:rPr>
          <w:lang w:eastAsia="pl-PL"/>
        </w:rPr>
        <w:t xml:space="preserve">Trwające w Polsce prace nad aktualizacjami dotychczasowych strategii rozwoju województw będą skutkowały czwartą już generacją tych dokumentów. Nowe strategię będą musiały uwzględniać z jednej strony wytyczne zapisane np. </w:t>
      </w:r>
      <w:r w:rsidRPr="004D2591">
        <w:rPr>
          <w:i/>
          <w:lang w:eastAsia="pl-PL"/>
        </w:rPr>
        <w:t>Krajowej Strategii Rozwoju Regionalnego</w:t>
      </w:r>
      <w:r>
        <w:rPr>
          <w:lang w:eastAsia="pl-PL"/>
        </w:rPr>
        <w:t xml:space="preserve">, czy też w </w:t>
      </w:r>
      <w:r w:rsidRPr="004D2591">
        <w:rPr>
          <w:i/>
          <w:lang w:eastAsia="pl-PL"/>
        </w:rPr>
        <w:t>Systemie Zarządzania Rozwojem Kraju</w:t>
      </w:r>
      <w:r>
        <w:rPr>
          <w:lang w:eastAsia="pl-PL"/>
        </w:rPr>
        <w:t>, z drugiej zaś powinny konsumować wiedzę i doświadczenie samorządów wojewódzkich w dotychczasowym wdrażaniu swoich strategii. Oznacza to, że system realizacji Strategii rozwoju województwa wielkopolskiego może być jednym z elementów budowania przewagi konkurencyjnej regionu. Wymaga to inkluzyjnego podejścia do sieciowania interesariuszy Strategii w celu mobilizowania wewnętrznych i zewnętrznych zasobów na rzecz rozwoju województwa.</w:t>
      </w:r>
    </w:p>
    <w:p w14:paraId="788B8816" w14:textId="484223B0" w:rsidR="00FA7F46" w:rsidRDefault="00FA7F46" w:rsidP="00FA7F46">
      <w:pPr>
        <w:pStyle w:val="Nagwek2"/>
      </w:pPr>
      <w:bookmarkStart w:id="227" w:name="_Toc536653155"/>
      <w:bookmarkStart w:id="228" w:name="_Toc1904826"/>
      <w:bookmarkStart w:id="229" w:name="_Toc5699491"/>
      <w:r>
        <w:t xml:space="preserve">Bogata lista </w:t>
      </w:r>
      <w:r w:rsidR="00624AA4">
        <w:t>dokumentów</w:t>
      </w:r>
      <w:bookmarkEnd w:id="227"/>
      <w:bookmarkEnd w:id="228"/>
      <w:r>
        <w:t xml:space="preserve"> strategicznych i programowych</w:t>
      </w:r>
      <w:bookmarkEnd w:id="229"/>
    </w:p>
    <w:p w14:paraId="1BF0A403" w14:textId="5FF22B2A" w:rsidR="00FA7F46" w:rsidRPr="00FA7F46" w:rsidRDefault="00FA7F46" w:rsidP="00FA7F46">
      <w:pPr>
        <w:pStyle w:val="Nagwek3"/>
      </w:pPr>
      <w:bookmarkStart w:id="230" w:name="_Toc5699492"/>
      <w:r>
        <w:t xml:space="preserve">W </w:t>
      </w:r>
      <w:r w:rsidR="56862DA9">
        <w:t>kierunku</w:t>
      </w:r>
      <w:r>
        <w:t xml:space="preserve"> wizji jednej strategii na poziomie Samorządu Województwa</w:t>
      </w:r>
      <w:bookmarkEnd w:id="230"/>
      <w:r>
        <w:t xml:space="preserve"> </w:t>
      </w:r>
    </w:p>
    <w:p w14:paraId="79D0CFD8" w14:textId="44FC3667" w:rsidR="004A3B6E" w:rsidRPr="00BF08D5" w:rsidRDefault="004A3B6E" w:rsidP="00BF08D5">
      <w:pPr>
        <w:ind w:left="4536"/>
        <w:jc w:val="left"/>
        <w:rPr>
          <w:b/>
          <w:i/>
          <w:color w:val="001E50"/>
        </w:rPr>
      </w:pPr>
      <w:r w:rsidRPr="00BF08D5">
        <w:rPr>
          <w:b/>
          <w:i/>
          <w:color w:val="001E50"/>
        </w:rPr>
        <w:t>Nadmiar dokumentów raczej nie jest już dużym problemem Urzędu Marszałkowskiego Województwa Wielkopolskiego</w:t>
      </w:r>
    </w:p>
    <w:tbl>
      <w:tblPr>
        <w:tblStyle w:val="Tabela-Siatka"/>
        <w:tblpPr w:leftFromText="142" w:rightFromText="142" w:topFromText="45" w:bottomFromText="45" w:vertAnchor="text" w:horzAnchor="margin" w:tblpXSpec="right" w:tblpY="1109"/>
        <w:tblW w:w="5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ykres 13. Ocena systemu dokumentów w Urzędzie Marszałkowskim (liczba wskazań)"/>
        <w:tblDescription w:val="Wykres przedstawia ocenę systemu dokumentów w Urzędzie Marszałkowskim. Jest to odpowiedź na pytanie czy samorząd posiada za dużo dokumentów strategicznych lub programowych, z której wynika, że pracownicy Urzędu tak nie uważają."/>
      </w:tblPr>
      <w:tblGrid>
        <w:gridCol w:w="5665"/>
      </w:tblGrid>
      <w:tr w:rsidR="004D2591" w:rsidRPr="00DC19E5" w14:paraId="3C85CEA5" w14:textId="77777777" w:rsidTr="004D2591">
        <w:tc>
          <w:tcPr>
            <w:tcW w:w="5665" w:type="dxa"/>
          </w:tcPr>
          <w:p w14:paraId="112E692E" w14:textId="77777777" w:rsidR="004D2591" w:rsidRPr="00DC19E5" w:rsidRDefault="004D2591" w:rsidP="004D2591">
            <w:pPr>
              <w:pStyle w:val="Legenda"/>
              <w:keepNext/>
            </w:pPr>
            <w:bookmarkStart w:id="231" w:name="_Ref3923889"/>
            <w:bookmarkStart w:id="232" w:name="_Toc5699525"/>
            <w:r>
              <w:t xml:space="preserve">Wykres </w:t>
            </w:r>
            <w:r w:rsidRPr="69901DB0">
              <w:fldChar w:fldCharType="begin"/>
            </w:r>
            <w:r>
              <w:rPr>
                <w:noProof/>
              </w:rPr>
              <w:instrText xml:space="preserve"> SEQ Wykres \* ARABIC </w:instrText>
            </w:r>
            <w:r w:rsidRPr="69901DB0">
              <w:rPr>
                <w:noProof/>
              </w:rPr>
              <w:fldChar w:fldCharType="separate"/>
            </w:r>
            <w:r w:rsidR="007F4FA2">
              <w:rPr>
                <w:noProof/>
              </w:rPr>
              <w:t>14</w:t>
            </w:r>
            <w:r w:rsidRPr="69901DB0">
              <w:fldChar w:fldCharType="end"/>
            </w:r>
            <w:bookmarkEnd w:id="231"/>
            <w:r>
              <w:t>. Ocena systemu dokumentów w Urzędzie Marszałkowskim (liczba wskazań)</w:t>
            </w:r>
            <w:bookmarkEnd w:id="232"/>
          </w:p>
        </w:tc>
      </w:tr>
      <w:tr w:rsidR="004D2591" w:rsidRPr="00DC19E5" w14:paraId="0C68E817" w14:textId="77777777" w:rsidTr="004D2591">
        <w:tblPrEx>
          <w:tblCellMar>
            <w:left w:w="70" w:type="dxa"/>
            <w:right w:w="70" w:type="dxa"/>
          </w:tblCellMar>
        </w:tblPrEx>
        <w:tc>
          <w:tcPr>
            <w:tcW w:w="5665" w:type="dxa"/>
          </w:tcPr>
          <w:p w14:paraId="74556DF9" w14:textId="77777777" w:rsidR="004D2591" w:rsidRPr="00DC19E5" w:rsidRDefault="004D2591" w:rsidP="004D2591">
            <w:pPr>
              <w:spacing w:after="0" w:line="240" w:lineRule="auto"/>
              <w:rPr>
                <w:sz w:val="14"/>
                <w:szCs w:val="14"/>
                <w:lang w:eastAsia="pl-PL"/>
              </w:rPr>
            </w:pPr>
            <w:r>
              <w:rPr>
                <w:noProof/>
                <w:lang w:eastAsia="pl-PL"/>
              </w:rPr>
              <w:drawing>
                <wp:inline distT="0" distB="0" distL="0" distR="0" wp14:anchorId="245B136D" wp14:editId="5BE2BCA6">
                  <wp:extent cx="3474720" cy="2400300"/>
                  <wp:effectExtent l="0" t="0" r="0" b="0"/>
                  <wp:docPr id="1410683466" name="Wykres 1410683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4D2591" w:rsidRPr="00DC19E5" w14:paraId="1F0BD79B" w14:textId="77777777" w:rsidTr="004D2591">
        <w:tc>
          <w:tcPr>
            <w:tcW w:w="5665" w:type="dxa"/>
            <w:vAlign w:val="center"/>
          </w:tcPr>
          <w:p w14:paraId="2F9C6CEF" w14:textId="77777777" w:rsidR="004D2591" w:rsidRPr="00DC19E5" w:rsidRDefault="004D2591" w:rsidP="004D2591">
            <w:pPr>
              <w:pStyle w:val="rdo"/>
              <w:rPr>
                <w:lang w:eastAsia="pl-PL"/>
              </w:rPr>
            </w:pPr>
            <w:r>
              <w:rPr>
                <w:lang w:eastAsia="pl-PL"/>
              </w:rPr>
              <w:t>Źródło: opracowanie własne na podstawie 28 ankiet z jednostek Urzędu Marszałkowskiego.</w:t>
            </w:r>
          </w:p>
        </w:tc>
      </w:tr>
    </w:tbl>
    <w:p w14:paraId="5AC2799E" w14:textId="3CD0942A" w:rsidR="004A3B6E" w:rsidRDefault="004D2591" w:rsidP="00624AA4">
      <w:pPr>
        <w:shd w:val="clear" w:color="auto" w:fill="FFE599"/>
        <w:rPr>
          <w:szCs w:val="22"/>
          <w:lang w:eastAsia="pl-PL"/>
        </w:rPr>
      </w:pPr>
      <w:r>
        <w:rPr>
          <w:szCs w:val="22"/>
          <w:lang w:eastAsia="pl-PL"/>
        </w:rPr>
        <w:t xml:space="preserve"> </w:t>
      </w:r>
      <w:r w:rsidR="004A3B6E">
        <w:rPr>
          <w:szCs w:val="22"/>
          <w:lang w:eastAsia="pl-PL"/>
        </w:rPr>
        <w:t>W 2018 r. w UMWW funkcjonowało (poza SRWW 2020) łącznie 12 dokumentów kierunkowych i 61 dokumentów o charakterze operacyjnym</w:t>
      </w:r>
      <w:r w:rsidR="004A3B6E">
        <w:rPr>
          <w:rStyle w:val="Odwoanieprzypisudolnego"/>
          <w:szCs w:val="22"/>
          <w:lang w:eastAsia="pl-PL"/>
        </w:rPr>
        <w:footnoteReference w:id="24"/>
      </w:r>
      <w:r w:rsidR="004A3B6E">
        <w:rPr>
          <w:szCs w:val="22"/>
          <w:lang w:eastAsia="pl-PL"/>
        </w:rPr>
        <w:t>, z czego 8 strategii, 30 programów i 7 planów było przyjętych przez Sejmik Województwa Wielkopolskiego.</w:t>
      </w:r>
    </w:p>
    <w:p w14:paraId="4A54F592" w14:textId="399000EF" w:rsidR="004A3B6E" w:rsidRDefault="004A3B6E" w:rsidP="004A3B6E">
      <w:pPr>
        <w:rPr>
          <w:lang w:eastAsia="pl-PL"/>
        </w:rPr>
      </w:pPr>
      <w:r>
        <w:rPr>
          <w:lang w:eastAsia="pl-PL"/>
        </w:rPr>
        <w:t xml:space="preserve">Trudno jest ocenić dynamikę zmiany liczby dokumentów strategicznych i programowych, chociażby ze względu na fakt, iż znaczna ich część na charakter wieloletni. Jednak wśród zebranych opinii </w:t>
      </w:r>
      <w:r w:rsidR="00A87968">
        <w:rPr>
          <w:lang w:eastAsia="pl-PL"/>
        </w:rPr>
        <w:t xml:space="preserve">przedstawicieli szczebla kierowniczego UM </w:t>
      </w:r>
      <w:r>
        <w:rPr>
          <w:lang w:eastAsia="pl-PL"/>
        </w:rPr>
        <w:t>na temat liczby dokumentów strategicznych i programowych przeważają te, które skłaniają do stwierdzenia, iż obecn</w:t>
      </w:r>
      <w:r w:rsidR="00A87968">
        <w:rPr>
          <w:lang w:eastAsia="pl-PL"/>
        </w:rPr>
        <w:t>a</w:t>
      </w:r>
      <w:r>
        <w:rPr>
          <w:lang w:eastAsia="pl-PL"/>
        </w:rPr>
        <w:t xml:space="preserve"> </w:t>
      </w:r>
      <w:r w:rsidR="00A87968">
        <w:rPr>
          <w:lang w:eastAsia="pl-PL"/>
        </w:rPr>
        <w:t xml:space="preserve">liczba </w:t>
      </w:r>
      <w:r>
        <w:rPr>
          <w:lang w:eastAsia="pl-PL"/>
        </w:rPr>
        <w:t>dokumentów jest odpowiedni</w:t>
      </w:r>
      <w:r w:rsidR="00A87968">
        <w:rPr>
          <w:lang w:eastAsia="pl-PL"/>
        </w:rPr>
        <w:t>a</w:t>
      </w:r>
      <w:r>
        <w:rPr>
          <w:lang w:eastAsia="pl-PL"/>
        </w:rPr>
        <w:t xml:space="preserve">. Z kolei w gronie ankietowanych, którzy są zdania, iż dokumentów strategicznych i </w:t>
      </w:r>
      <w:r>
        <w:rPr>
          <w:lang w:eastAsia="pl-PL"/>
        </w:rPr>
        <w:lastRenderedPageBreak/>
        <w:t>programowych jest zbyt dużo w UMWW, dwukrotnie częściej takie opinie wyrażane są o strategiach, niż o programach (</w:t>
      </w:r>
      <w:r w:rsidR="0034123E">
        <w:rPr>
          <w:lang w:eastAsia="pl-PL"/>
        </w:rPr>
        <w:fldChar w:fldCharType="begin"/>
      </w:r>
      <w:r w:rsidR="0034123E">
        <w:rPr>
          <w:lang w:eastAsia="pl-PL"/>
        </w:rPr>
        <w:instrText xml:space="preserve"> REF _Ref3923889 \h </w:instrText>
      </w:r>
      <w:r w:rsidR="0034123E">
        <w:rPr>
          <w:lang w:eastAsia="pl-PL"/>
        </w:rPr>
      </w:r>
      <w:r w:rsidR="0034123E">
        <w:rPr>
          <w:lang w:eastAsia="pl-PL"/>
        </w:rPr>
        <w:fldChar w:fldCharType="separate"/>
      </w:r>
      <w:r w:rsidR="007F4FA2">
        <w:t xml:space="preserve">Wykres </w:t>
      </w:r>
      <w:r w:rsidR="007F4FA2">
        <w:rPr>
          <w:noProof/>
        </w:rPr>
        <w:t>14</w:t>
      </w:r>
      <w:r w:rsidR="0034123E">
        <w:rPr>
          <w:lang w:eastAsia="pl-PL"/>
        </w:rPr>
        <w:fldChar w:fldCharType="end"/>
      </w:r>
      <w:r>
        <w:rPr>
          <w:lang w:eastAsia="pl-PL"/>
        </w:rPr>
        <w:t>).</w:t>
      </w:r>
    </w:p>
    <w:tbl>
      <w:tblPr>
        <w:tblStyle w:val="Tabela-Siatka"/>
        <w:tblpPr w:leftFromText="142" w:rightFromText="142" w:topFromText="227" w:bottomFromText="227" w:vertAnchor="text" w:horzAnchor="margin" w:tblpXSpec="right" w:tblpY="158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ykres 14. Ocena systemu dokumentów – Marszałkowie województw (liczba wskazań)"/>
        <w:tblDescription w:val="Wykres przedstawia odpowiedzi Marszałków województw, którzy głównie wskazywali, że na poziomie województwa jest za dużo dokumentów strategicznych i powinna zostać stworzona jedna strategia. "/>
      </w:tblPr>
      <w:tblGrid>
        <w:gridCol w:w="5840"/>
      </w:tblGrid>
      <w:tr w:rsidR="004D2591" w:rsidRPr="00DC19E5" w14:paraId="3FEA452E" w14:textId="77777777" w:rsidTr="004D2591">
        <w:tc>
          <w:tcPr>
            <w:tcW w:w="5840" w:type="dxa"/>
          </w:tcPr>
          <w:p w14:paraId="1BD7C697" w14:textId="77777777" w:rsidR="004D2591" w:rsidRPr="00DC19E5" w:rsidRDefault="004D2591" w:rsidP="004D2591">
            <w:pPr>
              <w:pStyle w:val="Legenda"/>
              <w:keepNext/>
            </w:pPr>
            <w:bookmarkStart w:id="233" w:name="_Ref3923908"/>
            <w:bookmarkStart w:id="234" w:name="_Toc5699526"/>
            <w:r>
              <w:t xml:space="preserve">Wykres </w:t>
            </w:r>
            <w:r w:rsidRPr="69901DB0">
              <w:fldChar w:fldCharType="begin"/>
            </w:r>
            <w:r>
              <w:rPr>
                <w:noProof/>
              </w:rPr>
              <w:instrText xml:space="preserve"> SEQ Wykres \* ARABIC </w:instrText>
            </w:r>
            <w:r w:rsidRPr="69901DB0">
              <w:rPr>
                <w:noProof/>
              </w:rPr>
              <w:fldChar w:fldCharType="separate"/>
            </w:r>
            <w:r w:rsidR="007F4FA2">
              <w:rPr>
                <w:noProof/>
              </w:rPr>
              <w:t>15</w:t>
            </w:r>
            <w:r w:rsidRPr="69901DB0">
              <w:fldChar w:fldCharType="end"/>
            </w:r>
            <w:bookmarkEnd w:id="233"/>
            <w:r>
              <w:t>. Ocena systemu dokumentów – Marszałkowie województw (liczba wskazań)</w:t>
            </w:r>
            <w:bookmarkEnd w:id="234"/>
          </w:p>
        </w:tc>
      </w:tr>
      <w:tr w:rsidR="004D2591" w:rsidRPr="00DC19E5" w14:paraId="7C9A1A74" w14:textId="77777777" w:rsidTr="004D2591">
        <w:tblPrEx>
          <w:tblCellMar>
            <w:left w:w="70" w:type="dxa"/>
            <w:right w:w="70" w:type="dxa"/>
          </w:tblCellMar>
        </w:tblPrEx>
        <w:tc>
          <w:tcPr>
            <w:tcW w:w="5840" w:type="dxa"/>
          </w:tcPr>
          <w:p w14:paraId="196CC3A4" w14:textId="77777777" w:rsidR="004D2591" w:rsidRPr="00DC19E5" w:rsidRDefault="004D2591" w:rsidP="004D2591">
            <w:pPr>
              <w:spacing w:after="0" w:line="240" w:lineRule="auto"/>
              <w:rPr>
                <w:sz w:val="14"/>
                <w:szCs w:val="14"/>
                <w:lang w:eastAsia="pl-PL"/>
              </w:rPr>
            </w:pPr>
            <w:r>
              <w:rPr>
                <w:noProof/>
                <w:lang w:eastAsia="pl-PL"/>
              </w:rPr>
              <w:drawing>
                <wp:inline distT="0" distB="0" distL="0" distR="0" wp14:anchorId="7BEB77E1" wp14:editId="6581A2E0">
                  <wp:extent cx="3604260" cy="1925955"/>
                  <wp:effectExtent l="0" t="0" r="0" b="0"/>
                  <wp:docPr id="1410683487" name="Wykres 14106834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4D2591" w:rsidRPr="00DC19E5" w14:paraId="7844A143" w14:textId="77777777" w:rsidTr="004D2591">
        <w:tc>
          <w:tcPr>
            <w:tcW w:w="5840" w:type="dxa"/>
            <w:vAlign w:val="center"/>
          </w:tcPr>
          <w:p w14:paraId="3EF5D6F7" w14:textId="77777777" w:rsidR="004D2591" w:rsidRPr="00DC19E5" w:rsidRDefault="004D2591" w:rsidP="004D2591">
            <w:pPr>
              <w:pStyle w:val="rdo"/>
              <w:rPr>
                <w:lang w:eastAsia="pl-PL"/>
              </w:rPr>
            </w:pPr>
            <w:r>
              <w:rPr>
                <w:lang w:eastAsia="pl-PL"/>
              </w:rPr>
              <w:t>Źródło: opracowanie własne na podstawie 10 ankiet otrzymanych od Marszałków województw.</w:t>
            </w:r>
          </w:p>
        </w:tc>
      </w:tr>
    </w:tbl>
    <w:p w14:paraId="385DBA9B" w14:textId="5511E4AD" w:rsidR="004A3B6E" w:rsidRDefault="004D2591" w:rsidP="004A3B6E">
      <w:pPr>
        <w:rPr>
          <w:lang w:eastAsia="pl-PL"/>
        </w:rPr>
      </w:pPr>
      <w:r>
        <w:rPr>
          <w:lang w:eastAsia="pl-PL"/>
        </w:rPr>
        <w:t xml:space="preserve"> </w:t>
      </w:r>
      <w:r w:rsidR="004A3B6E">
        <w:rPr>
          <w:lang w:eastAsia="pl-PL"/>
        </w:rPr>
        <w:t>Warto również odnotować wyrażane opinie w części wywiadów z kierownictwem departamentów, iż przyjmują oni ze zrozumieniem ideę redukcji dokumentów – „strategii” i sami uzasadniają celowość takiego podejścia. Również eksperci wypowiadający się szeroko na temat strategii innowacji, uważają, że powinien to być raczej dokument programowy, wdrażający konkretny cel przyszłej Strategii rozwoju województwa.</w:t>
      </w:r>
    </w:p>
    <w:p w14:paraId="7ECC9A9B" w14:textId="1788A965" w:rsidR="004A3B6E" w:rsidRPr="00EC1393" w:rsidRDefault="004A3B6E" w:rsidP="004A3B6E">
      <w:pPr>
        <w:rPr>
          <w:lang w:eastAsia="pl-PL"/>
        </w:rPr>
      </w:pPr>
      <w:r w:rsidRPr="00B1232A">
        <w:rPr>
          <w:lang w:eastAsia="pl-PL"/>
        </w:rPr>
        <w:t>Wśród Marszałków województw panuje niemal jednomyślność, co do wprowadzenia systemu dokumentów strategicznych opartego na jednej strategii rozwoju (</w:t>
      </w:r>
      <w:r w:rsidR="0034123E">
        <w:rPr>
          <w:lang w:eastAsia="pl-PL"/>
        </w:rPr>
        <w:fldChar w:fldCharType="begin"/>
      </w:r>
      <w:r w:rsidR="0034123E">
        <w:rPr>
          <w:lang w:eastAsia="pl-PL"/>
        </w:rPr>
        <w:instrText xml:space="preserve"> REF _Ref3923908 \h </w:instrText>
      </w:r>
      <w:r w:rsidR="0034123E">
        <w:rPr>
          <w:lang w:eastAsia="pl-PL"/>
        </w:rPr>
      </w:r>
      <w:r w:rsidR="0034123E">
        <w:rPr>
          <w:lang w:eastAsia="pl-PL"/>
        </w:rPr>
        <w:fldChar w:fldCharType="separate"/>
      </w:r>
      <w:r w:rsidR="007F4FA2">
        <w:t xml:space="preserve">Wykres </w:t>
      </w:r>
      <w:r w:rsidR="007F4FA2">
        <w:rPr>
          <w:noProof/>
        </w:rPr>
        <w:t>15</w:t>
      </w:r>
      <w:r w:rsidR="0034123E">
        <w:rPr>
          <w:lang w:eastAsia="pl-PL"/>
        </w:rPr>
        <w:fldChar w:fldCharType="end"/>
      </w:r>
      <w:r>
        <w:rPr>
          <w:lang w:eastAsia="pl-PL"/>
        </w:rPr>
        <w:t>)</w:t>
      </w:r>
      <w:r w:rsidRPr="00B1232A">
        <w:rPr>
          <w:lang w:eastAsia="pl-PL"/>
        </w:rPr>
        <w:t>.</w:t>
      </w:r>
      <w:r>
        <w:rPr>
          <w:lang w:eastAsia="pl-PL"/>
        </w:rPr>
        <w:t xml:space="preserve"> Podobnie, jak w przypadku pracowników szczebla kierowniczego Urzędu Marszałkowskiego Województwa Wielkopolskiego, nie wszyscy Marszałkowie są przekonani do stwierdzenia, iż w ich urzędzie jest zbyt dużo dokumentów strategicznych.</w:t>
      </w:r>
    </w:p>
    <w:p w14:paraId="57D7EC41" w14:textId="77777777" w:rsidR="00624AA4" w:rsidRDefault="004A3B6E" w:rsidP="00624AA4">
      <w:pPr>
        <w:rPr>
          <w:lang w:eastAsia="pl-PL"/>
        </w:rPr>
      </w:pPr>
      <w:r>
        <w:rPr>
          <w:lang w:eastAsia="pl-PL"/>
        </w:rPr>
        <w:t xml:space="preserve">W tym kontekście </w:t>
      </w:r>
      <w:r w:rsidR="004A21D9">
        <w:rPr>
          <w:lang w:eastAsia="pl-PL"/>
        </w:rPr>
        <w:t>w</w:t>
      </w:r>
      <w:r>
        <w:rPr>
          <w:lang w:eastAsia="pl-PL"/>
        </w:rPr>
        <w:t>ażny wydaje się również postulat, by redukcja dokumentów odbywała się wraz ze wzrostem aktywnego udziału przedstawicieli poszczególnych departamentów w procesie tworzenia Strategii wojewódzkiej w celu wypracowania najlepszych zapisów uwzględniają</w:t>
      </w:r>
      <w:r w:rsidR="004A21D9">
        <w:rPr>
          <w:lang w:eastAsia="pl-PL"/>
        </w:rPr>
        <w:t>cy określony obszar tematyczny.</w:t>
      </w:r>
    </w:p>
    <w:p w14:paraId="118F65AA" w14:textId="77777777" w:rsidR="00624AA4" w:rsidRDefault="00624AA4" w:rsidP="00624AA4">
      <w:pPr>
        <w:pStyle w:val="Nagwek3"/>
      </w:pPr>
      <w:bookmarkStart w:id="235" w:name="_Toc536653129"/>
      <w:bookmarkStart w:id="236" w:name="_Toc1904801"/>
      <w:bookmarkStart w:id="237" w:name="_Toc5699493"/>
      <w:r>
        <w:t>RIS3 – przypadek szczególnie ważny</w:t>
      </w:r>
      <w:bookmarkEnd w:id="235"/>
      <w:bookmarkEnd w:id="236"/>
      <w:bookmarkEnd w:id="237"/>
    </w:p>
    <w:p w14:paraId="453BDB63" w14:textId="77777777" w:rsidR="004A21D9" w:rsidRPr="004A21D9" w:rsidRDefault="004A21D9" w:rsidP="004A21D9">
      <w:pPr>
        <w:rPr>
          <w:lang w:eastAsia="pl-PL"/>
        </w:rPr>
      </w:pPr>
      <w:r>
        <w:rPr>
          <w:lang w:eastAsia="pl-PL"/>
        </w:rPr>
        <w:t>Podejmując problem redukcji dokumentów można posłużyć się przypadkiem Regionalnej Strategii Innowacji (podkreślenia wymaga fakt, iż w obecnej perspektywie posiadanie regionalnej strategii innowacji w zakresie inteligentnej specjalizacji, tzw. RIS 3, było warunkiem ex-ante uruchomienia środków w ramach RPO). Zatem, czy można zrezygnować ze Strategii RIS3?</w:t>
      </w:r>
    </w:p>
    <w:p w14:paraId="245C3A63" w14:textId="77777777" w:rsidR="00624AA4" w:rsidRPr="00BF08D5" w:rsidRDefault="00624AA4" w:rsidP="00BF08D5">
      <w:pPr>
        <w:ind w:left="4536"/>
        <w:jc w:val="left"/>
        <w:rPr>
          <w:b/>
          <w:i/>
          <w:color w:val="001E50"/>
        </w:rPr>
      </w:pPr>
      <w:r w:rsidRPr="00BF08D5">
        <w:rPr>
          <w:b/>
          <w:i/>
          <w:color w:val="001E50"/>
        </w:rPr>
        <w:t>Aktualizacja SRWW 2020 powinna rozstrzygnąć o charakterze RIS3</w:t>
      </w:r>
    </w:p>
    <w:p w14:paraId="01389E24" w14:textId="77777777" w:rsidR="00624AA4" w:rsidRPr="00CE06F2" w:rsidRDefault="00624AA4" w:rsidP="006B4E7E">
      <w:pPr>
        <w:shd w:val="clear" w:color="auto" w:fill="FFE599"/>
        <w:rPr>
          <w:szCs w:val="22"/>
          <w:lang w:eastAsia="pl-PL"/>
        </w:rPr>
      </w:pPr>
      <w:r>
        <w:rPr>
          <w:lang w:eastAsia="pl-PL"/>
        </w:rPr>
        <w:t xml:space="preserve">W latach 2012-2018 mieliśmy do czynienia w całej Polsce z aktualizacjami strategii województw (2012-2013), a następnie pracami nad nowymi regionalnymi strategiami innowacji (RIS3), których głównym zadaniem było określenie przy pomocy „przedsiębiorczego odkrywania” inteligentnych specjalizacji (jeden z warunków </w:t>
      </w:r>
      <w:r w:rsidRPr="000B7AE9">
        <w:rPr>
          <w:i/>
          <w:lang w:eastAsia="pl-PL"/>
        </w:rPr>
        <w:t>ex-ante</w:t>
      </w:r>
      <w:r>
        <w:rPr>
          <w:lang w:eastAsia="pl-PL"/>
        </w:rPr>
        <w:t xml:space="preserve"> uruchomienia środków RPO). Część województw wskazała inteligentne specjalizacje już w ogólnych strategiach, część zostawiła to zadanie nowym strategiom innowacji</w:t>
      </w:r>
      <w:r>
        <w:rPr>
          <w:szCs w:val="22"/>
          <w:lang w:eastAsia="pl-PL"/>
        </w:rPr>
        <w:t>.</w:t>
      </w:r>
    </w:p>
    <w:p w14:paraId="74178B10" w14:textId="77777777" w:rsidR="00624AA4" w:rsidRDefault="00624AA4" w:rsidP="00624AA4">
      <w:pPr>
        <w:rPr>
          <w:lang w:eastAsia="pl-PL"/>
        </w:rPr>
      </w:pPr>
      <w:r>
        <w:rPr>
          <w:lang w:eastAsia="pl-PL"/>
        </w:rPr>
        <w:t xml:space="preserve">W momencie przygotowywania SRWW 2020 , czyli w latach 2011-2012 nie było jeszcze określonych inteligentnych specjalizacji regionu, ale dokument wskazuje </w:t>
      </w:r>
      <w:r>
        <w:rPr>
          <w:szCs w:val="22"/>
          <w:lang w:eastAsia="pl-PL"/>
        </w:rPr>
        <w:t xml:space="preserve">potencjalne specjalizacje województwa wielkopolskiego: „środowisko”, „sektor żywnościowy”, „sektory kreatywne”, „technologii”, które „umieszcza” następnie w kontekście wybranych celów operacyjnych. </w:t>
      </w:r>
    </w:p>
    <w:p w14:paraId="463EE9A9" w14:textId="77777777" w:rsidR="00624AA4" w:rsidRDefault="00624AA4" w:rsidP="00624AA4">
      <w:pPr>
        <w:rPr>
          <w:lang w:eastAsia="pl-PL"/>
        </w:rPr>
      </w:pPr>
      <w:r w:rsidRPr="000D50C2">
        <w:rPr>
          <w:i/>
          <w:lang w:eastAsia="pl-PL"/>
        </w:rPr>
        <w:lastRenderedPageBreak/>
        <w:t>Regionalna Strategia Innowacji dla Wielkopolski na lata 2015-2020</w:t>
      </w:r>
      <w:r>
        <w:rPr>
          <w:lang w:eastAsia="pl-PL"/>
        </w:rPr>
        <w:t xml:space="preserve"> w wyniku przeprowadzenia procesu przedsiębiorczego odkrywania wyróżniła sześć obszarów inteligentnej specjalizacji:</w:t>
      </w:r>
    </w:p>
    <w:p w14:paraId="7696DFB8" w14:textId="77777777" w:rsidR="00624AA4" w:rsidRDefault="00624AA4" w:rsidP="00DE7B72">
      <w:pPr>
        <w:pStyle w:val="Akapitzlist"/>
        <w:numPr>
          <w:ilvl w:val="0"/>
          <w:numId w:val="53"/>
        </w:numPr>
        <w:rPr>
          <w:lang w:eastAsia="pl-PL"/>
        </w:rPr>
      </w:pPr>
      <w:r>
        <w:rPr>
          <w:lang w:eastAsia="pl-PL"/>
        </w:rPr>
        <w:t>biosurowce i żywność dla świadomych konsumentów;</w:t>
      </w:r>
    </w:p>
    <w:p w14:paraId="15118231" w14:textId="77777777" w:rsidR="00624AA4" w:rsidRDefault="00624AA4" w:rsidP="00DE7B72">
      <w:pPr>
        <w:pStyle w:val="Akapitzlist"/>
        <w:numPr>
          <w:ilvl w:val="0"/>
          <w:numId w:val="53"/>
        </w:numPr>
        <w:rPr>
          <w:lang w:eastAsia="pl-PL"/>
        </w:rPr>
      </w:pPr>
      <w:r>
        <w:rPr>
          <w:lang w:eastAsia="pl-PL"/>
        </w:rPr>
        <w:t>wnętrza przyszłości;</w:t>
      </w:r>
    </w:p>
    <w:p w14:paraId="5BBC5E73" w14:textId="77777777" w:rsidR="00624AA4" w:rsidRDefault="00624AA4" w:rsidP="00DE7B72">
      <w:pPr>
        <w:pStyle w:val="Akapitzlist"/>
        <w:numPr>
          <w:ilvl w:val="0"/>
          <w:numId w:val="53"/>
        </w:numPr>
        <w:rPr>
          <w:lang w:eastAsia="pl-PL"/>
        </w:rPr>
      </w:pPr>
      <w:r>
        <w:rPr>
          <w:lang w:eastAsia="pl-PL"/>
        </w:rPr>
        <w:t>przemysły jutra;</w:t>
      </w:r>
    </w:p>
    <w:p w14:paraId="64805B02" w14:textId="77777777" w:rsidR="00624AA4" w:rsidRDefault="00624AA4" w:rsidP="00DE7B72">
      <w:pPr>
        <w:pStyle w:val="Akapitzlist"/>
        <w:numPr>
          <w:ilvl w:val="0"/>
          <w:numId w:val="53"/>
        </w:numPr>
        <w:rPr>
          <w:lang w:eastAsia="pl-PL"/>
        </w:rPr>
      </w:pPr>
      <w:r>
        <w:rPr>
          <w:lang w:eastAsia="pl-PL"/>
        </w:rPr>
        <w:t>wyspecjalizowane procesy logistyczne;</w:t>
      </w:r>
    </w:p>
    <w:p w14:paraId="2B3057E2" w14:textId="77777777" w:rsidR="00624AA4" w:rsidRDefault="00624AA4" w:rsidP="00DE7B72">
      <w:pPr>
        <w:pStyle w:val="Akapitzlist"/>
        <w:numPr>
          <w:ilvl w:val="0"/>
          <w:numId w:val="53"/>
        </w:numPr>
        <w:rPr>
          <w:lang w:eastAsia="pl-PL"/>
        </w:rPr>
      </w:pPr>
      <w:r>
        <w:rPr>
          <w:lang w:eastAsia="pl-PL"/>
        </w:rPr>
        <w:t>rozwój oparty na ICT;</w:t>
      </w:r>
    </w:p>
    <w:p w14:paraId="78A8521D" w14:textId="77777777" w:rsidR="00624AA4" w:rsidRDefault="00624AA4" w:rsidP="00DE7B72">
      <w:pPr>
        <w:pStyle w:val="Akapitzlist"/>
        <w:numPr>
          <w:ilvl w:val="0"/>
          <w:numId w:val="53"/>
        </w:numPr>
        <w:rPr>
          <w:lang w:eastAsia="pl-PL"/>
        </w:rPr>
      </w:pPr>
      <w:r>
        <w:rPr>
          <w:lang w:eastAsia="pl-PL"/>
        </w:rPr>
        <w:t>nowoczesne technologie medyczne.</w:t>
      </w:r>
    </w:p>
    <w:p w14:paraId="6C631AA5" w14:textId="2572D07B" w:rsidR="00624AA4" w:rsidRDefault="00624AA4" w:rsidP="00624AA4">
      <w:pPr>
        <w:rPr>
          <w:lang w:eastAsia="pl-PL"/>
        </w:rPr>
      </w:pPr>
      <w:r>
        <w:rPr>
          <w:lang w:eastAsia="pl-PL"/>
        </w:rPr>
        <w:t xml:space="preserve">Mamy zatem sytuację, w której Strategia województwa porusza szeroko zagadnienie innowacyjności regionu, formułując również hipotezy na temat inteligentnej specjalizacji, zaś Regionalna strategia innowacji określa ściśle inteligentne specjalizacje wraz z programami strategicznymi, co przełożyło się na zapisy RPO. </w:t>
      </w:r>
    </w:p>
    <w:p w14:paraId="31020C60" w14:textId="6DBD011F" w:rsidR="00624AA4" w:rsidRDefault="00624AA4" w:rsidP="00624AA4">
      <w:pPr>
        <w:rPr>
          <w:lang w:eastAsia="pl-PL"/>
        </w:rPr>
      </w:pPr>
      <w:r>
        <w:rPr>
          <w:lang w:eastAsia="pl-PL"/>
        </w:rPr>
        <w:t>Analiza systemu dokumentów oraz oceny pracowników i ekspertów dotyczące funkcjonowania różnych, pokrywających się tematycznie strategii i programów, prowadzi do wniosku, iż możliwy jest scenariusz rezygnacji z RIS3, pod warunkiem odpowiedniego wyeksponowania zagadnienia inteligentnych specjalizacji w Strategii rozwoju województwa. Należy te</w:t>
      </w:r>
      <w:r w:rsidR="005D558E">
        <w:rPr>
          <w:lang w:eastAsia="pl-PL"/>
        </w:rPr>
        <w:t>ż</w:t>
      </w:r>
      <w:r>
        <w:rPr>
          <w:lang w:eastAsia="pl-PL"/>
        </w:rPr>
        <w:t xml:space="preserve"> liczyć się ze scenariuszem pośrednim, tzn. w przyszłej Strategii rozwoju województwa będą wskazane inteligentne specjalizacje oraz potencjalne sektory wschodzące </w:t>
      </w:r>
      <w:r w:rsidR="56862DA9" w:rsidRPr="56862DA9">
        <w:rPr>
          <w:lang w:eastAsia="pl-PL"/>
        </w:rPr>
        <w:t xml:space="preserve">i ich </w:t>
      </w:r>
      <w:r>
        <w:rPr>
          <w:lang w:eastAsia="pl-PL"/>
        </w:rPr>
        <w:t xml:space="preserve">kluczowe charakterystyki. Inteligentne specjalizacje powinny wpisywać się w cele dotyczące innowacyjności. W Strategii </w:t>
      </w:r>
      <w:r w:rsidR="56862DA9" w:rsidRPr="56862DA9">
        <w:rPr>
          <w:rFonts w:eastAsia="Calibri"/>
          <w:szCs w:val="22"/>
        </w:rPr>
        <w:t>należy odwołać się</w:t>
      </w:r>
      <w:r>
        <w:rPr>
          <w:lang w:eastAsia="pl-PL"/>
        </w:rPr>
        <w:t xml:space="preserve"> do dokumentu programowego, który wdraża Strategię województwa w zakresie inteligentnych specjalizacji.</w:t>
      </w:r>
    </w:p>
    <w:p w14:paraId="36A19006" w14:textId="77777777" w:rsidR="00624AA4" w:rsidRPr="00BF08D5" w:rsidRDefault="00624AA4" w:rsidP="00BF08D5">
      <w:pPr>
        <w:ind w:left="4536"/>
        <w:jc w:val="left"/>
        <w:rPr>
          <w:b/>
          <w:i/>
          <w:color w:val="001E50"/>
        </w:rPr>
      </w:pPr>
      <w:r w:rsidRPr="00BF08D5">
        <w:rPr>
          <w:b/>
          <w:i/>
          <w:color w:val="001E50"/>
        </w:rPr>
        <w:t>Przyjęta horyzontalna zasada innowacyjności jest wciąż dużym wyzwaniem</w:t>
      </w:r>
    </w:p>
    <w:p w14:paraId="6F1F0527" w14:textId="3C551EA7" w:rsidR="00624AA4" w:rsidRDefault="00624AA4" w:rsidP="00624AA4">
      <w:pPr>
        <w:rPr>
          <w:lang w:eastAsia="pl-PL"/>
        </w:rPr>
      </w:pPr>
      <w:r w:rsidRPr="56862DA9">
        <w:rPr>
          <w:lang w:eastAsia="pl-PL"/>
        </w:rPr>
        <w:t>SRWW 2020 w następujący sposób charakteryzuje innowacyjność jako zasadę horyzontalną (</w:t>
      </w:r>
      <w:r>
        <w:rPr>
          <w:lang w:eastAsia="pl-PL"/>
        </w:rPr>
        <w:t>s. 156):</w:t>
      </w:r>
    </w:p>
    <w:p w14:paraId="1415943E" w14:textId="77777777" w:rsidR="00624AA4" w:rsidRPr="0083298F" w:rsidRDefault="00624AA4" w:rsidP="006B4E7E">
      <w:pPr>
        <w:shd w:val="clear" w:color="auto" w:fill="FFE599"/>
        <w:rPr>
          <w:i/>
          <w:szCs w:val="22"/>
          <w:lang w:eastAsia="pl-PL"/>
        </w:rPr>
      </w:pPr>
      <w:r w:rsidRPr="0083298F">
        <w:rPr>
          <w:i/>
          <w:lang w:eastAsia="pl-PL"/>
        </w:rPr>
        <w:t>Niezależnie od realizacji celów poświęconych bezpośrednio innowacjom, ważne jest w ramach realizacji pozostałych stosowanie kilku ważnych zasad: integracja środowisk społeczno-gospodarczych na rzecz innowacji, zwiększenie zdolności przedsiębiorstw do wprowadzania innowacji, wykorzystanie potencjału badawczego Wielkopolski dla wzrostu konkurencyjności gospodarki, budowa nowoczesnej infrastruktury innowacyjnej, promocja innowacji w społeczeństwie. Innowacyjne powinny być wszystkie sfery społeczno-gospodarcze oraz działania na rzecz ich rozwoju</w:t>
      </w:r>
      <w:r>
        <w:rPr>
          <w:i/>
          <w:lang w:eastAsia="pl-PL"/>
        </w:rPr>
        <w:t>.</w:t>
      </w:r>
    </w:p>
    <w:p w14:paraId="1AE4D7BB" w14:textId="77777777" w:rsidR="00624AA4" w:rsidRDefault="00624AA4" w:rsidP="00624AA4">
      <w:pPr>
        <w:rPr>
          <w:lang w:eastAsia="pl-PL"/>
        </w:rPr>
      </w:pPr>
      <w:r>
        <w:rPr>
          <w:lang w:eastAsia="pl-PL"/>
        </w:rPr>
        <w:t>Należy podkreślić, że województwo wielkopolskie odnotowuje słabe wyniki w zakresie innowacyjności, nawet w ujęciu krajowym. Zatem „innowacyjność regionu” pozostaje nie tylko wyzwaniem, ale również ważna wydaje się konstatacja trudności w realizacji zasady horyzontalnej Strategii.</w:t>
      </w:r>
    </w:p>
    <w:p w14:paraId="5834E62B" w14:textId="77777777" w:rsidR="00624AA4" w:rsidRPr="00BF08D5" w:rsidRDefault="00624AA4" w:rsidP="00BF08D5">
      <w:pPr>
        <w:ind w:left="4536"/>
        <w:jc w:val="left"/>
        <w:rPr>
          <w:b/>
          <w:i/>
          <w:color w:val="001E50"/>
        </w:rPr>
      </w:pPr>
      <w:r w:rsidRPr="00BF08D5">
        <w:rPr>
          <w:b/>
          <w:i/>
          <w:color w:val="001E50"/>
        </w:rPr>
        <w:t xml:space="preserve">Proces włączenia inteligentnych specjalizacji do Strategii musi być inteligentny </w:t>
      </w:r>
    </w:p>
    <w:p w14:paraId="006ED32C" w14:textId="77777777" w:rsidR="00624AA4" w:rsidRDefault="00624AA4" w:rsidP="00624AA4">
      <w:pPr>
        <w:rPr>
          <w:lang w:eastAsia="pl-PL"/>
        </w:rPr>
      </w:pPr>
      <w:r>
        <w:rPr>
          <w:lang w:eastAsia="pl-PL"/>
        </w:rPr>
        <w:t>Przy założeniu, że RIS3 w swoim wymiarze strategicznym zostanie implementowany do Strategii województwa, należy pozostawić jego część wdrożeniową w charakterze dokumentu programowego.</w:t>
      </w:r>
    </w:p>
    <w:p w14:paraId="36A7E067" w14:textId="12B002D3" w:rsidR="00624AA4" w:rsidRDefault="00624AA4" w:rsidP="00624AA4">
      <w:pPr>
        <w:rPr>
          <w:lang w:eastAsia="pl-PL"/>
        </w:rPr>
      </w:pPr>
      <w:r>
        <w:rPr>
          <w:lang w:eastAsia="pl-PL"/>
        </w:rPr>
        <w:t>Proces włączenia inteligentnych specjalizacji do Strategii województwa powinien zostać poprzedzony rzetelną odpowiedzią na pytanie o postępy w realizacji RIS3</w:t>
      </w:r>
      <w:r w:rsidR="002E213B">
        <w:rPr>
          <w:lang w:eastAsia="pl-PL"/>
        </w:rPr>
        <w:t>. Prowadzona obecnie (marzec 2019) e</w:t>
      </w:r>
      <w:r w:rsidR="002E213B" w:rsidRPr="002E213B">
        <w:rPr>
          <w:lang w:eastAsia="pl-PL"/>
        </w:rPr>
        <w:t>waluacja RIS jest ewaluacją on going i dotyczy</w:t>
      </w:r>
      <w:r w:rsidR="002E213B">
        <w:rPr>
          <w:lang w:eastAsia="pl-PL"/>
        </w:rPr>
        <w:t xml:space="preserve"> przede wszystkim </w:t>
      </w:r>
      <w:r w:rsidR="002E213B" w:rsidRPr="002E213B">
        <w:rPr>
          <w:lang w:eastAsia="pl-PL"/>
        </w:rPr>
        <w:t>oceny skuteczności RIS i efektywności kosztowej</w:t>
      </w:r>
      <w:r w:rsidR="002E213B">
        <w:rPr>
          <w:lang w:eastAsia="pl-PL"/>
        </w:rPr>
        <w:t xml:space="preserve"> (w tym </w:t>
      </w:r>
      <w:r w:rsidR="002E213B" w:rsidRPr="002E213B">
        <w:rPr>
          <w:lang w:eastAsia="pl-PL"/>
        </w:rPr>
        <w:t>użyteczności</w:t>
      </w:r>
      <w:r w:rsidR="002E213B">
        <w:rPr>
          <w:lang w:eastAsia="pl-PL"/>
        </w:rPr>
        <w:t>)</w:t>
      </w:r>
      <w:r w:rsidR="002E213B" w:rsidRPr="002E213B">
        <w:rPr>
          <w:lang w:eastAsia="pl-PL"/>
        </w:rPr>
        <w:t>. Badanie ma na celu dać rekomendacje, które będą punktem wyjścia do dyskusji z aktorami PPO</w:t>
      </w:r>
      <w:r>
        <w:rPr>
          <w:lang w:eastAsia="pl-PL"/>
        </w:rPr>
        <w:t>. Można zatem przyjąć dwa scenariusze:</w:t>
      </w:r>
    </w:p>
    <w:p w14:paraId="6158A9B5" w14:textId="285E6BD4" w:rsidR="00624AA4" w:rsidRDefault="00624AA4" w:rsidP="00DE7B72">
      <w:pPr>
        <w:pStyle w:val="Akapitzlist"/>
        <w:numPr>
          <w:ilvl w:val="0"/>
          <w:numId w:val="54"/>
        </w:numPr>
        <w:rPr>
          <w:lang w:eastAsia="pl-PL"/>
        </w:rPr>
      </w:pPr>
      <w:r>
        <w:rPr>
          <w:lang w:eastAsia="pl-PL"/>
        </w:rPr>
        <w:lastRenderedPageBreak/>
        <w:t xml:space="preserve">ewaluacja RIS3 będzie rekomendowała utrzymanie </w:t>
      </w:r>
      <w:r w:rsidR="56862DA9" w:rsidRPr="56862DA9">
        <w:rPr>
          <w:lang w:eastAsia="pl-PL"/>
        </w:rPr>
        <w:t>sześciu</w:t>
      </w:r>
      <w:r>
        <w:rPr>
          <w:lang w:eastAsia="pl-PL"/>
        </w:rPr>
        <w:t xml:space="preserve"> obszarów inteligentnych specjalizacji</w:t>
      </w:r>
      <w:r w:rsidR="56862DA9" w:rsidRPr="56862DA9">
        <w:rPr>
          <w:lang w:eastAsia="pl-PL"/>
        </w:rPr>
        <w:t xml:space="preserve"> bez modyfikacji</w:t>
      </w:r>
      <w:r>
        <w:rPr>
          <w:lang w:eastAsia="pl-PL"/>
        </w:rPr>
        <w:t>;</w:t>
      </w:r>
    </w:p>
    <w:p w14:paraId="21736557" w14:textId="77777777" w:rsidR="00624AA4" w:rsidRDefault="00624AA4" w:rsidP="00DE7B72">
      <w:pPr>
        <w:pStyle w:val="Akapitzlist"/>
        <w:numPr>
          <w:ilvl w:val="0"/>
          <w:numId w:val="54"/>
        </w:numPr>
        <w:rPr>
          <w:lang w:eastAsia="pl-PL"/>
        </w:rPr>
      </w:pPr>
      <w:r>
        <w:rPr>
          <w:lang w:eastAsia="pl-PL"/>
        </w:rPr>
        <w:t>ewaluacja RIS3 będzie rekomendowała modyfikację IS (niezależenie od zakresu tej modyfikacji, powinien zostać uruchomiony, przynajmniej częściowo, proces przedsiębiorczego odkrywania).</w:t>
      </w:r>
    </w:p>
    <w:p w14:paraId="63037340" w14:textId="77777777" w:rsidR="00624AA4" w:rsidRDefault="00624AA4" w:rsidP="00624AA4">
      <w:pPr>
        <w:rPr>
          <w:lang w:eastAsia="pl-PL"/>
        </w:rPr>
      </w:pPr>
      <w:r>
        <w:rPr>
          <w:lang w:eastAsia="pl-PL"/>
        </w:rPr>
        <w:t>Pierwszy scenariusz nie wymaga komentarza. Jednak w scenariuszu drugim ważne będzie umiejętne zorganizowanie dwóch procesów aktualizacyjnych, przy czym racjonalna wydaje się propozycja, by w miarę możliwości zsynchronizować te działania, a nawet zespolić (dyskusje i debaty nad Strategią województwa mogłyby być poświęcone również inteligentnym specjalizacjom). Efektem takiego procesu powinny być zmodyfikowane IS, ale również wypracowane (dopracowane/zmodyfikowane) zapisy dotyczące programów strategicznych.</w:t>
      </w:r>
    </w:p>
    <w:p w14:paraId="16694461" w14:textId="77777777" w:rsidR="00624AA4" w:rsidRPr="00BF08D5" w:rsidRDefault="00624AA4" w:rsidP="00BF08D5">
      <w:pPr>
        <w:ind w:left="4536"/>
        <w:jc w:val="left"/>
        <w:rPr>
          <w:b/>
          <w:i/>
          <w:color w:val="001E50"/>
        </w:rPr>
      </w:pPr>
      <w:r w:rsidRPr="00BF08D5">
        <w:rPr>
          <w:b/>
          <w:i/>
          <w:color w:val="001E50"/>
        </w:rPr>
        <w:t xml:space="preserve">Kogo stać na terytorializację inteligentnych specjalizacji </w:t>
      </w:r>
    </w:p>
    <w:p w14:paraId="5F7106D1" w14:textId="6C0723E8" w:rsidR="00624AA4" w:rsidRDefault="00624AA4" w:rsidP="00624AA4">
      <w:pPr>
        <w:rPr>
          <w:lang w:eastAsia="pl-PL"/>
        </w:rPr>
      </w:pPr>
      <w:r>
        <w:rPr>
          <w:lang w:eastAsia="pl-PL"/>
        </w:rPr>
        <w:t xml:space="preserve">Zagadnienie innowacyjności oraz inteligentnych specjalizacji powinno być również rozpatrywane w kontekście terytorializacji. Jednak w przypadku regionów, które charakteryzuje ogólnie niski poziom innowacyjności należy rozważyć zasadność interwencji tylko do określonych obszarów. Wprawdzie szczególnie dobre warunki dla rozwoju innowacji są w rdzeniach metropolii i ich najbliższym otoczeniu, </w:t>
      </w:r>
      <w:r w:rsidR="56862DA9" w:rsidRPr="56862DA9">
        <w:rPr>
          <w:lang w:eastAsia="pl-PL"/>
        </w:rPr>
        <w:t>jednak</w:t>
      </w:r>
      <w:r>
        <w:rPr>
          <w:lang w:eastAsia="pl-PL"/>
        </w:rPr>
        <w:t xml:space="preserve"> sam charakter innowacji nie może podlegać szczegółowemu zaplanowaniu (nie można stwierdzić, że w regionie A będą powstawały firmy wpisujące się w inteligentne specjalizacje, a w regionie B już nie).</w:t>
      </w:r>
    </w:p>
    <w:p w14:paraId="0E1F6801" w14:textId="28B3CE87" w:rsidR="00624AA4" w:rsidRDefault="00624AA4" w:rsidP="004A3B6E">
      <w:pPr>
        <w:rPr>
          <w:lang w:eastAsia="pl-PL"/>
        </w:rPr>
      </w:pPr>
      <w:r>
        <w:rPr>
          <w:lang w:eastAsia="pl-PL"/>
        </w:rPr>
        <w:t xml:space="preserve">Dlatego terytorializacja, jeśli miałaby miejsce, powinna być ukierunkowana nie na konkretne inteligentne specjalizacje, a na likwidacje barier rozwoju innowacyjności w poszczególnych obszarach województwa. Sposobem identyfikacji barier rozwoju innowacyjności w poszczególnych częściach województwa może być zastosowanie podejścia systemowego. Należy jednak podkreślić, że coraz częściej przebija się w literaturze hasło „lokalne systemy innowacji” (Dziemianowicz, Laskowska, Peszat 2017), a w </w:t>
      </w:r>
      <w:r w:rsidRPr="00032C43">
        <w:rPr>
          <w:i/>
          <w:lang w:eastAsia="pl-PL"/>
        </w:rPr>
        <w:t>Rozporządzeniu Parlamentu Europejskiego</w:t>
      </w:r>
      <w:r>
        <w:rPr>
          <w:i/>
          <w:lang w:eastAsia="pl-PL"/>
        </w:rPr>
        <w:t>…</w:t>
      </w:r>
      <w:r>
        <w:rPr>
          <w:lang w:eastAsia="pl-PL"/>
        </w:rPr>
        <w:t xml:space="preserve"> (2018) wskazane są przykłady możliwej synergii poprzez stosowanie ró</w:t>
      </w:r>
      <w:r w:rsidR="002E213B">
        <w:rPr>
          <w:lang w:eastAsia="pl-PL"/>
        </w:rPr>
        <w:t>ż</w:t>
      </w:r>
      <w:r>
        <w:rPr>
          <w:lang w:eastAsia="pl-PL"/>
        </w:rPr>
        <w:t xml:space="preserve">nych instrumentów, w tym środków z EFRR przeznaczanych na rozwój inteligentnych specjalizacji i tworzenie lokalnych systemów innowacji. Wychodząc od identyfikacji elementów Regionalnego Systemu Innowacji, określonego w </w:t>
      </w:r>
      <w:r w:rsidRPr="000D6545">
        <w:rPr>
          <w:i/>
          <w:lang w:eastAsia="pl-PL"/>
        </w:rPr>
        <w:t>Regionalnej Strategii Innowacji dla Wielkopolski na lata 2015-2020</w:t>
      </w:r>
      <w:r>
        <w:rPr>
          <w:lang w:eastAsia="pl-PL"/>
        </w:rPr>
        <w:t xml:space="preserve">, można przeprowadzić diagnozę stopnia rozwoju (i braków) w elementach tego systemu na poziomie subregionalnym, a nawet lokalnym. Taka diagnoza prowadzona na szczeblu lokalnym powinna obejmować podsystemy: edukacji, przedsiębiorstw, instytucji otoczenia biznesu (w tym B+R) i administracji (por. </w:t>
      </w:r>
      <w:r>
        <w:rPr>
          <w:noProof/>
          <w:lang w:val="en-GB"/>
        </w:rPr>
        <w:t>Ferretti i Parmentola 2015).</w:t>
      </w:r>
      <w:r w:rsidR="00FA7F46">
        <w:rPr>
          <w:lang w:eastAsia="pl-PL"/>
        </w:rPr>
        <w:t xml:space="preserve"> </w:t>
      </w:r>
    </w:p>
    <w:p w14:paraId="65E5AD4D" w14:textId="77777777" w:rsidR="004A3B6E" w:rsidRDefault="004A3B6E" w:rsidP="00624AA4">
      <w:pPr>
        <w:pStyle w:val="Nagwek2"/>
      </w:pPr>
      <w:bookmarkStart w:id="238" w:name="_Toc536653159"/>
      <w:bookmarkStart w:id="239" w:name="_Toc1904828"/>
      <w:bookmarkStart w:id="240" w:name="_Toc5699494"/>
      <w:r>
        <w:t>Organizacja systemu – kontekst zmian w otoczeniu</w:t>
      </w:r>
      <w:bookmarkEnd w:id="238"/>
      <w:bookmarkEnd w:id="239"/>
      <w:bookmarkEnd w:id="240"/>
    </w:p>
    <w:p w14:paraId="373652FE" w14:textId="77777777" w:rsidR="004A3B6E" w:rsidRPr="00BF08D5" w:rsidRDefault="004A3B6E" w:rsidP="00BF08D5">
      <w:pPr>
        <w:ind w:left="4536"/>
        <w:jc w:val="left"/>
        <w:rPr>
          <w:b/>
          <w:i/>
          <w:color w:val="001E50"/>
        </w:rPr>
      </w:pPr>
      <w:r w:rsidRPr="00BF08D5">
        <w:rPr>
          <w:b/>
          <w:i/>
          <w:color w:val="001E50"/>
        </w:rPr>
        <w:t>Tak niepewnego otoczenia realizacji Strategii jeszcze nie było</w:t>
      </w:r>
    </w:p>
    <w:p w14:paraId="3A1AA2F4" w14:textId="77777777" w:rsidR="004A3B6E" w:rsidRDefault="004A3B6E" w:rsidP="006B4E7E">
      <w:pPr>
        <w:shd w:val="clear" w:color="auto" w:fill="FFE599"/>
        <w:rPr>
          <w:szCs w:val="22"/>
          <w:lang w:eastAsia="pl-PL"/>
        </w:rPr>
      </w:pPr>
      <w:r>
        <w:rPr>
          <w:szCs w:val="22"/>
          <w:lang w:eastAsia="pl-PL"/>
        </w:rPr>
        <w:t>Do otoczenia systemu planowania strategicznego województwa wielkopolskiego zaliczyć należy trwające prace nad przyszłą perspektywą budżetową UE oraz wdrażanie przez Rząd RP Systemu Zarządzania Rozwojem Polski.</w:t>
      </w:r>
    </w:p>
    <w:p w14:paraId="2AEA4BD3" w14:textId="58059085" w:rsidR="002D3425" w:rsidRDefault="002D3425" w:rsidP="002D3425">
      <w:pPr>
        <w:rPr>
          <w:lang w:eastAsia="pl-PL"/>
        </w:rPr>
      </w:pPr>
      <w:r>
        <w:rPr>
          <w:lang w:eastAsia="pl-PL"/>
        </w:rPr>
        <w:t xml:space="preserve">Wprawdzie SOR został przyjęty przez Rząd RP w lutym 2017 roku, </w:t>
      </w:r>
      <w:r w:rsidR="56862DA9" w:rsidRPr="56862DA9">
        <w:rPr>
          <w:lang w:eastAsia="pl-PL"/>
        </w:rPr>
        <w:t>jednak</w:t>
      </w:r>
      <w:r>
        <w:rPr>
          <w:lang w:eastAsia="pl-PL"/>
        </w:rPr>
        <w:t xml:space="preserve"> jego konstrukcja oraz szerokie możliwości interpretacji skłaniały do oczekiwania, iż część wątpliwości wokół przyszłej polityki rozwoju </w:t>
      </w:r>
      <w:r>
        <w:rPr>
          <w:lang w:eastAsia="pl-PL"/>
        </w:rPr>
        <w:lastRenderedPageBreak/>
        <w:t>rozwieje KSRR. W momencie przygotowania pierwszej wersji Raportu dobiegł końca proces konsultacji KSRR i wiadomo, że projekt ten budzi liczne wątpliwości wyrażane przez samorządy województw.</w:t>
      </w:r>
    </w:p>
    <w:tbl>
      <w:tblPr>
        <w:tblStyle w:val="Tabela-Siatka"/>
        <w:tblpPr w:leftFromText="142" w:rightFromText="142" w:topFromText="113" w:bottomFromText="113" w:vertAnchor="text" w:horzAnchor="margin" w:tblpXSpec="right" w:tblpY="9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ykres 15. Ocena systemu dokumentów strategicznych na poziomie rządowym (liczba wskazań)"/>
        <w:tblDescription w:val="Wykres przedstawia odpowiedzi Marszałków województw, którzy wskazywali, że system planów, programów i strategii na poziomie rządowym wymaga uporządkowania oraz, że na poziomie rządowym powinna obowiązywać jedna strategia."/>
      </w:tblPr>
      <w:tblGrid>
        <w:gridCol w:w="6260"/>
      </w:tblGrid>
      <w:tr w:rsidR="0067757E" w:rsidRPr="00843725" w14:paraId="0A45AD1B" w14:textId="77777777" w:rsidTr="0067757E">
        <w:tc>
          <w:tcPr>
            <w:tcW w:w="6260" w:type="dxa"/>
          </w:tcPr>
          <w:p w14:paraId="20236E28" w14:textId="77777777" w:rsidR="0067757E" w:rsidRPr="0034123E" w:rsidRDefault="0067757E" w:rsidP="0067757E">
            <w:pPr>
              <w:pStyle w:val="Legenda"/>
            </w:pPr>
            <w:bookmarkStart w:id="241" w:name="_Ref536858110"/>
            <w:bookmarkStart w:id="242" w:name="_Toc5699527"/>
            <w:r w:rsidRPr="0034123E">
              <w:t xml:space="preserve">Wykres </w:t>
            </w:r>
            <w:r>
              <w:rPr>
                <w:noProof/>
              </w:rPr>
              <w:fldChar w:fldCharType="begin"/>
            </w:r>
            <w:r>
              <w:rPr>
                <w:noProof/>
              </w:rPr>
              <w:instrText xml:space="preserve"> SEQ Wykres \* ARABIC </w:instrText>
            </w:r>
            <w:r>
              <w:rPr>
                <w:noProof/>
              </w:rPr>
              <w:fldChar w:fldCharType="separate"/>
            </w:r>
            <w:r w:rsidR="007F4FA2">
              <w:rPr>
                <w:noProof/>
              </w:rPr>
              <w:t>16</w:t>
            </w:r>
            <w:r>
              <w:rPr>
                <w:noProof/>
              </w:rPr>
              <w:fldChar w:fldCharType="end"/>
            </w:r>
            <w:bookmarkEnd w:id="241"/>
            <w:r w:rsidRPr="0034123E">
              <w:t>. Ocena systemu dokumentów strategicznych na poziomie rządowym (liczba wskazań)</w:t>
            </w:r>
            <w:bookmarkEnd w:id="242"/>
          </w:p>
        </w:tc>
      </w:tr>
      <w:tr w:rsidR="0067757E" w:rsidRPr="00843725" w14:paraId="01C11103" w14:textId="77777777" w:rsidTr="0067757E">
        <w:tblPrEx>
          <w:tblCellMar>
            <w:left w:w="70" w:type="dxa"/>
            <w:right w:w="70" w:type="dxa"/>
          </w:tblCellMar>
        </w:tblPrEx>
        <w:tc>
          <w:tcPr>
            <w:tcW w:w="6260" w:type="dxa"/>
          </w:tcPr>
          <w:p w14:paraId="2E0E9D9B" w14:textId="77777777" w:rsidR="0067757E" w:rsidRPr="00843725" w:rsidRDefault="0067757E" w:rsidP="0067757E">
            <w:pPr>
              <w:spacing w:after="0" w:line="240" w:lineRule="auto"/>
              <w:rPr>
                <w:sz w:val="14"/>
                <w:szCs w:val="14"/>
                <w:lang w:eastAsia="pl-PL"/>
              </w:rPr>
            </w:pPr>
            <w:r w:rsidRPr="00843725">
              <w:rPr>
                <w:noProof/>
                <w:sz w:val="14"/>
                <w:szCs w:val="14"/>
                <w:lang w:eastAsia="pl-PL"/>
              </w:rPr>
              <w:drawing>
                <wp:inline distT="0" distB="0" distL="0" distR="0" wp14:anchorId="75BFD37F" wp14:editId="6709C4B3">
                  <wp:extent cx="3886200" cy="2047240"/>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67757E" w:rsidRPr="00843725" w14:paraId="7DC47B6C" w14:textId="77777777" w:rsidTr="0067757E">
        <w:tc>
          <w:tcPr>
            <w:tcW w:w="6260" w:type="dxa"/>
            <w:vAlign w:val="center"/>
          </w:tcPr>
          <w:p w14:paraId="66B6616D" w14:textId="77777777" w:rsidR="0067757E" w:rsidRPr="00843725" w:rsidRDefault="0067757E" w:rsidP="0067757E">
            <w:pPr>
              <w:keepNext/>
              <w:spacing w:after="0" w:line="240" w:lineRule="auto"/>
              <w:jc w:val="left"/>
              <w:rPr>
                <w:sz w:val="14"/>
                <w:szCs w:val="14"/>
                <w:lang w:eastAsia="pl-PL"/>
              </w:rPr>
            </w:pPr>
            <w:r w:rsidRPr="00843725">
              <w:rPr>
                <w:sz w:val="14"/>
                <w:szCs w:val="14"/>
                <w:lang w:eastAsia="pl-PL"/>
              </w:rPr>
              <w:t>Źródło: opracowanie własne na podstawie 10 ankiet otrzymanych od Marszałków województw.</w:t>
            </w:r>
          </w:p>
        </w:tc>
      </w:tr>
    </w:tbl>
    <w:p w14:paraId="64E0D8F2" w14:textId="7DAC44E8" w:rsidR="004A3B6E" w:rsidRPr="002D3425" w:rsidRDefault="002D3425" w:rsidP="004A3B6E">
      <w:pPr>
        <w:rPr>
          <w:szCs w:val="22"/>
          <w:lang w:eastAsia="pl-PL"/>
        </w:rPr>
      </w:pPr>
      <w:r>
        <w:rPr>
          <w:lang w:eastAsia="pl-PL"/>
        </w:rPr>
        <w:t>Ponadto trwające prace nad strategiami horyzontalnymi uwidoczniły problemy z kluczowym wyzwaniem strategicznym SOR, tj. terytorializacją polityki rozwojowej. Opierając się na projekcie KSRR 2030 można powiedzieć, że rząd RP będzie stawiał przede wszystkim na „regiony problemowe”, do których Wielkopolska nie należy. Ponadto projekt KSRR 2030 wzbogaca paletę form dokumentów, jakie będą mogły powstawać na linii rząd – samorządy, w której znajduje się jedno rozwiązanie budzące szczególną obawę samorządów województw (zakłada się możliwość tworzenia porozumienia terytorialnego między jednostką lub jednostkami lokalnymi a każdym ministerstwem poza samorządem województwa). Bazując na odpowiedziach Marszałków dziesięciu województw możemy stwierdzić, że dość powszechne jest oczekiwanie dalszego porządkowania systemu dokumentów dotyczących polityki rozwoju na poziomie kraju (przy czym proces ten nie zawsze musi kojarzyć się ze zmniejszeniem liczby dokumentów strategicznych (</w:t>
      </w:r>
      <w:r>
        <w:rPr>
          <w:lang w:eastAsia="pl-PL"/>
        </w:rPr>
        <w:fldChar w:fldCharType="begin"/>
      </w:r>
      <w:r>
        <w:rPr>
          <w:lang w:eastAsia="pl-PL"/>
        </w:rPr>
        <w:instrText xml:space="preserve"> REF _Ref536858110 \h </w:instrText>
      </w:r>
      <w:r>
        <w:rPr>
          <w:lang w:eastAsia="pl-PL"/>
        </w:rPr>
      </w:r>
      <w:r>
        <w:rPr>
          <w:lang w:eastAsia="pl-PL"/>
        </w:rPr>
        <w:fldChar w:fldCharType="separate"/>
      </w:r>
      <w:r w:rsidR="007F4FA2" w:rsidRPr="0034123E">
        <w:t xml:space="preserve">Wykres </w:t>
      </w:r>
      <w:r w:rsidR="007F4FA2">
        <w:rPr>
          <w:noProof/>
        </w:rPr>
        <w:t>16</w:t>
      </w:r>
      <w:r>
        <w:rPr>
          <w:lang w:eastAsia="pl-PL"/>
        </w:rPr>
        <w:fldChar w:fldCharType="end"/>
      </w:r>
      <w:r>
        <w:rPr>
          <w:lang w:eastAsia="pl-PL"/>
        </w:rPr>
        <w:t>).</w:t>
      </w:r>
    </w:p>
    <w:p w14:paraId="20EFB35A" w14:textId="77777777" w:rsidR="004A3B6E" w:rsidRDefault="004A3B6E" w:rsidP="004A3B6E">
      <w:pPr>
        <w:pStyle w:val="Nagwek2"/>
      </w:pPr>
      <w:bookmarkStart w:id="243" w:name="_Toc536653157"/>
      <w:bookmarkStart w:id="244" w:name="_Toc1904829"/>
      <w:bookmarkStart w:id="245" w:name="_Toc5699495"/>
      <w:r>
        <w:t>Wizja systemu planowania strategicznego i operacyjnego</w:t>
      </w:r>
      <w:bookmarkEnd w:id="243"/>
      <w:bookmarkEnd w:id="244"/>
      <w:bookmarkEnd w:id="245"/>
    </w:p>
    <w:p w14:paraId="26C04BB4" w14:textId="77777777" w:rsidR="004A3B6E" w:rsidRPr="00BF08D5" w:rsidRDefault="004A3B6E" w:rsidP="00BF08D5">
      <w:pPr>
        <w:ind w:left="4536"/>
        <w:jc w:val="left"/>
        <w:rPr>
          <w:b/>
          <w:i/>
          <w:color w:val="001E50"/>
        </w:rPr>
      </w:pPr>
      <w:r w:rsidRPr="00BF08D5">
        <w:rPr>
          <w:b/>
          <w:i/>
          <w:color w:val="001E50"/>
        </w:rPr>
        <w:t>Wierzymy, że taki system jest możliwy</w:t>
      </w:r>
    </w:p>
    <w:p w14:paraId="3A250139" w14:textId="77777777" w:rsidR="004A3B6E" w:rsidRPr="00CE06F2" w:rsidRDefault="004A3B6E" w:rsidP="006B4E7E">
      <w:pPr>
        <w:shd w:val="clear" w:color="auto" w:fill="FFE599"/>
        <w:rPr>
          <w:szCs w:val="22"/>
          <w:lang w:eastAsia="pl-PL"/>
        </w:rPr>
      </w:pPr>
      <w:r>
        <w:t xml:space="preserve">Dokument </w:t>
      </w:r>
      <w:r w:rsidRPr="00CE0AE1">
        <w:rPr>
          <w:i/>
        </w:rPr>
        <w:t>Systemu Zarządzania Rozwojem Polski</w:t>
      </w:r>
      <w:r>
        <w:t>, po przeprowadzonej wnikliwej diagnozie sytuacji do 2018 roku, wprowadza wytyczne dotyczące nowego systemu, obejmującego podsystemy: (A) programowania; (B) instytucjonalny; (C) wdrażania. Zastanawiające jest, że „poza” systemem wdrażania, gdzie omówiono monitoring, znalazły się wyodrębnione tematy ewaluacji oraz finansowania.</w:t>
      </w:r>
    </w:p>
    <w:p w14:paraId="38ACB077" w14:textId="77777777" w:rsidR="004A3B6E" w:rsidRDefault="004A3B6E" w:rsidP="004A3B6E">
      <w:pPr>
        <w:rPr>
          <w:lang w:eastAsia="pl-PL"/>
        </w:rPr>
      </w:pPr>
      <w:r>
        <w:rPr>
          <w:lang w:eastAsia="pl-PL"/>
        </w:rPr>
        <w:t xml:space="preserve">Można przyjąć założenie, że dokument rządowy, jakim jest </w:t>
      </w:r>
      <w:r>
        <w:rPr>
          <w:i/>
          <w:lang w:eastAsia="pl-PL"/>
        </w:rPr>
        <w:t>System Zarządzania Rozwojem Polski</w:t>
      </w:r>
      <w:r>
        <w:rPr>
          <w:lang w:eastAsia="pl-PL"/>
        </w:rPr>
        <w:t xml:space="preserve">, stanowi twardy punkt odniesienia do dyskusji o systemie zarządzania w województwach, tym bardziej, że odniesienia do poziomu województwa są częste. </w:t>
      </w:r>
    </w:p>
    <w:p w14:paraId="53FA8704" w14:textId="7ECA1F97" w:rsidR="004A3B6E" w:rsidRDefault="004A3B6E" w:rsidP="004A3B6E">
      <w:pPr>
        <w:rPr>
          <w:lang w:eastAsia="pl-PL"/>
        </w:rPr>
      </w:pPr>
      <w:r>
        <w:rPr>
          <w:lang w:eastAsia="pl-PL"/>
        </w:rPr>
        <w:t>Czy zatem możliwa jest „odrębna” wizja systemu planowania strategicznego i operacyjnego? Biorąc pod uwagę odpowiedzi uzyskane w ankietach od Marszałków województw możemy sformułować trzy główne (najczęściej powtarzające się) cechy takiego systemu (</w:t>
      </w:r>
      <w:r>
        <w:rPr>
          <w:lang w:eastAsia="pl-PL"/>
        </w:rPr>
        <w:fldChar w:fldCharType="begin"/>
      </w:r>
      <w:r>
        <w:rPr>
          <w:lang w:eastAsia="pl-PL"/>
        </w:rPr>
        <w:instrText xml:space="preserve"> REF _Ref536862857 \h </w:instrText>
      </w:r>
      <w:r>
        <w:rPr>
          <w:lang w:eastAsia="pl-PL"/>
        </w:rPr>
      </w:r>
      <w:r>
        <w:rPr>
          <w:lang w:eastAsia="pl-PL"/>
        </w:rPr>
        <w:fldChar w:fldCharType="separate"/>
      </w:r>
      <w:r w:rsidR="007F4FA2">
        <w:t xml:space="preserve">Rysunek </w:t>
      </w:r>
      <w:r w:rsidR="007F4FA2">
        <w:rPr>
          <w:noProof/>
        </w:rPr>
        <w:t>4</w:t>
      </w:r>
      <w:r>
        <w:rPr>
          <w:lang w:eastAsia="pl-PL"/>
        </w:rPr>
        <w:fldChar w:fldCharType="end"/>
      </w:r>
      <w:r>
        <w:rPr>
          <w:lang w:eastAsia="pl-PL"/>
        </w:rPr>
        <w:t>):</w:t>
      </w:r>
    </w:p>
    <w:p w14:paraId="4D1A90B9" w14:textId="5D3380B7" w:rsidR="004A3B6E" w:rsidRDefault="004A3B6E" w:rsidP="00DE7B72">
      <w:pPr>
        <w:pStyle w:val="Akapitzlist"/>
        <w:numPr>
          <w:ilvl w:val="0"/>
          <w:numId w:val="48"/>
        </w:numPr>
        <w:ind w:left="426"/>
        <w:rPr>
          <w:lang w:eastAsia="pl-PL"/>
        </w:rPr>
      </w:pPr>
      <w:r w:rsidRPr="0022427E">
        <w:rPr>
          <w:b/>
          <w:lang w:eastAsia="pl-PL"/>
        </w:rPr>
        <w:t>spójność</w:t>
      </w:r>
      <w:r>
        <w:rPr>
          <w:lang w:eastAsia="pl-PL"/>
        </w:rPr>
        <w:t xml:space="preserve"> – pod tym hasłem mieszczą się takie pojęcia jak: w</w:t>
      </w:r>
      <w:r w:rsidRPr="006D1CF4">
        <w:rPr>
          <w:lang w:eastAsia="pl-PL"/>
        </w:rPr>
        <w:t>iększa integralność dokumentów</w:t>
      </w:r>
      <w:r>
        <w:rPr>
          <w:lang w:eastAsia="pl-PL"/>
        </w:rPr>
        <w:t xml:space="preserve"> (oznacza postulat je</w:t>
      </w:r>
      <w:r w:rsidRPr="006D1CF4">
        <w:rPr>
          <w:lang w:eastAsia="pl-PL"/>
        </w:rPr>
        <w:t>dn</w:t>
      </w:r>
      <w:r>
        <w:rPr>
          <w:lang w:eastAsia="pl-PL"/>
        </w:rPr>
        <w:t>ego</w:t>
      </w:r>
      <w:r w:rsidRPr="006D1CF4">
        <w:rPr>
          <w:lang w:eastAsia="pl-PL"/>
        </w:rPr>
        <w:t xml:space="preserve"> dokument</w:t>
      </w:r>
      <w:r>
        <w:rPr>
          <w:lang w:eastAsia="pl-PL"/>
        </w:rPr>
        <w:t>u</w:t>
      </w:r>
      <w:r w:rsidRPr="006D1CF4">
        <w:rPr>
          <w:lang w:eastAsia="pl-PL"/>
        </w:rPr>
        <w:t xml:space="preserve"> strategiczno-</w:t>
      </w:r>
      <w:r w:rsidR="56862DA9" w:rsidRPr="56862DA9">
        <w:rPr>
          <w:lang w:eastAsia="pl-PL"/>
        </w:rPr>
        <w:t>planistycznego</w:t>
      </w:r>
      <w:r w:rsidRPr="006D1CF4">
        <w:rPr>
          <w:lang w:eastAsia="pl-PL"/>
        </w:rPr>
        <w:t xml:space="preserve"> na każdym poziomie</w:t>
      </w:r>
      <w:r>
        <w:rPr>
          <w:lang w:eastAsia="pl-PL"/>
        </w:rPr>
        <w:t xml:space="preserve"> samorządu, </w:t>
      </w:r>
      <w:r w:rsidR="56862DA9" w:rsidRPr="56862DA9">
        <w:rPr>
          <w:lang w:eastAsia="pl-PL"/>
        </w:rPr>
        <w:t>uzupełnionego</w:t>
      </w:r>
      <w:r>
        <w:rPr>
          <w:lang w:eastAsia="pl-PL"/>
        </w:rPr>
        <w:t xml:space="preserve"> </w:t>
      </w:r>
      <w:r w:rsidRPr="006D1CF4">
        <w:rPr>
          <w:lang w:eastAsia="pl-PL"/>
        </w:rPr>
        <w:t>plan</w:t>
      </w:r>
      <w:r>
        <w:rPr>
          <w:lang w:eastAsia="pl-PL"/>
        </w:rPr>
        <w:t>ami</w:t>
      </w:r>
      <w:r w:rsidRPr="006D1CF4">
        <w:rPr>
          <w:lang w:eastAsia="pl-PL"/>
        </w:rPr>
        <w:t xml:space="preserve"> wykonawcz</w:t>
      </w:r>
      <w:r>
        <w:rPr>
          <w:lang w:eastAsia="pl-PL"/>
        </w:rPr>
        <w:t>ymi</w:t>
      </w:r>
      <w:r w:rsidRPr="006D1CF4">
        <w:rPr>
          <w:lang w:eastAsia="pl-PL"/>
        </w:rPr>
        <w:t xml:space="preserve"> i program</w:t>
      </w:r>
      <w:r>
        <w:rPr>
          <w:lang w:eastAsia="pl-PL"/>
        </w:rPr>
        <w:t>ami</w:t>
      </w:r>
      <w:r w:rsidRPr="006D1CF4">
        <w:rPr>
          <w:lang w:eastAsia="pl-PL"/>
        </w:rPr>
        <w:t xml:space="preserve"> operacyjn</w:t>
      </w:r>
      <w:r>
        <w:rPr>
          <w:lang w:eastAsia="pl-PL"/>
        </w:rPr>
        <w:t xml:space="preserve">ymi); </w:t>
      </w:r>
      <w:r w:rsidR="56862DA9" w:rsidRPr="56862DA9">
        <w:rPr>
          <w:lang w:eastAsia="pl-PL"/>
        </w:rPr>
        <w:t>wsparcie instytucjonalne</w:t>
      </w:r>
      <w:r>
        <w:rPr>
          <w:lang w:eastAsia="pl-PL"/>
        </w:rPr>
        <w:t xml:space="preserve"> na każdym etapie planowania</w:t>
      </w:r>
      <w:r w:rsidR="56862DA9" w:rsidRPr="56862DA9">
        <w:rPr>
          <w:lang w:eastAsia="pl-PL"/>
        </w:rPr>
        <w:t xml:space="preserve"> oraz oparcie</w:t>
      </w:r>
      <w:r>
        <w:rPr>
          <w:lang w:eastAsia="pl-PL"/>
        </w:rPr>
        <w:t xml:space="preserve"> na współ</w:t>
      </w:r>
      <w:r w:rsidRPr="2CD63631">
        <w:rPr>
          <w:lang w:eastAsia="pl-PL"/>
        </w:rPr>
        <w:t>pracy pomiędzy wydziałami odpowiadającymi za różne etapy planowania;</w:t>
      </w:r>
    </w:p>
    <w:p w14:paraId="0F2EF51B" w14:textId="77777777" w:rsidR="004A3B6E" w:rsidRDefault="004A3B6E" w:rsidP="00DE7B72">
      <w:pPr>
        <w:pStyle w:val="Akapitzlist"/>
        <w:numPr>
          <w:ilvl w:val="0"/>
          <w:numId w:val="48"/>
        </w:numPr>
        <w:ind w:left="426"/>
        <w:rPr>
          <w:lang w:eastAsia="pl-PL"/>
        </w:rPr>
      </w:pPr>
      <w:r w:rsidRPr="0022427E">
        <w:rPr>
          <w:b/>
          <w:lang w:eastAsia="pl-PL"/>
        </w:rPr>
        <w:lastRenderedPageBreak/>
        <w:t>przejrzystość</w:t>
      </w:r>
      <w:r>
        <w:rPr>
          <w:lang w:eastAsia="pl-PL"/>
        </w:rPr>
        <w:t xml:space="preserve"> – w tym przypadku zwracamy uwagę na następujące zagadnienia: precyzja, prostota, </w:t>
      </w:r>
      <w:r w:rsidRPr="2CD63631">
        <w:rPr>
          <w:lang w:eastAsia="pl-PL"/>
        </w:rPr>
        <w:t>realność wykonania (uwarunkowania prawne), zapewnienie kompleksowego i realnego finasowania na poziomie operacyjnym;</w:t>
      </w:r>
    </w:p>
    <w:p w14:paraId="177DD5DE" w14:textId="77777777" w:rsidR="004A3B6E" w:rsidRDefault="004A3B6E" w:rsidP="00DE7B72">
      <w:pPr>
        <w:pStyle w:val="Akapitzlist"/>
        <w:numPr>
          <w:ilvl w:val="0"/>
          <w:numId w:val="48"/>
        </w:numPr>
        <w:ind w:left="426"/>
        <w:rPr>
          <w:lang w:eastAsia="pl-PL"/>
        </w:rPr>
      </w:pPr>
      <w:r w:rsidRPr="0022427E">
        <w:rPr>
          <w:b/>
          <w:lang w:eastAsia="pl-PL"/>
        </w:rPr>
        <w:t>uczenie się</w:t>
      </w:r>
      <w:r>
        <w:rPr>
          <w:lang w:eastAsia="pl-PL"/>
        </w:rPr>
        <w:t xml:space="preserve"> – ten postulat przejawia się nie tylko w </w:t>
      </w:r>
      <w:r w:rsidRPr="0022427E">
        <w:rPr>
          <w:i/>
          <w:lang w:eastAsia="pl-PL"/>
        </w:rPr>
        <w:t>explicite</w:t>
      </w:r>
      <w:r>
        <w:rPr>
          <w:lang w:eastAsia="pl-PL"/>
        </w:rPr>
        <w:t xml:space="preserve"> wyrażonym sformułowaniu, ale również w hasłach takich, jak: motywowanie, angażowanie, włączenie, otwartość, mechanizm wprowadzania </w:t>
      </w:r>
      <w:r w:rsidRPr="2CD63631">
        <w:rPr>
          <w:lang w:eastAsia="pl-PL"/>
        </w:rPr>
        <w:t>korekt, umiejętność reagowania na konflikty, oparcie na monitoringu.</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ysunek 4. Cechy oczekiwanego systemu uwzględniającego planowanie strategiczne, operacyjne i przestrzenne "/>
        <w:tblDescription w:val="Rysunek przedstawia wypisane cechy oczekiwanego systemu, który uwzględni planowanie strategiczne, operacyjne i przestrzenne."/>
      </w:tblPr>
      <w:tblGrid>
        <w:gridCol w:w="9072"/>
      </w:tblGrid>
      <w:tr w:rsidR="004A3B6E" w:rsidRPr="00DC19E5" w14:paraId="11348BB4" w14:textId="77777777" w:rsidTr="69901DB0">
        <w:tc>
          <w:tcPr>
            <w:tcW w:w="9072" w:type="dxa"/>
          </w:tcPr>
          <w:p w14:paraId="51825CF2" w14:textId="61F3ECC4" w:rsidR="004A3B6E" w:rsidRPr="00DC19E5" w:rsidRDefault="004A3B6E" w:rsidP="00624AA4">
            <w:pPr>
              <w:pStyle w:val="Legenda"/>
              <w:keepNext/>
            </w:pPr>
            <w:bookmarkStart w:id="246" w:name="_Ref536862857"/>
            <w:bookmarkStart w:id="247" w:name="_Toc5699563"/>
            <w:r>
              <w:t xml:space="preserve">Rysunek </w:t>
            </w:r>
            <w:r w:rsidRPr="69901DB0">
              <w:fldChar w:fldCharType="begin"/>
            </w:r>
            <w:r>
              <w:rPr>
                <w:noProof/>
              </w:rPr>
              <w:instrText xml:space="preserve"> SEQ Rysunek \* ARABIC </w:instrText>
            </w:r>
            <w:r w:rsidRPr="69901DB0">
              <w:rPr>
                <w:noProof/>
              </w:rPr>
              <w:fldChar w:fldCharType="separate"/>
            </w:r>
            <w:r w:rsidR="007F4FA2">
              <w:rPr>
                <w:noProof/>
              </w:rPr>
              <w:t>4</w:t>
            </w:r>
            <w:r w:rsidRPr="69901DB0">
              <w:fldChar w:fldCharType="end"/>
            </w:r>
            <w:bookmarkEnd w:id="246"/>
            <w:r>
              <w:t>. Cechy oczekiwanego systemu uwzględniającego planowanie strategiczne, operacyjne i przestrzenne</w:t>
            </w:r>
            <w:bookmarkEnd w:id="247"/>
          </w:p>
        </w:tc>
      </w:tr>
      <w:tr w:rsidR="004A3B6E" w:rsidRPr="00DC19E5" w14:paraId="60EDF391" w14:textId="77777777" w:rsidTr="69901DB0">
        <w:tblPrEx>
          <w:tblCellMar>
            <w:left w:w="70" w:type="dxa"/>
            <w:right w:w="70" w:type="dxa"/>
          </w:tblCellMar>
        </w:tblPrEx>
        <w:tc>
          <w:tcPr>
            <w:tcW w:w="9072" w:type="dxa"/>
          </w:tcPr>
          <w:p w14:paraId="27E03F6D" w14:textId="77777777" w:rsidR="004A3B6E" w:rsidRPr="00DC19E5" w:rsidRDefault="00843725" w:rsidP="00624AA4">
            <w:pPr>
              <w:spacing w:after="0" w:line="240" w:lineRule="auto"/>
              <w:rPr>
                <w:sz w:val="14"/>
                <w:szCs w:val="14"/>
                <w:lang w:eastAsia="pl-PL"/>
              </w:rPr>
            </w:pPr>
            <w:r>
              <w:rPr>
                <w:noProof/>
                <w:sz w:val="14"/>
                <w:szCs w:val="14"/>
                <w:lang w:eastAsia="pl-PL"/>
              </w:rPr>
              <w:drawing>
                <wp:inline distT="0" distB="0" distL="0" distR="0" wp14:anchorId="545F665D" wp14:editId="6AE6DD2B">
                  <wp:extent cx="5400000" cy="2163068"/>
                  <wp:effectExtent l="0" t="0" r="0" b="8890"/>
                  <wp:docPr id="725516850" name="Obraz 72551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000" cy="2163068"/>
                          </a:xfrm>
                          <a:prstGeom prst="rect">
                            <a:avLst/>
                          </a:prstGeom>
                          <a:noFill/>
                        </pic:spPr>
                      </pic:pic>
                    </a:graphicData>
                  </a:graphic>
                </wp:inline>
              </w:drawing>
            </w:r>
          </w:p>
        </w:tc>
      </w:tr>
      <w:tr w:rsidR="004A3B6E" w:rsidRPr="00DC19E5" w14:paraId="2C9B4BDC" w14:textId="77777777" w:rsidTr="69901DB0">
        <w:tc>
          <w:tcPr>
            <w:tcW w:w="9072" w:type="dxa"/>
            <w:vAlign w:val="center"/>
          </w:tcPr>
          <w:p w14:paraId="23A5D9A5" w14:textId="77777777" w:rsidR="004A3B6E" w:rsidRPr="00DC19E5" w:rsidRDefault="004A3B6E" w:rsidP="00E07E2A">
            <w:pPr>
              <w:spacing w:after="0" w:line="240" w:lineRule="auto"/>
              <w:jc w:val="left"/>
              <w:rPr>
                <w:sz w:val="14"/>
                <w:szCs w:val="14"/>
                <w:lang w:eastAsia="pl-PL"/>
              </w:rPr>
            </w:pPr>
            <w:r>
              <w:rPr>
                <w:sz w:val="14"/>
                <w:szCs w:val="14"/>
                <w:lang w:eastAsia="pl-PL"/>
              </w:rPr>
              <w:t xml:space="preserve">Źródło: opracowanie własne na podstawie </w:t>
            </w:r>
            <w:r w:rsidR="00E07E2A">
              <w:rPr>
                <w:sz w:val="14"/>
                <w:szCs w:val="14"/>
                <w:lang w:eastAsia="pl-PL"/>
              </w:rPr>
              <w:t>10</w:t>
            </w:r>
            <w:r>
              <w:rPr>
                <w:sz w:val="14"/>
                <w:szCs w:val="14"/>
                <w:lang w:eastAsia="pl-PL"/>
              </w:rPr>
              <w:t xml:space="preserve"> ankiet otrzymanych od Marszałków województw.</w:t>
            </w:r>
          </w:p>
        </w:tc>
      </w:tr>
    </w:tbl>
    <w:p w14:paraId="5CBA043F" w14:textId="403F1F34" w:rsidR="004A3B6E" w:rsidRPr="0022427E" w:rsidRDefault="004A3B6E" w:rsidP="00624AA4">
      <w:pPr>
        <w:pStyle w:val="Nagwek3"/>
      </w:pPr>
      <w:bookmarkStart w:id="248" w:name="_Toc536653156"/>
      <w:bookmarkStart w:id="249" w:name="_Toc1904830"/>
      <w:bookmarkStart w:id="250" w:name="_Toc5699496"/>
      <w:r w:rsidRPr="0022427E">
        <w:t xml:space="preserve">Spójność dokumentów wdrożeniowych i </w:t>
      </w:r>
      <w:r>
        <w:t>SRWW 2020</w:t>
      </w:r>
      <w:bookmarkEnd w:id="248"/>
      <w:bookmarkEnd w:id="249"/>
      <w:bookmarkEnd w:id="250"/>
    </w:p>
    <w:p w14:paraId="6741D01B" w14:textId="77777777" w:rsidR="004A3B6E" w:rsidRPr="00BF08D5" w:rsidRDefault="004A3B6E" w:rsidP="00BF08D5">
      <w:pPr>
        <w:ind w:left="4536"/>
        <w:jc w:val="left"/>
        <w:rPr>
          <w:b/>
          <w:i/>
          <w:color w:val="001E50"/>
        </w:rPr>
      </w:pPr>
      <w:r w:rsidRPr="00BF08D5">
        <w:rPr>
          <w:b/>
          <w:i/>
          <w:color w:val="001E50"/>
        </w:rPr>
        <w:t>Spójność? Tak, ale co to właściwie oznacza?</w:t>
      </w:r>
    </w:p>
    <w:p w14:paraId="62D9993D" w14:textId="77777777" w:rsidR="004A3B6E" w:rsidRPr="00CE06F2" w:rsidRDefault="004A3B6E" w:rsidP="006B4E7E">
      <w:pPr>
        <w:shd w:val="clear" w:color="auto" w:fill="FFE599"/>
        <w:rPr>
          <w:szCs w:val="22"/>
          <w:lang w:eastAsia="pl-PL"/>
        </w:rPr>
      </w:pPr>
      <w:r>
        <w:rPr>
          <w:szCs w:val="22"/>
          <w:lang w:eastAsia="pl-PL"/>
        </w:rPr>
        <w:t>SRWW 2020 określa tzw. uwarunkowania programowe, w ramach których omawia zarówno polityki unijne, krajowe, jak i wewnętrzne. Wszystkie wymienione przy tej okazji dokumenty, służące realizacji różnych celów na różnych poziomach administracji obrazują powszechne rozumienie spójności.</w:t>
      </w:r>
    </w:p>
    <w:p w14:paraId="50D8958C" w14:textId="77777777" w:rsidR="004A3B6E" w:rsidRDefault="004A3B6E" w:rsidP="004A3B6E">
      <w:pPr>
        <w:rPr>
          <w:lang w:eastAsia="pl-PL"/>
        </w:rPr>
      </w:pPr>
      <w:r>
        <w:rPr>
          <w:lang w:eastAsia="pl-PL"/>
        </w:rPr>
        <w:t>Spójność możemy określić jako relacje między różnymi dokumentami pozwalające osiągać cele zapisane w poszczególnych dokumentach, a przede wszystkim stwarzające możliwość pojawienia się synergii (na pewno spójnymi dokumentami nie mogą być takie, które są wobec siebie sprzeczne – cele jednego dokumentu powodują brak możliwości realizacji celów innego dokumentu).</w:t>
      </w:r>
    </w:p>
    <w:p w14:paraId="1FEDF447" w14:textId="1CAA7EC8" w:rsidR="004A3B6E" w:rsidRDefault="004A3B6E" w:rsidP="004A3B6E">
      <w:pPr>
        <w:rPr>
          <w:lang w:eastAsia="pl-PL"/>
        </w:rPr>
      </w:pPr>
      <w:r>
        <w:rPr>
          <w:lang w:eastAsia="pl-PL"/>
        </w:rPr>
        <w:t>Wymienione w SRWW 2020 dokumenty: PZPWW, RIS</w:t>
      </w:r>
      <w:r w:rsidR="56862DA9" w:rsidRPr="56862DA9">
        <w:rPr>
          <w:lang w:eastAsia="pl-PL"/>
        </w:rPr>
        <w:t xml:space="preserve"> i</w:t>
      </w:r>
      <w:r>
        <w:rPr>
          <w:lang w:eastAsia="pl-PL"/>
        </w:rPr>
        <w:t xml:space="preserve"> Strategia Polityki Społecznej dla Województwa Wielkopolskiego stanowią tylko część dokumentów wdrożeniowych opracowywanych w ramach kompetencji Samorządu Województwa</w:t>
      </w:r>
      <w:r w:rsidR="56862DA9" w:rsidRPr="56862DA9">
        <w:rPr>
          <w:lang w:eastAsia="pl-PL"/>
        </w:rPr>
        <w:t>.</w:t>
      </w:r>
      <w:r>
        <w:rPr>
          <w:lang w:eastAsia="pl-PL"/>
        </w:rPr>
        <w:t xml:space="preserve"> Strategia rozwoju aglomeracji poznańskiej opracowywana może być przy udziale przedstawicieli Urzędu Marszałkowskiego, jednak odpowiedzialność za jej realizację spoczywa na samorządach lokalnych.</w:t>
      </w:r>
    </w:p>
    <w:p w14:paraId="06C10829" w14:textId="430FAD36" w:rsidR="0034123E" w:rsidRDefault="004A3B6E" w:rsidP="004A3B6E">
      <w:pPr>
        <w:rPr>
          <w:lang w:eastAsia="pl-PL"/>
        </w:rPr>
      </w:pPr>
      <w:r>
        <w:rPr>
          <w:lang w:eastAsia="pl-PL"/>
        </w:rPr>
        <w:t xml:space="preserve">Biorąc pod uwagę zaprezentowane w poprzednim podrozdziale sposoby rozumienia spójności, można zaryzykować twierdzenie, iż nowa generacja dokumentów strategicznych, w ujęciu systemowym, powinna </w:t>
      </w:r>
      <w:r w:rsidR="56862DA9" w:rsidRPr="56862DA9">
        <w:rPr>
          <w:lang w:eastAsia="pl-PL"/>
        </w:rPr>
        <w:t xml:space="preserve">rozszerzyć </w:t>
      </w:r>
      <w:r>
        <w:rPr>
          <w:lang w:eastAsia="pl-PL"/>
        </w:rPr>
        <w:t>pojęcie spójności na zagadnienia dotyczące rzeczywistego integrowania działań, które mieszczą się pod hasłem „zarządzania strategicznego”.</w:t>
      </w:r>
    </w:p>
    <w:p w14:paraId="4B74B686" w14:textId="77777777" w:rsidR="0034123E" w:rsidRDefault="0034123E">
      <w:pPr>
        <w:spacing w:after="0" w:line="240" w:lineRule="auto"/>
        <w:jc w:val="left"/>
        <w:rPr>
          <w:lang w:eastAsia="pl-PL"/>
        </w:rPr>
      </w:pPr>
      <w:r>
        <w:rPr>
          <w:lang w:eastAsia="pl-PL"/>
        </w:rPr>
        <w:br w:type="page"/>
      </w:r>
    </w:p>
    <w:p w14:paraId="3662C17F" w14:textId="77777777" w:rsidR="004A3B6E" w:rsidRPr="00BF08D5" w:rsidRDefault="004A3B6E" w:rsidP="00BF08D5">
      <w:pPr>
        <w:ind w:left="4536"/>
        <w:jc w:val="left"/>
        <w:rPr>
          <w:b/>
          <w:i/>
          <w:color w:val="001E50"/>
        </w:rPr>
      </w:pPr>
      <w:r w:rsidRPr="00BF08D5">
        <w:rPr>
          <w:b/>
          <w:i/>
          <w:color w:val="001E50"/>
        </w:rPr>
        <w:lastRenderedPageBreak/>
        <w:t>Charakter Strategii jest taki, że wdrażać może ją każdy program</w:t>
      </w:r>
    </w:p>
    <w:p w14:paraId="05A5EC3F" w14:textId="77777777" w:rsidR="004A3B6E" w:rsidRDefault="004A3B6E" w:rsidP="004A3B6E">
      <w:pPr>
        <w:rPr>
          <w:lang w:eastAsia="pl-PL"/>
        </w:rPr>
      </w:pPr>
      <w:r>
        <w:rPr>
          <w:lang w:eastAsia="pl-PL"/>
        </w:rPr>
        <w:t>W SRWW 2020 przyjęto następujący katalog dokumentów pełniących funkcję realizacyjną (s. 164):</w:t>
      </w:r>
    </w:p>
    <w:p w14:paraId="4964EED3" w14:textId="77777777" w:rsidR="004A3B6E" w:rsidRPr="00943BA2" w:rsidRDefault="004A3B6E" w:rsidP="006B4E7E">
      <w:pPr>
        <w:shd w:val="clear" w:color="auto" w:fill="FFE599"/>
        <w:rPr>
          <w:i/>
          <w:szCs w:val="22"/>
          <w:lang w:eastAsia="pl-PL"/>
        </w:rPr>
      </w:pPr>
      <w:r w:rsidRPr="00943BA2">
        <w:rPr>
          <w:i/>
          <w:szCs w:val="22"/>
          <w:lang w:eastAsia="pl-PL"/>
        </w:rPr>
        <w:t>Regionalne dokumenty strat</w:t>
      </w:r>
      <w:r>
        <w:rPr>
          <w:i/>
          <w:szCs w:val="22"/>
          <w:lang w:eastAsia="pl-PL"/>
        </w:rPr>
        <w:t>egi</w:t>
      </w:r>
      <w:r w:rsidRPr="00943BA2">
        <w:rPr>
          <w:i/>
          <w:szCs w:val="22"/>
          <w:lang w:eastAsia="pl-PL"/>
        </w:rPr>
        <w:t>czne i programowe opracowywane na podstawie odrębnych regulacji;</w:t>
      </w:r>
      <w:r>
        <w:rPr>
          <w:i/>
          <w:szCs w:val="22"/>
          <w:lang w:eastAsia="pl-PL"/>
        </w:rPr>
        <w:t xml:space="preserve"> </w:t>
      </w:r>
      <w:r w:rsidRPr="00943BA2">
        <w:rPr>
          <w:i/>
          <w:szCs w:val="22"/>
          <w:lang w:eastAsia="pl-PL"/>
        </w:rPr>
        <w:t>Regionalny program operacyjny na lata 2014-2020, jako najważniejszy instrument zarządzania i finansowania rozwoju Wielkopolski; Komponenty regionalne krajowych programów operacyjnych (…); Inne krajowe programy, na które Samorząd Województwa będzie miał wpływ poprzez udział w pracach komitetów sterujących lub monitorujących.</w:t>
      </w:r>
    </w:p>
    <w:p w14:paraId="402AE87F" w14:textId="77777777" w:rsidR="004A3B6E" w:rsidRDefault="004A3B6E" w:rsidP="004A3B6E">
      <w:pPr>
        <w:rPr>
          <w:lang w:eastAsia="pl-PL"/>
        </w:rPr>
      </w:pPr>
      <w:r>
        <w:rPr>
          <w:lang w:eastAsia="pl-PL"/>
        </w:rPr>
        <w:t>Można wskazać kilka czynników ułatwiających zachowanie spójności dokumentów wdrożeniowych ze Strategią rozwoju województwa:</w:t>
      </w:r>
    </w:p>
    <w:tbl>
      <w:tblPr>
        <w:tblStyle w:val="Tabela-Siatka"/>
        <w:tblpPr w:leftFromText="142" w:rightFromText="142" w:topFromText="142" w:bottomFromText="142" w:vertAnchor="text" w:horzAnchor="margin" w:tblpXSpec="right" w:tblpY="5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ykres 16. Spójność dokumentów (liczba wskazań)"/>
        <w:tblDescription w:val="Wykres przedstawia liczbę odpowiedzi pracowników Urzędu Marszałkowskiego, którzy tworząc programy dla województwa, wskazali, że muszą uzupełniać swoją wiedzę o Strategii, sprawdzają zgodność zapisów programów z zapisami Strategii oraz wpisują się nimi w założenia Strategii."/>
      </w:tblPr>
      <w:tblGrid>
        <w:gridCol w:w="5900"/>
      </w:tblGrid>
      <w:tr w:rsidR="0034123E" w:rsidRPr="00DC19E5" w14:paraId="3B13319F" w14:textId="77777777" w:rsidTr="0034123E">
        <w:tc>
          <w:tcPr>
            <w:tcW w:w="5900" w:type="dxa"/>
          </w:tcPr>
          <w:p w14:paraId="166851B4" w14:textId="77777777" w:rsidR="0034123E" w:rsidRPr="00DC19E5" w:rsidRDefault="0034123E" w:rsidP="0034123E">
            <w:pPr>
              <w:pStyle w:val="Legenda"/>
              <w:keepNext/>
            </w:pPr>
            <w:bookmarkStart w:id="251" w:name="_Ref536866321"/>
            <w:bookmarkStart w:id="252" w:name="_Toc5699528"/>
            <w:r>
              <w:t xml:space="preserve">Wykres </w:t>
            </w:r>
            <w:r w:rsidRPr="69901DB0">
              <w:fldChar w:fldCharType="begin"/>
            </w:r>
            <w:r>
              <w:rPr>
                <w:noProof/>
              </w:rPr>
              <w:instrText xml:space="preserve"> SEQ Wykres \* ARABIC </w:instrText>
            </w:r>
            <w:r w:rsidRPr="69901DB0">
              <w:rPr>
                <w:noProof/>
              </w:rPr>
              <w:fldChar w:fldCharType="separate"/>
            </w:r>
            <w:r w:rsidR="007F4FA2">
              <w:rPr>
                <w:noProof/>
              </w:rPr>
              <w:t>17</w:t>
            </w:r>
            <w:r w:rsidRPr="69901DB0">
              <w:fldChar w:fldCharType="end"/>
            </w:r>
            <w:bookmarkEnd w:id="251"/>
            <w:r>
              <w:t>. Spójność dokumentów (liczba wskazań)</w:t>
            </w:r>
            <w:bookmarkEnd w:id="252"/>
          </w:p>
        </w:tc>
      </w:tr>
      <w:tr w:rsidR="0034123E" w:rsidRPr="00DC19E5" w14:paraId="01BFE186" w14:textId="77777777" w:rsidTr="0034123E">
        <w:tblPrEx>
          <w:tblCellMar>
            <w:left w:w="70" w:type="dxa"/>
            <w:right w:w="70" w:type="dxa"/>
          </w:tblCellMar>
        </w:tblPrEx>
        <w:tc>
          <w:tcPr>
            <w:tcW w:w="5900" w:type="dxa"/>
          </w:tcPr>
          <w:p w14:paraId="6A636252" w14:textId="77777777" w:rsidR="0034123E" w:rsidRPr="00DC19E5" w:rsidRDefault="0034123E" w:rsidP="0034123E">
            <w:pPr>
              <w:spacing w:after="0" w:line="240" w:lineRule="auto"/>
              <w:rPr>
                <w:sz w:val="14"/>
                <w:szCs w:val="14"/>
                <w:lang w:eastAsia="pl-PL"/>
              </w:rPr>
            </w:pPr>
            <w:r>
              <w:rPr>
                <w:noProof/>
                <w:lang w:eastAsia="pl-PL"/>
              </w:rPr>
              <w:drawing>
                <wp:inline distT="0" distB="0" distL="0" distR="0" wp14:anchorId="2E8EDFE0" wp14:editId="7CCBE79B">
                  <wp:extent cx="3657600" cy="2948940"/>
                  <wp:effectExtent l="0" t="0" r="0" b="3810"/>
                  <wp:docPr id="725516839" name="Wykres 7255168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34123E" w:rsidRPr="00DC19E5" w14:paraId="3A3F6EEA" w14:textId="77777777" w:rsidTr="0034123E">
        <w:tc>
          <w:tcPr>
            <w:tcW w:w="5900" w:type="dxa"/>
            <w:vAlign w:val="center"/>
          </w:tcPr>
          <w:p w14:paraId="393B7D37" w14:textId="77777777" w:rsidR="0034123E" w:rsidRPr="00DC19E5" w:rsidRDefault="0034123E" w:rsidP="0034123E">
            <w:pPr>
              <w:spacing w:after="0" w:line="240" w:lineRule="auto"/>
              <w:jc w:val="left"/>
              <w:rPr>
                <w:sz w:val="14"/>
                <w:szCs w:val="14"/>
                <w:lang w:eastAsia="pl-PL"/>
              </w:rPr>
            </w:pPr>
            <w:r>
              <w:rPr>
                <w:sz w:val="14"/>
                <w:szCs w:val="14"/>
                <w:lang w:eastAsia="pl-PL"/>
              </w:rPr>
              <w:t>Źródło: opracowanie własne na podstawie 28 ankiet z jednostek Urzędu Marszałkowskiego.</w:t>
            </w:r>
          </w:p>
        </w:tc>
      </w:tr>
    </w:tbl>
    <w:p w14:paraId="492633CB" w14:textId="4556EBAD" w:rsidR="004A3B6E" w:rsidRDefault="0034123E" w:rsidP="00DE7B72">
      <w:pPr>
        <w:pStyle w:val="Akapitzlist"/>
        <w:numPr>
          <w:ilvl w:val="0"/>
          <w:numId w:val="47"/>
        </w:numPr>
        <w:ind w:left="426"/>
        <w:rPr>
          <w:lang w:eastAsia="pl-PL"/>
        </w:rPr>
      </w:pPr>
      <w:r w:rsidRPr="00BE2EDC">
        <w:rPr>
          <w:b/>
          <w:lang w:eastAsia="pl-PL"/>
        </w:rPr>
        <w:t xml:space="preserve"> </w:t>
      </w:r>
      <w:r w:rsidR="004A3B6E" w:rsidRPr="00BE2EDC">
        <w:rPr>
          <w:b/>
          <w:lang w:eastAsia="pl-PL"/>
        </w:rPr>
        <w:t xml:space="preserve">charakter samej </w:t>
      </w:r>
      <w:r w:rsidR="004A3B6E">
        <w:rPr>
          <w:b/>
          <w:lang w:eastAsia="pl-PL"/>
        </w:rPr>
        <w:t>SRWW 2020</w:t>
      </w:r>
      <w:r w:rsidR="004A3B6E">
        <w:rPr>
          <w:lang w:eastAsia="pl-PL"/>
        </w:rPr>
        <w:t xml:space="preserve"> – ogólny i wpisujący się zarówno w polityki </w:t>
      </w:r>
      <w:r w:rsidR="56862DA9" w:rsidRPr="56862DA9">
        <w:rPr>
          <w:lang w:eastAsia="pl-PL"/>
        </w:rPr>
        <w:t>unijne</w:t>
      </w:r>
      <w:r w:rsidR="004A3B6E">
        <w:rPr>
          <w:lang w:eastAsia="pl-PL"/>
        </w:rPr>
        <w:t xml:space="preserve"> (które w głównej mierze kształtują obecne polityki krajowe) oraz w polityki krajowe (podporządkowane w dużej mierze efektywnemu wykorzystaniu środków europejskich);</w:t>
      </w:r>
    </w:p>
    <w:p w14:paraId="110B41D8" w14:textId="16837538" w:rsidR="004A3B6E" w:rsidRDefault="0034123E" w:rsidP="00DE7B72">
      <w:pPr>
        <w:pStyle w:val="Akapitzlist"/>
        <w:numPr>
          <w:ilvl w:val="0"/>
          <w:numId w:val="47"/>
        </w:numPr>
        <w:ind w:left="426"/>
        <w:rPr>
          <w:lang w:eastAsia="pl-PL"/>
        </w:rPr>
      </w:pPr>
      <w:r w:rsidRPr="00BE2EDC">
        <w:rPr>
          <w:b/>
          <w:lang w:eastAsia="pl-PL"/>
        </w:rPr>
        <w:t xml:space="preserve"> </w:t>
      </w:r>
      <w:r w:rsidR="004A3B6E" w:rsidRPr="00BE2EDC">
        <w:rPr>
          <w:b/>
          <w:lang w:eastAsia="pl-PL"/>
        </w:rPr>
        <w:t xml:space="preserve">zaangażowanie przedstawicieli różnych organizacji w proces tworzenia </w:t>
      </w:r>
      <w:r w:rsidR="004A3B6E">
        <w:rPr>
          <w:b/>
          <w:lang w:eastAsia="pl-PL"/>
        </w:rPr>
        <w:t>SRWW 2020</w:t>
      </w:r>
      <w:r w:rsidR="004A3B6E">
        <w:rPr>
          <w:lang w:eastAsia="pl-PL"/>
        </w:rPr>
        <w:t xml:space="preserve"> – wszelkie merytoryczne bariery mogły być niwelowane w trakcie dyskusji w toczących się pracach nad Strategią;</w:t>
      </w:r>
    </w:p>
    <w:p w14:paraId="77E9B22A" w14:textId="77777777" w:rsidR="004A3B6E" w:rsidRDefault="004A3B6E" w:rsidP="00DE7B72">
      <w:pPr>
        <w:pStyle w:val="Akapitzlist"/>
        <w:numPr>
          <w:ilvl w:val="0"/>
          <w:numId w:val="47"/>
        </w:numPr>
        <w:ind w:left="426"/>
        <w:rPr>
          <w:lang w:eastAsia="pl-PL"/>
        </w:rPr>
      </w:pPr>
      <w:r>
        <w:rPr>
          <w:b/>
          <w:lang w:eastAsia="pl-PL"/>
        </w:rPr>
        <w:t xml:space="preserve">konsultacje społeczne </w:t>
      </w:r>
      <w:r>
        <w:rPr>
          <w:lang w:eastAsia="pl-PL"/>
        </w:rPr>
        <w:t>– w przypadku SRWW 2020 przygotowano 6 spotkań, w których wzięło udział 520 osób.</w:t>
      </w:r>
    </w:p>
    <w:p w14:paraId="5B64E606" w14:textId="2C6B9CF8" w:rsidR="004A3B6E" w:rsidRDefault="004A3B6E" w:rsidP="004A3B6E">
      <w:pPr>
        <w:rPr>
          <w:lang w:eastAsia="pl-PL"/>
        </w:rPr>
      </w:pPr>
      <w:r>
        <w:rPr>
          <w:lang w:eastAsia="pl-PL"/>
        </w:rPr>
        <w:t>Opinie kadry kierowniczej na temat spójności dokumentów strategicznych i operacyjnych pozwalają sformułować następujące wnioski dotyczące Samorządu Województwa Wielkopolskiego (</w:t>
      </w:r>
      <w:r>
        <w:rPr>
          <w:lang w:eastAsia="pl-PL"/>
        </w:rPr>
        <w:fldChar w:fldCharType="begin"/>
      </w:r>
      <w:r>
        <w:rPr>
          <w:lang w:eastAsia="pl-PL"/>
        </w:rPr>
        <w:instrText xml:space="preserve"> REF _Ref536866321 \h </w:instrText>
      </w:r>
      <w:r>
        <w:rPr>
          <w:lang w:eastAsia="pl-PL"/>
        </w:rPr>
      </w:r>
      <w:r>
        <w:rPr>
          <w:lang w:eastAsia="pl-PL"/>
        </w:rPr>
        <w:fldChar w:fldCharType="separate"/>
      </w:r>
      <w:r w:rsidR="007F4FA2">
        <w:t xml:space="preserve">Wykres </w:t>
      </w:r>
      <w:r w:rsidR="007F4FA2">
        <w:rPr>
          <w:noProof/>
        </w:rPr>
        <w:t>17</w:t>
      </w:r>
      <w:r>
        <w:rPr>
          <w:lang w:eastAsia="pl-PL"/>
        </w:rPr>
        <w:fldChar w:fldCharType="end"/>
      </w:r>
      <w:r>
        <w:rPr>
          <w:lang w:eastAsia="pl-PL"/>
        </w:rPr>
        <w:t>):</w:t>
      </w:r>
    </w:p>
    <w:p w14:paraId="366F5415" w14:textId="6F212A3A" w:rsidR="004A3B6E" w:rsidRDefault="004A3B6E" w:rsidP="00DE7B72">
      <w:pPr>
        <w:pStyle w:val="Akapitzlist"/>
        <w:numPr>
          <w:ilvl w:val="0"/>
          <w:numId w:val="49"/>
        </w:numPr>
        <w:ind w:left="426"/>
        <w:rPr>
          <w:lang w:eastAsia="pl-PL"/>
        </w:rPr>
      </w:pPr>
      <w:r>
        <w:rPr>
          <w:lang w:eastAsia="pl-PL"/>
        </w:rPr>
        <w:t>osiągnięcie tradycyjnej „spójności”, czyli wpisywania się dokumentów strategicznych i programowych w SRWW 2020 jest zadaniem</w:t>
      </w:r>
      <w:r w:rsidR="56862DA9" w:rsidRPr="56862DA9">
        <w:rPr>
          <w:lang w:eastAsia="pl-PL"/>
        </w:rPr>
        <w:t xml:space="preserve"> łatwym</w:t>
      </w:r>
      <w:r>
        <w:rPr>
          <w:lang w:eastAsia="pl-PL"/>
        </w:rPr>
        <w:t xml:space="preserve"> dla zdecydowanej większości badanych;</w:t>
      </w:r>
    </w:p>
    <w:p w14:paraId="0323CD97" w14:textId="30C18932" w:rsidR="0034123E" w:rsidRDefault="0034123E" w:rsidP="00DE7B72">
      <w:pPr>
        <w:pStyle w:val="Akapitzlist"/>
        <w:numPr>
          <w:ilvl w:val="0"/>
          <w:numId w:val="49"/>
        </w:numPr>
        <w:ind w:left="426"/>
        <w:rPr>
          <w:lang w:eastAsia="pl-PL"/>
        </w:rPr>
      </w:pPr>
      <w:r>
        <w:rPr>
          <w:lang w:eastAsia="pl-PL"/>
        </w:rPr>
        <w:t xml:space="preserve">SRWW 2020 okazuje się być dokumentem „żywym”, jeśli uwzględnimy fakt, </w:t>
      </w:r>
      <w:r w:rsidRPr="56862DA9">
        <w:rPr>
          <w:lang w:eastAsia="pl-PL"/>
        </w:rPr>
        <w:t xml:space="preserve">że </w:t>
      </w:r>
      <w:r>
        <w:rPr>
          <w:lang w:eastAsia="pl-PL"/>
        </w:rPr>
        <w:t>programy opracowywane w Urzędzie wymagają co najmniej odświeżenia wiedzy o zapisach strategicznych, co dotyczy również tych programów, które są ustawowe.</w:t>
      </w:r>
    </w:p>
    <w:p w14:paraId="4278F3FD" w14:textId="4DE16B0A" w:rsidR="0034123E" w:rsidRDefault="0034123E" w:rsidP="0034123E">
      <w:pPr>
        <w:rPr>
          <w:lang w:eastAsia="pl-PL"/>
        </w:rPr>
      </w:pPr>
      <w:r>
        <w:rPr>
          <w:lang w:eastAsia="pl-PL"/>
        </w:rPr>
        <w:t>Nieco inne światło na problem spójności dokumentów w UMWW rzucają odpowiedzi na pytanie, czy trudno jest przełożyć pracownikom różnych departamentów wskaźniki celów Strategii na wskaźniki programów (</w:t>
      </w:r>
      <w:r>
        <w:rPr>
          <w:lang w:eastAsia="pl-PL"/>
        </w:rPr>
        <w:fldChar w:fldCharType="begin"/>
      </w:r>
      <w:r>
        <w:rPr>
          <w:lang w:eastAsia="pl-PL"/>
        </w:rPr>
        <w:instrText xml:space="preserve"> REF _Ref122378 \h </w:instrText>
      </w:r>
      <w:r>
        <w:rPr>
          <w:lang w:eastAsia="pl-PL"/>
        </w:rPr>
      </w:r>
      <w:r>
        <w:rPr>
          <w:lang w:eastAsia="pl-PL"/>
        </w:rPr>
        <w:fldChar w:fldCharType="separate"/>
      </w:r>
      <w:r w:rsidR="007F4FA2">
        <w:t xml:space="preserve">Wykres </w:t>
      </w:r>
      <w:r w:rsidR="007F4FA2">
        <w:rPr>
          <w:noProof/>
        </w:rPr>
        <w:t>18</w:t>
      </w:r>
      <w:r>
        <w:rPr>
          <w:lang w:eastAsia="pl-PL"/>
        </w:rPr>
        <w:fldChar w:fldCharType="end"/>
      </w:r>
      <w:r>
        <w:rPr>
          <w:lang w:eastAsia="pl-PL"/>
        </w:rPr>
        <w:t>).</w:t>
      </w:r>
    </w:p>
    <w:tbl>
      <w:tblPr>
        <w:tblStyle w:val="Tabela-Siatka"/>
        <w:tblpPr w:leftFromText="142" w:rightFromText="142" w:topFromText="142" w:bottomFromText="142" w:vertAnchor="text" w:horzAnchor="margin" w:tblpXSpec="right" w:tblpY="11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Wykres 17. Trudno jest przełożyć wskaźniki celów Strategii na wskaźniki programów "/>
        <w:tblDescription w:val="Wykres przedstawia odpowiedzi na pytanie czy trudno jest przełożyć wskaźniki celów Strategii na wskaźniki programów. Z udzielonych odpowiedzi przez pracowników Urzędu Marszałkowskiego wynika, że nie jest to trudne."/>
      </w:tblPr>
      <w:tblGrid>
        <w:gridCol w:w="5809"/>
      </w:tblGrid>
      <w:tr w:rsidR="0034123E" w:rsidRPr="00DC19E5" w14:paraId="516F9969" w14:textId="77777777" w:rsidTr="0034123E">
        <w:tc>
          <w:tcPr>
            <w:tcW w:w="5809" w:type="dxa"/>
          </w:tcPr>
          <w:p w14:paraId="0F4E7F20" w14:textId="77777777" w:rsidR="0034123E" w:rsidRPr="00DC19E5" w:rsidRDefault="0034123E" w:rsidP="0034123E">
            <w:pPr>
              <w:pStyle w:val="Legenda"/>
              <w:keepNext/>
            </w:pPr>
            <w:bookmarkStart w:id="253" w:name="_Ref122378"/>
            <w:bookmarkStart w:id="254" w:name="_Toc5699529"/>
            <w:r>
              <w:lastRenderedPageBreak/>
              <w:t xml:space="preserve">Wykres </w:t>
            </w:r>
            <w:r w:rsidRPr="69901DB0">
              <w:fldChar w:fldCharType="begin"/>
            </w:r>
            <w:r>
              <w:rPr>
                <w:noProof/>
              </w:rPr>
              <w:instrText xml:space="preserve"> SEQ Wykres \* ARABIC </w:instrText>
            </w:r>
            <w:r w:rsidRPr="69901DB0">
              <w:rPr>
                <w:noProof/>
              </w:rPr>
              <w:fldChar w:fldCharType="separate"/>
            </w:r>
            <w:r w:rsidR="007F4FA2">
              <w:rPr>
                <w:noProof/>
              </w:rPr>
              <w:t>18</w:t>
            </w:r>
            <w:r w:rsidRPr="69901DB0">
              <w:fldChar w:fldCharType="end"/>
            </w:r>
            <w:bookmarkEnd w:id="253"/>
            <w:r>
              <w:t xml:space="preserve">. Trudno jest </w:t>
            </w:r>
            <w:r w:rsidRPr="00E12A8B">
              <w:t>przełożyć wskaźniki celów Strategii na wskaźniki programów</w:t>
            </w:r>
            <w:bookmarkEnd w:id="254"/>
          </w:p>
        </w:tc>
      </w:tr>
      <w:tr w:rsidR="0034123E" w:rsidRPr="00DC19E5" w14:paraId="2CA609F9" w14:textId="77777777" w:rsidTr="0034123E">
        <w:tblPrEx>
          <w:tblCellMar>
            <w:left w:w="70" w:type="dxa"/>
            <w:right w:w="70" w:type="dxa"/>
          </w:tblCellMar>
        </w:tblPrEx>
        <w:tc>
          <w:tcPr>
            <w:tcW w:w="5809" w:type="dxa"/>
          </w:tcPr>
          <w:p w14:paraId="415D201F" w14:textId="77777777" w:rsidR="0034123E" w:rsidRPr="00DC19E5" w:rsidRDefault="0034123E" w:rsidP="0034123E">
            <w:pPr>
              <w:spacing w:after="0" w:line="240" w:lineRule="auto"/>
              <w:rPr>
                <w:sz w:val="14"/>
                <w:szCs w:val="14"/>
                <w:lang w:eastAsia="pl-PL"/>
              </w:rPr>
            </w:pPr>
            <w:r>
              <w:rPr>
                <w:noProof/>
                <w:lang w:eastAsia="pl-PL"/>
              </w:rPr>
              <w:drawing>
                <wp:inline distT="0" distB="0" distL="0" distR="0" wp14:anchorId="3615CE01" wp14:editId="35812AAF">
                  <wp:extent cx="3634740" cy="1744980"/>
                  <wp:effectExtent l="0" t="0" r="3810" b="7620"/>
                  <wp:docPr id="1410683477" name="Wykres 141068347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34123E" w:rsidRPr="00DC19E5" w14:paraId="460E851F" w14:textId="77777777" w:rsidTr="0034123E">
        <w:tc>
          <w:tcPr>
            <w:tcW w:w="5809" w:type="dxa"/>
            <w:vAlign w:val="center"/>
          </w:tcPr>
          <w:p w14:paraId="78D95E95" w14:textId="77777777" w:rsidR="0034123E" w:rsidRPr="00DC19E5" w:rsidRDefault="0034123E" w:rsidP="0034123E">
            <w:pPr>
              <w:spacing w:after="0" w:line="240" w:lineRule="auto"/>
              <w:jc w:val="left"/>
              <w:rPr>
                <w:sz w:val="14"/>
                <w:szCs w:val="14"/>
                <w:lang w:eastAsia="pl-PL"/>
              </w:rPr>
            </w:pPr>
            <w:r>
              <w:rPr>
                <w:sz w:val="14"/>
                <w:szCs w:val="14"/>
                <w:lang w:eastAsia="pl-PL"/>
              </w:rPr>
              <w:t>Źródło: opracowanie własne na podstawie 28 ankiet z jednostek Urzędu Marszałkowskiego.</w:t>
            </w:r>
          </w:p>
        </w:tc>
      </w:tr>
    </w:tbl>
    <w:p w14:paraId="683B7B06" w14:textId="4D54EBA8" w:rsidR="004A3B6E" w:rsidRDefault="002D3425" w:rsidP="004A3B6E">
      <w:pPr>
        <w:rPr>
          <w:lang w:eastAsia="pl-PL"/>
        </w:rPr>
      </w:pPr>
      <w:r>
        <w:rPr>
          <w:lang w:eastAsia="pl-PL"/>
        </w:rPr>
        <w:t xml:space="preserve">Z jednej strony okazuje się, że najwięcej uczestników badania twierdzi, że nie ma w tym zakresie trudności, z drugiej zaś znaczna część ankietowanych takie trudności dostrzega, a co szczególnie intrygujące – spora część badanych nie ma na ten temat wiedzy (być może zakres ich obowiązków nie wymaga wiedzy w tym zakresie, ale również można założyć, że wskaźniki </w:t>
      </w:r>
      <w:r w:rsidR="002E213B">
        <w:rPr>
          <w:lang w:eastAsia="pl-PL"/>
        </w:rPr>
        <w:t xml:space="preserve">realizacji </w:t>
      </w:r>
      <w:r>
        <w:rPr>
          <w:lang w:eastAsia="pl-PL"/>
        </w:rPr>
        <w:t xml:space="preserve">różnych dokumentów </w:t>
      </w:r>
      <w:r w:rsidR="002E213B">
        <w:rPr>
          <w:lang w:eastAsia="pl-PL"/>
        </w:rPr>
        <w:t xml:space="preserve">opracowywane są bez uwzględniania </w:t>
      </w:r>
      <w:r>
        <w:rPr>
          <w:lang w:eastAsia="pl-PL"/>
        </w:rPr>
        <w:t>wskaźników strategii).</w:t>
      </w:r>
    </w:p>
    <w:p w14:paraId="4CEB9156" w14:textId="77777777" w:rsidR="004A3B6E" w:rsidRDefault="004A3B6E" w:rsidP="00624AA4">
      <w:pPr>
        <w:pStyle w:val="Nagwek3"/>
      </w:pPr>
      <w:bookmarkStart w:id="255" w:name="_Toc536653160"/>
      <w:bookmarkStart w:id="256" w:name="_Toc1904831"/>
      <w:bookmarkStart w:id="257" w:name="_Toc5699497"/>
      <w:r>
        <w:t>Cechy nowej Strategii</w:t>
      </w:r>
      <w:bookmarkEnd w:id="255"/>
      <w:bookmarkEnd w:id="256"/>
      <w:bookmarkEnd w:id="257"/>
    </w:p>
    <w:p w14:paraId="04336943" w14:textId="77777777" w:rsidR="004A3B6E" w:rsidRPr="00BF08D5" w:rsidRDefault="004A3B6E" w:rsidP="00BF08D5">
      <w:pPr>
        <w:ind w:left="4536"/>
        <w:jc w:val="left"/>
        <w:rPr>
          <w:b/>
          <w:i/>
          <w:color w:val="001E50"/>
        </w:rPr>
      </w:pPr>
      <w:r w:rsidRPr="00BF08D5">
        <w:rPr>
          <w:b/>
          <w:i/>
          <w:color w:val="001E50"/>
        </w:rPr>
        <w:t>Na szczęście elementy obowiązkowe dla strategii wojewódzkich są określone dość ogólnikowo…</w:t>
      </w:r>
    </w:p>
    <w:p w14:paraId="4359DAB9" w14:textId="77777777" w:rsidR="004A3B6E" w:rsidRDefault="004A3B6E" w:rsidP="004A3B6E">
      <w:pPr>
        <w:rPr>
          <w:lang w:eastAsia="pl-PL"/>
        </w:rPr>
      </w:pPr>
      <w:r>
        <w:rPr>
          <w:lang w:eastAsia="pl-PL"/>
        </w:rPr>
        <w:t xml:space="preserve">W dokumencie </w:t>
      </w:r>
      <w:r w:rsidRPr="00A06C3B">
        <w:rPr>
          <w:i/>
          <w:lang w:eastAsia="pl-PL"/>
        </w:rPr>
        <w:t>System zarządzania rozwojem Polski</w:t>
      </w:r>
      <w:r>
        <w:rPr>
          <w:lang w:eastAsia="pl-PL"/>
        </w:rPr>
        <w:t xml:space="preserve"> strategia rozwoju województwa opisana jest dość ogólnikowo (s. 17):</w:t>
      </w:r>
    </w:p>
    <w:p w14:paraId="6928CB90" w14:textId="77777777" w:rsidR="004A3B6E" w:rsidRPr="00A06C3B" w:rsidRDefault="004A3B6E" w:rsidP="006B4E7E">
      <w:pPr>
        <w:shd w:val="clear" w:color="auto" w:fill="FFE599"/>
        <w:rPr>
          <w:i/>
          <w:szCs w:val="22"/>
          <w:lang w:eastAsia="pl-PL"/>
        </w:rPr>
      </w:pPr>
      <w:r w:rsidRPr="00A06C3B">
        <w:rPr>
          <w:i/>
          <w:szCs w:val="22"/>
          <w:lang w:eastAsia="pl-PL"/>
        </w:rPr>
        <w:t>Zintegrowana strategia rozwoju województwa - ZSRW - zastąpi opracowywane aktualnie: strategię rozwoju województwa i plan zagospodarowania przestrzennego województwa. Jest dokumentem obligatoryjnym, określającym główne cele i kierunki rozwoju województwa w wymiarze społecznym, gospodarczym i przestrzennym. Jeśli horyzont czasowy ZSRW wykracza poza horyzont zintegrowanej strategii rozwoju kraju, wówczas w ZSRW wydziela się okres odpowiadający horyzontowi ZSRK. Strategia dokonuje wyborów strategicznych i przesądzeń w zakresie rozwoju województwa, we współpracy ze wszystkimi partnerami zaangażowanymi w jej realizację. Zapewnia koordynację w zakresie wprowadzania projektów strategicznych o znaczeniu ponadlokalnym do planowania rozwoju na poziomie lokalnym. ZSRW odnosi się do zapisów ZSRK, w szczególności w zakresie projektów strategicznych oraz wynikających ze strategii ustaleń. Strategia stanowi podstawę do przygotowywania stanowiska negocjacyjnego strony samorządowej na potrzeby Kontraktu Terytorialnego, jak również na potrzeby zawarcia porozumień terytorialnych z właściwymi terytorialnie JST.</w:t>
      </w:r>
    </w:p>
    <w:p w14:paraId="5D1643C7" w14:textId="77777777" w:rsidR="004A3B6E" w:rsidRDefault="004A3B6E" w:rsidP="004A3B6E">
      <w:pPr>
        <w:rPr>
          <w:lang w:eastAsia="pl-PL"/>
        </w:rPr>
      </w:pPr>
      <w:r>
        <w:rPr>
          <w:lang w:eastAsia="pl-PL"/>
        </w:rPr>
        <w:t>Podejmując wyzwanie opracowania nowej Strategii należy uwzględnić uwarunkowania zewnętrzne i toczącą się dyskusję nad KSRR, ponieważ to właśnie ten dokument narzuca nowym strategiom pewne obowiązkowe rozwiązania. W szczególności wymienić należy: umieszczenie w strategiach regionalnych obszarów strategicznej interwencji oraz wprowadzenie do treści dokumentu projektów strategicznych.</w:t>
      </w:r>
    </w:p>
    <w:p w14:paraId="3A331BC9" w14:textId="60CF1CB6" w:rsidR="0034123E" w:rsidRDefault="004A3B6E" w:rsidP="004A3B6E">
      <w:pPr>
        <w:rPr>
          <w:lang w:eastAsia="pl-PL"/>
        </w:rPr>
      </w:pPr>
      <w:r>
        <w:rPr>
          <w:lang w:eastAsia="pl-PL"/>
        </w:rPr>
        <w:t>Ponadto należy przyjąć, że każde województwo</w:t>
      </w:r>
      <w:r w:rsidR="56862DA9" w:rsidRPr="56862DA9">
        <w:rPr>
          <w:lang w:eastAsia="pl-PL"/>
        </w:rPr>
        <w:t xml:space="preserve"> staraj</w:t>
      </w:r>
      <w:r w:rsidR="56862DA9" w:rsidRPr="00A35B1C">
        <w:rPr>
          <w:lang w:eastAsia="pl-PL"/>
        </w:rPr>
        <w:t>ą</w:t>
      </w:r>
      <w:r>
        <w:rPr>
          <w:lang w:eastAsia="pl-PL"/>
        </w:rPr>
        <w:t xml:space="preserve"> się zapewnić sobie maksymalne otwarcie na pozyskiwanie zasobów zewnętrznych</w:t>
      </w:r>
      <w:r w:rsidR="002E213B">
        <w:rPr>
          <w:lang w:eastAsia="pl-PL"/>
        </w:rPr>
        <w:t xml:space="preserve"> </w:t>
      </w:r>
      <w:r w:rsidR="002E213B" w:rsidRPr="002E213B">
        <w:rPr>
          <w:lang w:eastAsia="pl-PL"/>
        </w:rPr>
        <w:t>ze środków europejskich (programy europejskie i krajowe) oraz OSI krajowych i innych instrumentów proponowanych w KSRR</w:t>
      </w:r>
      <w:r>
        <w:rPr>
          <w:lang w:eastAsia="pl-PL"/>
        </w:rPr>
        <w:t>.</w:t>
      </w:r>
    </w:p>
    <w:p w14:paraId="420F3F4B" w14:textId="77777777" w:rsidR="0034123E" w:rsidRDefault="0034123E">
      <w:pPr>
        <w:spacing w:after="0" w:line="240" w:lineRule="auto"/>
        <w:jc w:val="left"/>
        <w:rPr>
          <w:lang w:eastAsia="pl-PL"/>
        </w:rPr>
      </w:pPr>
      <w:r>
        <w:rPr>
          <w:lang w:eastAsia="pl-PL"/>
        </w:rPr>
        <w:br w:type="page"/>
      </w:r>
    </w:p>
    <w:p w14:paraId="55BDB679" w14:textId="3B727999" w:rsidR="004A3B6E" w:rsidRDefault="004A3B6E" w:rsidP="004A3B6E">
      <w:pPr>
        <w:pStyle w:val="Legenda"/>
        <w:keepNext/>
      </w:pPr>
      <w:bookmarkStart w:id="258" w:name="_Toc5699556"/>
      <w:r>
        <w:lastRenderedPageBreak/>
        <w:t xml:space="preserve">Tabela </w:t>
      </w:r>
      <w:r w:rsidRPr="69901DB0">
        <w:fldChar w:fldCharType="begin"/>
      </w:r>
      <w:r>
        <w:rPr>
          <w:noProof/>
        </w:rPr>
        <w:instrText xml:space="preserve"> SEQ Tabela \* ARABIC </w:instrText>
      </w:r>
      <w:r w:rsidRPr="69901DB0">
        <w:rPr>
          <w:noProof/>
        </w:rPr>
        <w:fldChar w:fldCharType="separate"/>
      </w:r>
      <w:r w:rsidR="007F4FA2">
        <w:rPr>
          <w:noProof/>
        </w:rPr>
        <w:t>23</w:t>
      </w:r>
      <w:r w:rsidRPr="69901DB0">
        <w:fldChar w:fldCharType="end"/>
      </w:r>
      <w:r>
        <w:t>. Cechy nowej strategii</w:t>
      </w:r>
      <w:bookmarkEnd w:id="258"/>
    </w:p>
    <w:tbl>
      <w:tblPr>
        <w:tblStyle w:val="Zwykatabela2"/>
        <w:tblW w:w="9214" w:type="dxa"/>
        <w:tblBorders>
          <w:insideH w:val="single" w:sz="4" w:space="0" w:color="FFFFFF" w:themeColor="background1" w:themeTint="00" w:themeShade="7F"/>
        </w:tblBorders>
        <w:tblLook w:val="04A0" w:firstRow="1" w:lastRow="0" w:firstColumn="1" w:lastColumn="0" w:noHBand="0" w:noVBand="1"/>
        <w:tblCaption w:val="Tabela 22. Cechy nowej strategii"/>
        <w:tblDescription w:val="Tabela przedstawia obligatoryjne cechy nowej strategii województwa wielkopolskiego."/>
      </w:tblPr>
      <w:tblGrid>
        <w:gridCol w:w="1843"/>
        <w:gridCol w:w="7371"/>
      </w:tblGrid>
      <w:tr w:rsidR="004A3B6E" w14:paraId="543153DB" w14:textId="77777777" w:rsidTr="495DFF14">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shd w:val="clear" w:color="auto" w:fill="F6BB00"/>
            <w:vAlign w:val="center"/>
            <w:hideMark/>
          </w:tcPr>
          <w:p w14:paraId="6A0E3298" w14:textId="77777777" w:rsidR="004A3B6E" w:rsidRPr="00A65C3A" w:rsidRDefault="004A3B6E" w:rsidP="00624AA4">
            <w:pPr>
              <w:pStyle w:val="Zwykytekst"/>
              <w:jc w:val="center"/>
              <w:rPr>
                <w:rFonts w:asciiTheme="minorHAnsi" w:hAnsiTheme="minorHAnsi" w:cs="Consolas"/>
                <w:color w:val="002060"/>
                <w:sz w:val="20"/>
              </w:rPr>
            </w:pPr>
            <w:r>
              <w:rPr>
                <w:rFonts w:asciiTheme="minorHAnsi" w:hAnsiTheme="minorHAnsi" w:cs="Consolas"/>
                <w:color w:val="002060"/>
                <w:sz w:val="20"/>
              </w:rPr>
              <w:t>Obligatoryjne</w:t>
            </w:r>
          </w:p>
        </w:tc>
        <w:tc>
          <w:tcPr>
            <w:tcW w:w="7371" w:type="dxa"/>
            <w:tcBorders>
              <w:top w:val="nil"/>
              <w:bottom w:val="nil"/>
            </w:tcBorders>
            <w:shd w:val="clear" w:color="auto" w:fill="F6BB00"/>
            <w:vAlign w:val="center"/>
            <w:hideMark/>
          </w:tcPr>
          <w:p w14:paraId="3DB7EDFA" w14:textId="77777777" w:rsidR="004A3B6E" w:rsidRPr="00A65C3A" w:rsidRDefault="004A3B6E" w:rsidP="00624AA4">
            <w:pPr>
              <w:pStyle w:val="Zwykytek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2060"/>
                <w:sz w:val="20"/>
              </w:rPr>
            </w:pPr>
            <w:r>
              <w:rPr>
                <w:rFonts w:asciiTheme="minorHAnsi" w:hAnsiTheme="minorHAnsi"/>
                <w:color w:val="002060"/>
                <w:sz w:val="20"/>
              </w:rPr>
              <w:t>Strategia rozwoju województwa. Wielkopolska 2030</w:t>
            </w:r>
          </w:p>
        </w:tc>
      </w:tr>
      <w:tr w:rsidR="004A3B6E" w14:paraId="583C28E5" w14:textId="77777777" w:rsidTr="495DFF14">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43" w:type="dxa"/>
            <w:tcBorders>
              <w:top w:val="nil"/>
              <w:bottom w:val="single" w:sz="4" w:space="0" w:color="FFC000" w:themeColor="accent4"/>
            </w:tcBorders>
          </w:tcPr>
          <w:p w14:paraId="036ACFB4" w14:textId="524D8D8E" w:rsidR="004A3B6E" w:rsidRDefault="56862DA9" w:rsidP="00624AA4">
            <w:pPr>
              <w:pStyle w:val="Zwykytekst"/>
              <w:rPr>
                <w:rFonts w:asciiTheme="minorHAnsi" w:hAnsiTheme="minorHAnsi"/>
                <w:color w:val="002060"/>
                <w:sz w:val="18"/>
                <w:szCs w:val="18"/>
              </w:rPr>
            </w:pPr>
            <w:r w:rsidRPr="56862DA9">
              <w:rPr>
                <w:rFonts w:asciiTheme="minorHAnsi" w:hAnsiTheme="minorHAnsi"/>
                <w:color w:val="002060"/>
                <w:sz w:val="18"/>
                <w:szCs w:val="18"/>
              </w:rPr>
              <w:t>Horyzont</w:t>
            </w:r>
            <w:r w:rsidR="004A3B6E">
              <w:rPr>
                <w:rFonts w:asciiTheme="minorHAnsi" w:hAnsiTheme="minorHAnsi"/>
                <w:color w:val="002060"/>
                <w:sz w:val="18"/>
                <w:szCs w:val="18"/>
              </w:rPr>
              <w:t xml:space="preserve"> czasowy nawiązujący do KSRR</w:t>
            </w:r>
          </w:p>
        </w:tc>
        <w:tc>
          <w:tcPr>
            <w:tcW w:w="7371" w:type="dxa"/>
            <w:tcBorders>
              <w:top w:val="nil"/>
              <w:bottom w:val="single" w:sz="4" w:space="0" w:color="FFC000" w:themeColor="accent4"/>
            </w:tcBorders>
          </w:tcPr>
          <w:p w14:paraId="33AEE962" w14:textId="77777777" w:rsidR="004A3B6E" w:rsidRPr="00A65C3A" w:rsidRDefault="004A3B6E" w:rsidP="00624AA4">
            <w:pPr>
              <w:pStyle w:val="Zwykytek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18"/>
                <w:szCs w:val="18"/>
              </w:rPr>
            </w:pPr>
            <w:r>
              <w:rPr>
                <w:rFonts w:asciiTheme="minorHAnsi" w:hAnsiTheme="minorHAnsi"/>
                <w:b/>
                <w:color w:val="002060"/>
                <w:sz w:val="18"/>
                <w:szCs w:val="18"/>
              </w:rPr>
              <w:t>H</w:t>
            </w:r>
            <w:r w:rsidRPr="003B75D1">
              <w:rPr>
                <w:rFonts w:asciiTheme="minorHAnsi" w:hAnsiTheme="minorHAnsi"/>
                <w:b/>
                <w:color w:val="002060"/>
                <w:sz w:val="18"/>
                <w:szCs w:val="18"/>
              </w:rPr>
              <w:t>oryzont czasowy:</w:t>
            </w:r>
            <w:r>
              <w:rPr>
                <w:rFonts w:asciiTheme="minorHAnsi" w:hAnsiTheme="minorHAnsi"/>
                <w:color w:val="002060"/>
                <w:sz w:val="18"/>
                <w:szCs w:val="18"/>
              </w:rPr>
              <w:t xml:space="preserve"> 2030 – z dyskusyjnym wyodrębnianiem „okresu do 2020 r.” – zgodnie z SOR, gdy prace nad Strategią będą toczyć się w 2019 roku i będzie prawdopodobnie uchwalana pod koniec tego roku</w:t>
            </w:r>
          </w:p>
        </w:tc>
      </w:tr>
      <w:tr w:rsidR="004A3B6E" w14:paraId="32B63CCE" w14:textId="77777777" w:rsidTr="495DFF14">
        <w:trPr>
          <w:trHeight w:val="222"/>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C000" w:themeColor="accent4"/>
              <w:bottom w:val="single" w:sz="4" w:space="0" w:color="FFC000" w:themeColor="accent4"/>
            </w:tcBorders>
          </w:tcPr>
          <w:p w14:paraId="16F9C04C" w14:textId="77777777" w:rsidR="004A3B6E" w:rsidRDefault="004A3B6E" w:rsidP="00624AA4">
            <w:pPr>
              <w:pStyle w:val="Zwykytekst"/>
              <w:rPr>
                <w:rFonts w:asciiTheme="minorHAnsi" w:hAnsiTheme="minorHAnsi"/>
                <w:color w:val="002060"/>
                <w:sz w:val="18"/>
                <w:szCs w:val="18"/>
              </w:rPr>
            </w:pPr>
          </w:p>
        </w:tc>
        <w:tc>
          <w:tcPr>
            <w:tcW w:w="7371" w:type="dxa"/>
            <w:tcBorders>
              <w:top w:val="single" w:sz="4" w:space="0" w:color="FFC000" w:themeColor="accent4"/>
              <w:bottom w:val="single" w:sz="4" w:space="0" w:color="FFC000" w:themeColor="accent4"/>
            </w:tcBorders>
          </w:tcPr>
          <w:p w14:paraId="0652D4B1" w14:textId="77777777" w:rsidR="004A3B6E" w:rsidRDefault="004A3B6E" w:rsidP="00624AA4">
            <w:pPr>
              <w:pStyle w:val="Zwykytek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2060"/>
                <w:sz w:val="18"/>
                <w:szCs w:val="18"/>
              </w:rPr>
            </w:pPr>
            <w:r w:rsidRPr="003B75D1">
              <w:rPr>
                <w:rFonts w:asciiTheme="minorHAnsi" w:hAnsiTheme="minorHAnsi"/>
                <w:b/>
                <w:color w:val="002060"/>
                <w:sz w:val="18"/>
                <w:szCs w:val="18"/>
              </w:rPr>
              <w:t>Wizja rozwoju</w:t>
            </w:r>
            <w:r>
              <w:rPr>
                <w:rFonts w:asciiTheme="minorHAnsi" w:hAnsiTheme="minorHAnsi"/>
                <w:color w:val="002060"/>
                <w:sz w:val="18"/>
                <w:szCs w:val="18"/>
              </w:rPr>
              <w:t xml:space="preserve"> – kluczowy punkt Strategii, na jej początku, strukturalizujący późniejsze elementy dokumentu</w:t>
            </w:r>
          </w:p>
        </w:tc>
      </w:tr>
      <w:tr w:rsidR="004A3B6E" w14:paraId="4824D5DA" w14:textId="77777777" w:rsidTr="495DFF14">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C000" w:themeColor="accent4"/>
              <w:bottom w:val="single" w:sz="4" w:space="0" w:color="FFC000" w:themeColor="accent4"/>
            </w:tcBorders>
          </w:tcPr>
          <w:p w14:paraId="14476EA6" w14:textId="77777777" w:rsidR="004A3B6E" w:rsidRDefault="004A3B6E" w:rsidP="00624AA4">
            <w:pPr>
              <w:pStyle w:val="Zwykytekst"/>
              <w:rPr>
                <w:rFonts w:asciiTheme="minorHAnsi" w:hAnsiTheme="minorHAnsi"/>
                <w:color w:val="002060"/>
                <w:sz w:val="18"/>
                <w:szCs w:val="18"/>
              </w:rPr>
            </w:pPr>
          </w:p>
        </w:tc>
        <w:tc>
          <w:tcPr>
            <w:tcW w:w="7371" w:type="dxa"/>
            <w:tcBorders>
              <w:top w:val="single" w:sz="4" w:space="0" w:color="FFC000" w:themeColor="accent4"/>
              <w:bottom w:val="single" w:sz="4" w:space="0" w:color="FFC000" w:themeColor="accent4"/>
            </w:tcBorders>
          </w:tcPr>
          <w:p w14:paraId="136C988B" w14:textId="77777777" w:rsidR="004A3B6E" w:rsidRPr="003B75D1" w:rsidRDefault="004A3B6E" w:rsidP="00624AA4">
            <w:pPr>
              <w:pStyle w:val="Zwykytekst"/>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002060"/>
                <w:sz w:val="18"/>
                <w:szCs w:val="18"/>
              </w:rPr>
            </w:pPr>
            <w:r>
              <w:rPr>
                <w:rFonts w:asciiTheme="minorHAnsi" w:hAnsiTheme="minorHAnsi"/>
                <w:b/>
                <w:color w:val="002060"/>
                <w:sz w:val="18"/>
                <w:szCs w:val="18"/>
              </w:rPr>
              <w:t>Misja strategii</w:t>
            </w:r>
            <w:r w:rsidRPr="003B75D1">
              <w:rPr>
                <w:rFonts w:asciiTheme="minorHAnsi" w:hAnsiTheme="minorHAnsi"/>
                <w:color w:val="002060"/>
                <w:sz w:val="18"/>
                <w:szCs w:val="18"/>
              </w:rPr>
              <w:t xml:space="preserve"> – jasna deklaracja celu przygotowania tego dokumentu. Konieczna odpowiedź na pytanie: po co samorządowi potrzebna jest strategia?</w:t>
            </w:r>
          </w:p>
        </w:tc>
      </w:tr>
      <w:tr w:rsidR="004A3B6E" w14:paraId="1E25FEAC" w14:textId="77777777" w:rsidTr="495DFF14">
        <w:trPr>
          <w:trHeight w:val="222"/>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C000" w:themeColor="accent4"/>
              <w:bottom w:val="single" w:sz="4" w:space="0" w:color="FFC000" w:themeColor="accent4"/>
            </w:tcBorders>
          </w:tcPr>
          <w:p w14:paraId="482CDF5E" w14:textId="77777777" w:rsidR="004A3B6E" w:rsidRDefault="004A3B6E" w:rsidP="00624AA4">
            <w:pPr>
              <w:pStyle w:val="Zwykytekst"/>
              <w:rPr>
                <w:rFonts w:asciiTheme="minorHAnsi" w:hAnsiTheme="minorHAnsi"/>
                <w:color w:val="002060"/>
                <w:sz w:val="18"/>
                <w:szCs w:val="18"/>
              </w:rPr>
            </w:pPr>
          </w:p>
        </w:tc>
        <w:tc>
          <w:tcPr>
            <w:tcW w:w="7371" w:type="dxa"/>
            <w:tcBorders>
              <w:top w:val="single" w:sz="4" w:space="0" w:color="FFC000" w:themeColor="accent4"/>
              <w:bottom w:val="single" w:sz="4" w:space="0" w:color="FFC000" w:themeColor="accent4"/>
            </w:tcBorders>
          </w:tcPr>
          <w:p w14:paraId="7C81E473" w14:textId="3EA27EE9" w:rsidR="004A3B6E" w:rsidRPr="00A65C3A" w:rsidRDefault="004A3B6E" w:rsidP="00946912">
            <w:pPr>
              <w:pStyle w:val="Zwykytek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2060"/>
                <w:sz w:val="18"/>
                <w:szCs w:val="18"/>
              </w:rPr>
            </w:pPr>
            <w:r w:rsidRPr="003B75D1">
              <w:rPr>
                <w:rFonts w:asciiTheme="minorHAnsi" w:hAnsiTheme="minorHAnsi"/>
                <w:b/>
                <w:color w:val="002060"/>
                <w:sz w:val="18"/>
                <w:szCs w:val="18"/>
              </w:rPr>
              <w:t xml:space="preserve">Przesłanki aktualizacji </w:t>
            </w:r>
            <w:r>
              <w:rPr>
                <w:rFonts w:asciiTheme="minorHAnsi" w:hAnsiTheme="minorHAnsi"/>
                <w:b/>
                <w:color w:val="002060"/>
                <w:sz w:val="18"/>
                <w:szCs w:val="18"/>
              </w:rPr>
              <w:t>S</w:t>
            </w:r>
            <w:r w:rsidRPr="003B75D1">
              <w:rPr>
                <w:rFonts w:asciiTheme="minorHAnsi" w:hAnsiTheme="minorHAnsi"/>
                <w:b/>
                <w:color w:val="002060"/>
                <w:sz w:val="18"/>
                <w:szCs w:val="18"/>
              </w:rPr>
              <w:t>trategii</w:t>
            </w:r>
            <w:r>
              <w:rPr>
                <w:rFonts w:asciiTheme="minorHAnsi" w:hAnsiTheme="minorHAnsi"/>
                <w:color w:val="002060"/>
                <w:sz w:val="18"/>
                <w:szCs w:val="18"/>
              </w:rPr>
              <w:t xml:space="preserve"> – wyjaśnienie zmian w otoczeniu, w tym nowych dokumentów unijnych i rządowych, a także wskazanie kluczowych wniosków z ewaluacji Strategii Wielkopolska 2020. W tym miejscu </w:t>
            </w:r>
            <w:r w:rsidR="00946912" w:rsidRPr="00946912">
              <w:rPr>
                <w:rFonts w:asciiTheme="minorHAnsi" w:hAnsiTheme="minorHAnsi"/>
                <w:color w:val="002060"/>
                <w:sz w:val="18"/>
                <w:szCs w:val="18"/>
              </w:rPr>
              <w:t xml:space="preserve">niezbędne jest wyjaśnienie istoty zintegrowanego planowania strategicznego </w:t>
            </w:r>
            <w:r>
              <w:rPr>
                <w:rFonts w:asciiTheme="minorHAnsi" w:hAnsiTheme="minorHAnsi"/>
                <w:color w:val="002060"/>
                <w:sz w:val="18"/>
                <w:szCs w:val="18"/>
              </w:rPr>
              <w:t>(</w:t>
            </w:r>
            <w:r w:rsidR="00AF024E">
              <w:rPr>
                <w:rFonts w:asciiTheme="minorHAnsi" w:hAnsiTheme="minorHAnsi"/>
                <w:color w:val="002060"/>
                <w:sz w:val="18"/>
                <w:szCs w:val="18"/>
              </w:rPr>
              <w:t>nawiązując, o ile to będzie możliwe, do propozycji, które będą prawdopodobnie przedstawiane przez Rząd RP).</w:t>
            </w:r>
          </w:p>
        </w:tc>
      </w:tr>
      <w:tr w:rsidR="004A3B6E" w14:paraId="3A7A8DF8" w14:textId="77777777" w:rsidTr="495DFF14">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C000" w:themeColor="accent4"/>
              <w:bottom w:val="single" w:sz="4" w:space="0" w:color="FFC000" w:themeColor="accent4"/>
            </w:tcBorders>
          </w:tcPr>
          <w:p w14:paraId="32A7DFBB" w14:textId="77777777" w:rsidR="004A3B6E" w:rsidRDefault="004A3B6E" w:rsidP="00624AA4">
            <w:pPr>
              <w:pStyle w:val="Zwykytekst"/>
              <w:rPr>
                <w:rFonts w:asciiTheme="minorHAnsi" w:hAnsiTheme="minorHAnsi"/>
                <w:color w:val="002060"/>
                <w:sz w:val="18"/>
                <w:szCs w:val="18"/>
              </w:rPr>
            </w:pPr>
            <w:r>
              <w:rPr>
                <w:rFonts w:asciiTheme="minorHAnsi" w:hAnsiTheme="minorHAnsi"/>
                <w:color w:val="002060"/>
                <w:sz w:val="18"/>
                <w:szCs w:val="18"/>
              </w:rPr>
              <w:t>Cele i kierunki rozwoju</w:t>
            </w:r>
          </w:p>
        </w:tc>
        <w:tc>
          <w:tcPr>
            <w:tcW w:w="7371" w:type="dxa"/>
            <w:tcBorders>
              <w:top w:val="single" w:sz="4" w:space="0" w:color="FFC000" w:themeColor="accent4"/>
              <w:bottom w:val="single" w:sz="4" w:space="0" w:color="FFC000" w:themeColor="accent4"/>
            </w:tcBorders>
          </w:tcPr>
          <w:p w14:paraId="6D3EDB34" w14:textId="77777777" w:rsidR="004A3B6E" w:rsidRDefault="004A3B6E" w:rsidP="00624AA4">
            <w:pPr>
              <w:pStyle w:val="Zwykytekst"/>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002060"/>
                <w:sz w:val="18"/>
                <w:szCs w:val="18"/>
              </w:rPr>
            </w:pPr>
            <w:r>
              <w:rPr>
                <w:rFonts w:asciiTheme="minorHAnsi" w:hAnsiTheme="minorHAnsi"/>
                <w:b/>
                <w:color w:val="002060"/>
                <w:sz w:val="18"/>
                <w:szCs w:val="18"/>
              </w:rPr>
              <w:t>Struktura celów uwzględniająca:</w:t>
            </w:r>
          </w:p>
          <w:p w14:paraId="1F6C44AA" w14:textId="77777777" w:rsidR="004A3B6E" w:rsidRDefault="004A3B6E" w:rsidP="00624AA4">
            <w:pPr>
              <w:pStyle w:val="Zwykytekst"/>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002060"/>
                <w:sz w:val="18"/>
                <w:szCs w:val="18"/>
              </w:rPr>
            </w:pPr>
            <w:r>
              <w:rPr>
                <w:rFonts w:asciiTheme="minorHAnsi" w:hAnsiTheme="minorHAnsi"/>
                <w:b/>
                <w:color w:val="002060"/>
                <w:sz w:val="18"/>
                <w:szCs w:val="18"/>
              </w:rPr>
              <w:t>1 cel generalny</w:t>
            </w:r>
            <w:r w:rsidRPr="000615C4">
              <w:rPr>
                <w:rFonts w:asciiTheme="minorHAnsi" w:hAnsiTheme="minorHAnsi"/>
                <w:color w:val="002060"/>
                <w:sz w:val="18"/>
                <w:szCs w:val="18"/>
              </w:rPr>
              <w:t xml:space="preserve"> (może lepiej: „główny”) – jego zadaniem jest „materializowanie” treści wizji, czyli takie sformułowanie, by poddał się ocenie SMART</w:t>
            </w:r>
          </w:p>
          <w:p w14:paraId="17930175" w14:textId="4179F619" w:rsidR="004A3B6E" w:rsidRDefault="004A3B6E" w:rsidP="00624AA4">
            <w:pPr>
              <w:pStyle w:val="Zwykytek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18"/>
                <w:szCs w:val="18"/>
              </w:rPr>
            </w:pPr>
            <w:r>
              <w:rPr>
                <w:rFonts w:asciiTheme="minorHAnsi" w:hAnsiTheme="minorHAnsi"/>
                <w:b/>
                <w:color w:val="002060"/>
                <w:sz w:val="18"/>
                <w:szCs w:val="18"/>
              </w:rPr>
              <w:t>Kilka celów strategicznych</w:t>
            </w:r>
            <w:r w:rsidRPr="000615C4">
              <w:rPr>
                <w:rFonts w:asciiTheme="minorHAnsi" w:hAnsiTheme="minorHAnsi"/>
                <w:color w:val="002060"/>
                <w:sz w:val="18"/>
                <w:szCs w:val="18"/>
              </w:rPr>
              <w:t xml:space="preserve"> – uszczegóławiają treść celu generalnego, ale również podkreślają ich współzależność. Cele powinny odnosić się do określonych tematów, które powinny być terytorializowane w </w:t>
            </w:r>
            <w:r w:rsidR="56862DA9" w:rsidRPr="56862DA9">
              <w:rPr>
                <w:rFonts w:asciiTheme="minorHAnsi" w:hAnsiTheme="minorHAnsi"/>
                <w:color w:val="002060"/>
                <w:sz w:val="18"/>
                <w:szCs w:val="18"/>
              </w:rPr>
              <w:t>przyszłości</w:t>
            </w:r>
            <w:r w:rsidRPr="000615C4">
              <w:rPr>
                <w:rFonts w:asciiTheme="minorHAnsi" w:hAnsiTheme="minorHAnsi"/>
                <w:color w:val="002060"/>
                <w:sz w:val="18"/>
                <w:szCs w:val="18"/>
              </w:rPr>
              <w:t xml:space="preserve"> (odpowiedź na pytanie</w:t>
            </w:r>
            <w:r w:rsidR="56862DA9" w:rsidRPr="56862DA9">
              <w:rPr>
                <w:rFonts w:asciiTheme="minorHAnsi" w:hAnsiTheme="minorHAnsi"/>
                <w:color w:val="002060"/>
                <w:sz w:val="18"/>
                <w:szCs w:val="18"/>
              </w:rPr>
              <w:t>,</w:t>
            </w:r>
            <w:r w:rsidRPr="000615C4">
              <w:rPr>
                <w:rFonts w:asciiTheme="minorHAnsi" w:hAnsiTheme="minorHAnsi"/>
                <w:color w:val="002060"/>
                <w:sz w:val="18"/>
                <w:szCs w:val="18"/>
              </w:rPr>
              <w:t xml:space="preserve"> gdzie w województwie chcemy wywołać zmianę w wyniku realizacji danego celu) </w:t>
            </w:r>
          </w:p>
          <w:p w14:paraId="7DAB94DB" w14:textId="77777777" w:rsidR="004A3B6E" w:rsidRPr="003B75D1" w:rsidRDefault="004A3B6E" w:rsidP="00624AA4">
            <w:pPr>
              <w:pStyle w:val="Zwykytekst"/>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002060"/>
                <w:sz w:val="18"/>
                <w:szCs w:val="18"/>
              </w:rPr>
            </w:pPr>
            <w:r w:rsidRPr="000615C4">
              <w:rPr>
                <w:rFonts w:asciiTheme="minorHAnsi" w:hAnsiTheme="minorHAnsi"/>
                <w:b/>
                <w:color w:val="002060"/>
                <w:sz w:val="18"/>
                <w:szCs w:val="18"/>
              </w:rPr>
              <w:t>Cele operacyjne</w:t>
            </w:r>
            <w:r>
              <w:rPr>
                <w:rFonts w:asciiTheme="minorHAnsi" w:hAnsiTheme="minorHAnsi"/>
                <w:color w:val="002060"/>
                <w:sz w:val="18"/>
                <w:szCs w:val="18"/>
              </w:rPr>
              <w:t xml:space="preserve"> (co najmniej dwa w każdym celu strategicznym) lub opis kierunków interwencji (tematycznych, nie terytorialnych). Cele operacyjne mogłyby być podstawą do szczegółowej dyskusji w ramach prac nad ZIT-ami i mandatami terytorialnymi.</w:t>
            </w:r>
          </w:p>
        </w:tc>
      </w:tr>
      <w:tr w:rsidR="004A3B6E" w14:paraId="6407B505" w14:textId="77777777" w:rsidTr="495DFF14">
        <w:trPr>
          <w:trHeight w:val="222"/>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C000" w:themeColor="accent4"/>
              <w:bottom w:val="single" w:sz="4" w:space="0" w:color="FFC000" w:themeColor="accent4"/>
            </w:tcBorders>
          </w:tcPr>
          <w:p w14:paraId="0AA5390A" w14:textId="77777777" w:rsidR="004A3B6E" w:rsidRDefault="004A3B6E" w:rsidP="00624AA4">
            <w:pPr>
              <w:pStyle w:val="Zwykytekst"/>
              <w:rPr>
                <w:rFonts w:asciiTheme="minorHAnsi" w:hAnsiTheme="minorHAnsi"/>
                <w:color w:val="002060"/>
                <w:sz w:val="18"/>
                <w:szCs w:val="18"/>
              </w:rPr>
            </w:pPr>
            <w:r>
              <w:rPr>
                <w:rFonts w:asciiTheme="minorHAnsi" w:hAnsiTheme="minorHAnsi"/>
                <w:color w:val="002060"/>
                <w:sz w:val="18"/>
                <w:szCs w:val="18"/>
              </w:rPr>
              <w:t>Ustalenia ZSRK (w szczególności OSI, instrumenty wdrażania)</w:t>
            </w:r>
          </w:p>
        </w:tc>
        <w:tc>
          <w:tcPr>
            <w:tcW w:w="7371" w:type="dxa"/>
            <w:tcBorders>
              <w:top w:val="single" w:sz="4" w:space="0" w:color="FFC000" w:themeColor="accent4"/>
              <w:bottom w:val="single" w:sz="4" w:space="0" w:color="FFC000" w:themeColor="accent4"/>
            </w:tcBorders>
          </w:tcPr>
          <w:p w14:paraId="7F89F538" w14:textId="77777777" w:rsidR="004A3B6E" w:rsidRDefault="004A3B6E" w:rsidP="00624AA4">
            <w:pPr>
              <w:pStyle w:val="Zwykytek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2060"/>
                <w:sz w:val="18"/>
                <w:szCs w:val="18"/>
              </w:rPr>
            </w:pPr>
            <w:r>
              <w:rPr>
                <w:rFonts w:asciiTheme="minorHAnsi" w:hAnsiTheme="minorHAnsi"/>
                <w:color w:val="002060"/>
                <w:sz w:val="18"/>
                <w:szCs w:val="18"/>
              </w:rPr>
              <w:t xml:space="preserve">Twórcze przepracowanie finalnych zapisów KSRR. </w:t>
            </w:r>
          </w:p>
          <w:p w14:paraId="6A915536" w14:textId="77777777" w:rsidR="004A3B6E" w:rsidRDefault="004A3B6E" w:rsidP="00624AA4">
            <w:pPr>
              <w:pStyle w:val="Zwykytek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2060"/>
                <w:sz w:val="18"/>
                <w:szCs w:val="18"/>
              </w:rPr>
            </w:pPr>
            <w:r w:rsidRPr="002541E8">
              <w:rPr>
                <w:rFonts w:asciiTheme="minorHAnsi" w:hAnsiTheme="minorHAnsi"/>
                <w:b/>
                <w:color w:val="002060"/>
                <w:sz w:val="18"/>
                <w:szCs w:val="18"/>
              </w:rPr>
              <w:t>OSI</w:t>
            </w:r>
            <w:r>
              <w:rPr>
                <w:rFonts w:asciiTheme="minorHAnsi" w:hAnsiTheme="minorHAnsi"/>
                <w:color w:val="002060"/>
                <w:sz w:val="18"/>
                <w:szCs w:val="18"/>
              </w:rPr>
              <w:t xml:space="preserve"> wyróżnione w KSRR powinny być włączone do Strategii jako „dodatkowe” możliwości realizacji polityki rozwoju Samorządu województwa</w:t>
            </w:r>
          </w:p>
          <w:p w14:paraId="647ED9CC" w14:textId="4EBDA725" w:rsidR="004A3B6E" w:rsidRDefault="004A3B6E" w:rsidP="00624AA4">
            <w:pPr>
              <w:pStyle w:val="Zwykytek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2060"/>
                <w:sz w:val="18"/>
                <w:szCs w:val="18"/>
              </w:rPr>
            </w:pPr>
            <w:r>
              <w:rPr>
                <w:rFonts w:asciiTheme="minorHAnsi" w:hAnsiTheme="minorHAnsi"/>
                <w:color w:val="002060"/>
                <w:sz w:val="18"/>
                <w:szCs w:val="18"/>
              </w:rPr>
              <w:t xml:space="preserve">Odrębny rozdział dotyczący </w:t>
            </w:r>
            <w:r w:rsidRPr="002541E8">
              <w:rPr>
                <w:rFonts w:asciiTheme="minorHAnsi" w:hAnsiTheme="minorHAnsi"/>
                <w:b/>
                <w:color w:val="002060"/>
                <w:sz w:val="18"/>
                <w:szCs w:val="18"/>
              </w:rPr>
              <w:t xml:space="preserve">Systemu wdrażania </w:t>
            </w:r>
            <w:r>
              <w:rPr>
                <w:rFonts w:asciiTheme="minorHAnsi" w:hAnsiTheme="minorHAnsi"/>
                <w:b/>
                <w:color w:val="002060"/>
                <w:sz w:val="18"/>
                <w:szCs w:val="18"/>
              </w:rPr>
              <w:t>SRWW 20</w:t>
            </w:r>
            <w:r w:rsidR="00350587">
              <w:rPr>
                <w:rFonts w:asciiTheme="minorHAnsi" w:hAnsiTheme="minorHAnsi"/>
                <w:b/>
                <w:color w:val="002060"/>
                <w:sz w:val="18"/>
                <w:szCs w:val="18"/>
              </w:rPr>
              <w:t>3</w:t>
            </w:r>
            <w:r>
              <w:rPr>
                <w:rFonts w:asciiTheme="minorHAnsi" w:hAnsiTheme="minorHAnsi"/>
                <w:b/>
                <w:color w:val="002060"/>
                <w:sz w:val="18"/>
                <w:szCs w:val="18"/>
              </w:rPr>
              <w:t>0</w:t>
            </w:r>
            <w:r>
              <w:rPr>
                <w:rFonts w:asciiTheme="minorHAnsi" w:hAnsiTheme="minorHAnsi"/>
                <w:color w:val="002060"/>
                <w:sz w:val="18"/>
                <w:szCs w:val="18"/>
              </w:rPr>
              <w:t xml:space="preserve"> (ramy finansowe, struktura instytucjonalna, system monitorowania i ewaluacji)</w:t>
            </w:r>
          </w:p>
          <w:p w14:paraId="71765780" w14:textId="77777777" w:rsidR="004A3B6E" w:rsidRPr="00A65C3A" w:rsidRDefault="004A3B6E" w:rsidP="00624AA4">
            <w:pPr>
              <w:pStyle w:val="Zwykytek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2060"/>
                <w:sz w:val="18"/>
                <w:szCs w:val="18"/>
              </w:rPr>
            </w:pPr>
            <w:r>
              <w:rPr>
                <w:rFonts w:asciiTheme="minorHAnsi" w:hAnsiTheme="minorHAnsi"/>
                <w:color w:val="002060"/>
                <w:sz w:val="18"/>
                <w:szCs w:val="18"/>
              </w:rPr>
              <w:t xml:space="preserve">Rozdział podsumowujący </w:t>
            </w:r>
            <w:r w:rsidRPr="002541E8">
              <w:rPr>
                <w:rFonts w:asciiTheme="minorHAnsi" w:hAnsiTheme="minorHAnsi"/>
                <w:b/>
                <w:color w:val="002060"/>
                <w:sz w:val="18"/>
                <w:szCs w:val="18"/>
              </w:rPr>
              <w:t>terytorialny wymiar strategii</w:t>
            </w:r>
            <w:r>
              <w:rPr>
                <w:rFonts w:asciiTheme="minorHAnsi" w:hAnsiTheme="minorHAnsi"/>
                <w:color w:val="002060"/>
                <w:sz w:val="18"/>
                <w:szCs w:val="18"/>
              </w:rPr>
              <w:t xml:space="preserve"> (OSI regionalne – pochodna terytorializacji celów strategicznych; OSI KSRR; oczekiwane zmiany w przestrzeni województwa)</w:t>
            </w:r>
          </w:p>
        </w:tc>
      </w:tr>
      <w:tr w:rsidR="004A3B6E" w14:paraId="756A95D5" w14:textId="77777777" w:rsidTr="495DFF14">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C000" w:themeColor="accent4"/>
              <w:bottom w:val="single" w:sz="4" w:space="0" w:color="FFC000" w:themeColor="accent4"/>
            </w:tcBorders>
          </w:tcPr>
          <w:p w14:paraId="16B873D6" w14:textId="77777777" w:rsidR="004A3B6E" w:rsidRDefault="004A3B6E" w:rsidP="00624AA4">
            <w:pPr>
              <w:pStyle w:val="Zwykytekst"/>
              <w:rPr>
                <w:rFonts w:asciiTheme="minorHAnsi" w:hAnsiTheme="minorHAnsi"/>
                <w:color w:val="002060"/>
                <w:sz w:val="18"/>
                <w:szCs w:val="18"/>
              </w:rPr>
            </w:pPr>
            <w:r>
              <w:rPr>
                <w:rFonts w:asciiTheme="minorHAnsi" w:hAnsiTheme="minorHAnsi"/>
                <w:color w:val="002060"/>
                <w:sz w:val="18"/>
                <w:szCs w:val="18"/>
              </w:rPr>
              <w:t>Projekty o znaczeniu strategicznym</w:t>
            </w:r>
          </w:p>
        </w:tc>
        <w:tc>
          <w:tcPr>
            <w:tcW w:w="7371" w:type="dxa"/>
            <w:tcBorders>
              <w:top w:val="single" w:sz="4" w:space="0" w:color="FFC000" w:themeColor="accent4"/>
              <w:bottom w:val="single" w:sz="4" w:space="0" w:color="FFC000" w:themeColor="accent4"/>
            </w:tcBorders>
          </w:tcPr>
          <w:p w14:paraId="3D408540" w14:textId="77777777" w:rsidR="004A3B6E" w:rsidRDefault="004A3B6E" w:rsidP="00624AA4">
            <w:pPr>
              <w:pStyle w:val="Zwykytek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18"/>
                <w:szCs w:val="18"/>
              </w:rPr>
            </w:pPr>
            <w:r>
              <w:rPr>
                <w:rFonts w:asciiTheme="minorHAnsi" w:hAnsiTheme="minorHAnsi"/>
                <w:color w:val="002060"/>
                <w:sz w:val="18"/>
                <w:szCs w:val="18"/>
              </w:rPr>
              <w:t>Wskazanie dwóch typów projektów strategicznych:</w:t>
            </w:r>
          </w:p>
          <w:p w14:paraId="6F44BE0A" w14:textId="014ABE84" w:rsidR="004A3B6E" w:rsidRDefault="004A3B6E" w:rsidP="00624AA4">
            <w:pPr>
              <w:pStyle w:val="Zwykytek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18"/>
                <w:szCs w:val="18"/>
              </w:rPr>
            </w:pPr>
            <w:r>
              <w:rPr>
                <w:rFonts w:asciiTheme="minorHAnsi" w:hAnsiTheme="minorHAnsi"/>
                <w:color w:val="002060"/>
                <w:sz w:val="18"/>
                <w:szCs w:val="18"/>
              </w:rPr>
              <w:t>A. Zawartych w KSRR</w:t>
            </w:r>
            <w:r w:rsidR="56862DA9" w:rsidRPr="56862DA9">
              <w:rPr>
                <w:rFonts w:asciiTheme="minorHAnsi" w:hAnsiTheme="minorHAnsi"/>
                <w:color w:val="002060"/>
                <w:sz w:val="18"/>
                <w:szCs w:val="18"/>
              </w:rPr>
              <w:t xml:space="preserve"> </w:t>
            </w:r>
            <w:r w:rsidR="56862DA9" w:rsidRPr="56862DA9">
              <w:rPr>
                <w:rFonts w:cs="Calibri"/>
                <w:color w:val="002060"/>
                <w:sz w:val="18"/>
                <w:szCs w:val="18"/>
              </w:rPr>
              <w:t>–</w:t>
            </w:r>
            <w:r>
              <w:rPr>
                <w:rFonts w:asciiTheme="minorHAnsi" w:hAnsiTheme="minorHAnsi"/>
                <w:color w:val="002060"/>
                <w:sz w:val="18"/>
                <w:szCs w:val="18"/>
              </w:rPr>
              <w:t xml:space="preserve"> konieczne jest twórcze przepracowanie tych projektów pod kątem odpowiedzi na pytanie: w jaki sposób SRWW 2020 może przyczynić się do efektywnej realizacji projektów wskazanych w KSRR;</w:t>
            </w:r>
          </w:p>
          <w:p w14:paraId="3B3B8503" w14:textId="7C3028DE" w:rsidR="004A3B6E" w:rsidRPr="00A65C3A" w:rsidRDefault="004A3B6E" w:rsidP="00624AA4">
            <w:pPr>
              <w:pStyle w:val="Zwykytek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18"/>
                <w:szCs w:val="18"/>
              </w:rPr>
            </w:pPr>
            <w:r>
              <w:rPr>
                <w:rFonts w:asciiTheme="minorHAnsi" w:hAnsiTheme="minorHAnsi"/>
                <w:color w:val="002060"/>
                <w:sz w:val="18"/>
                <w:szCs w:val="18"/>
              </w:rPr>
              <w:t xml:space="preserve">B. „Projektów własnych” – czyli NAPRAWDĘ kluczowych działań (głównie inwestycyjnych) o znaczeniu strategicznym, które w wymiarze przestrzennym </w:t>
            </w:r>
            <w:r w:rsidR="56862DA9" w:rsidRPr="56862DA9">
              <w:rPr>
                <w:rFonts w:asciiTheme="minorHAnsi" w:hAnsiTheme="minorHAnsi"/>
                <w:color w:val="002060"/>
                <w:sz w:val="18"/>
                <w:szCs w:val="18"/>
              </w:rPr>
              <w:t>mają</w:t>
            </w:r>
            <w:r>
              <w:rPr>
                <w:rFonts w:asciiTheme="minorHAnsi" w:hAnsiTheme="minorHAnsi"/>
                <w:color w:val="002060"/>
                <w:sz w:val="18"/>
                <w:szCs w:val="18"/>
              </w:rPr>
              <w:t xml:space="preserve"> znaczenie co najmniej subregionalne (więcej niż jeden powiat)</w:t>
            </w:r>
          </w:p>
        </w:tc>
      </w:tr>
      <w:tr w:rsidR="004A3B6E" w14:paraId="5BA22B17" w14:textId="77777777" w:rsidTr="495DFF14">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C000" w:themeColor="accent4"/>
              <w:bottom w:val="single" w:sz="4" w:space="0" w:color="FFC000" w:themeColor="accent4"/>
            </w:tcBorders>
          </w:tcPr>
          <w:p w14:paraId="1503131A" w14:textId="77777777" w:rsidR="004A3B6E" w:rsidRDefault="004A3B6E" w:rsidP="00624AA4">
            <w:pPr>
              <w:pStyle w:val="Zwykytekst"/>
              <w:rPr>
                <w:rFonts w:asciiTheme="minorHAnsi" w:hAnsiTheme="minorHAnsi"/>
                <w:color w:val="002060"/>
                <w:sz w:val="18"/>
                <w:szCs w:val="18"/>
              </w:rPr>
            </w:pPr>
            <w:r>
              <w:rPr>
                <w:rFonts w:asciiTheme="minorHAnsi" w:hAnsiTheme="minorHAnsi"/>
                <w:color w:val="002060"/>
                <w:sz w:val="18"/>
                <w:szCs w:val="18"/>
              </w:rPr>
              <w:t>Uspołecznienie</w:t>
            </w:r>
          </w:p>
        </w:tc>
        <w:tc>
          <w:tcPr>
            <w:tcW w:w="7371" w:type="dxa"/>
            <w:tcBorders>
              <w:top w:val="single" w:sz="4" w:space="0" w:color="FFC000" w:themeColor="accent4"/>
              <w:bottom w:val="single" w:sz="4" w:space="0" w:color="FFC000" w:themeColor="accent4"/>
            </w:tcBorders>
          </w:tcPr>
          <w:p w14:paraId="320096B3" w14:textId="77777777" w:rsidR="004A3B6E" w:rsidRPr="00C95E6A" w:rsidRDefault="004A3B6E" w:rsidP="00624AA4">
            <w:pPr>
              <w:pStyle w:val="Zwykytek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2060"/>
                <w:sz w:val="18"/>
                <w:szCs w:val="18"/>
                <w:shd w:val="clear" w:color="auto" w:fill="FAFAFA"/>
              </w:rPr>
            </w:pPr>
            <w:r>
              <w:rPr>
                <w:rFonts w:asciiTheme="minorHAnsi" w:hAnsiTheme="minorHAnsi" w:cs="Arial"/>
                <w:color w:val="002060"/>
                <w:sz w:val="18"/>
                <w:szCs w:val="18"/>
                <w:shd w:val="clear" w:color="auto" w:fill="FAFAFA"/>
              </w:rPr>
              <w:t>Informacje o procesie uspołecznienia, tj. prace grup roboczych, seminaria i konferencje w całym województwie, liczba zaangażowanych mieszkańców, liczba uwag i sposób ich uwzględniania w procesie konsultacji</w:t>
            </w:r>
          </w:p>
        </w:tc>
      </w:tr>
    </w:tbl>
    <w:p w14:paraId="775BF7EE" w14:textId="77777777" w:rsidR="004A3B6E" w:rsidRPr="00FA7F46" w:rsidRDefault="00FA7F46" w:rsidP="004A3B6E">
      <w:pPr>
        <w:rPr>
          <w:sz w:val="16"/>
          <w:szCs w:val="16"/>
          <w:lang w:eastAsia="pl-PL"/>
        </w:rPr>
      </w:pPr>
      <w:r w:rsidRPr="00FA7F46">
        <w:rPr>
          <w:sz w:val="16"/>
          <w:szCs w:val="16"/>
          <w:lang w:eastAsia="pl-PL"/>
        </w:rPr>
        <w:t>Źródło: opracowanie własne.</w:t>
      </w:r>
    </w:p>
    <w:p w14:paraId="1E4358DA" w14:textId="77777777" w:rsidR="004A3B6E" w:rsidRPr="00BF08D5" w:rsidRDefault="004A3B6E" w:rsidP="00BF08D5">
      <w:pPr>
        <w:ind w:left="4536"/>
        <w:jc w:val="left"/>
        <w:rPr>
          <w:b/>
          <w:i/>
          <w:color w:val="001E50"/>
        </w:rPr>
      </w:pPr>
      <w:r w:rsidRPr="00BF08D5">
        <w:rPr>
          <w:b/>
          <w:i/>
          <w:color w:val="001E50"/>
        </w:rPr>
        <w:t>Piękny dokument nie zastąpi procesu…</w:t>
      </w:r>
    </w:p>
    <w:p w14:paraId="18B4728C" w14:textId="77777777" w:rsidR="004A3B6E" w:rsidRPr="00CE06F2" w:rsidRDefault="004A3B6E" w:rsidP="006B4E7E">
      <w:pPr>
        <w:shd w:val="clear" w:color="auto" w:fill="FFE599"/>
        <w:rPr>
          <w:szCs w:val="22"/>
          <w:lang w:eastAsia="pl-PL"/>
        </w:rPr>
      </w:pPr>
      <w:r>
        <w:rPr>
          <w:szCs w:val="22"/>
          <w:lang w:eastAsia="pl-PL"/>
        </w:rPr>
        <w:t>Jednym z kluczowych błędów popełnianych w zakresie systemu zarządzania strategicznego jest twierdzenie, iż „strategię się pisze”. W obecnej kulturze obrazkowej i dobie krótkiej informacji widać też nacisk na „kolorowe i kompaktowe” dokumenty. Przy tego typu podejściu łatwo o nieporozumienia, różnorodne interpretacje, co skutkuje, że strategia zamiast być narzędziem zarządzania staje się folderem promocyjnym.</w:t>
      </w:r>
    </w:p>
    <w:p w14:paraId="7E4CCD72" w14:textId="77777777" w:rsidR="004A3B6E" w:rsidRDefault="004A3B6E" w:rsidP="004A3B6E">
      <w:pPr>
        <w:rPr>
          <w:lang w:eastAsia="pl-PL"/>
        </w:rPr>
      </w:pPr>
      <w:r>
        <w:rPr>
          <w:lang w:eastAsia="pl-PL"/>
        </w:rPr>
        <w:t>Strategia jest rzeczywiście w końcu spisana, ale wcześniej się ją tworzy, a po spisaniu zaczyna się proces realizacji. Podejmując decyzję (słuszną), że SRWW 2020 jest strategią regionu, nie strategią samorządu województwa, w istocie rolę samorządu można sprowadzić do dwóch wymiarów zadań, poza realizacją zadań bieżących i własnych inwestycji:</w:t>
      </w:r>
    </w:p>
    <w:p w14:paraId="63727B5C" w14:textId="77777777" w:rsidR="004A3B6E" w:rsidRDefault="004A3B6E" w:rsidP="00350587">
      <w:pPr>
        <w:pStyle w:val="Akapitzlist"/>
        <w:numPr>
          <w:ilvl w:val="0"/>
          <w:numId w:val="50"/>
        </w:numPr>
        <w:ind w:left="426"/>
        <w:rPr>
          <w:lang w:eastAsia="pl-PL"/>
        </w:rPr>
      </w:pPr>
      <w:r>
        <w:rPr>
          <w:lang w:eastAsia="pl-PL"/>
        </w:rPr>
        <w:t>koordynacja i integracja kluczowych działań strategicznych o znaczeniu regionalnym;</w:t>
      </w:r>
    </w:p>
    <w:tbl>
      <w:tblPr>
        <w:tblStyle w:val="Tabela-Siatka"/>
        <w:tblpPr w:leftFromText="142" w:rightFromText="142" w:topFromText="142" w:bottomFromText="142" w:vertAnchor="text" w:horzAnchor="margin" w:tblpXSpec="right" w:tblpY="255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ykres 18. Tworząc strategie i programy możemy liczyć na wsparcie… "/>
        <w:tblDescription w:val="Wykres przedstawia odpowiedź na pytanie czy pracownicy Urzędu Marszałkowskiego przy tworzeniu strategii i programów mogą liczyć na wsparcie: innych departamentów UMWW, administracji lokalnej, administracji centralnej lub przedsiębiorców."/>
      </w:tblPr>
      <w:tblGrid>
        <w:gridCol w:w="6290"/>
      </w:tblGrid>
      <w:tr w:rsidR="0034123E" w:rsidRPr="00DC19E5" w14:paraId="7509C799" w14:textId="77777777" w:rsidTr="0034123E">
        <w:tc>
          <w:tcPr>
            <w:tcW w:w="6290" w:type="dxa"/>
          </w:tcPr>
          <w:p w14:paraId="60AA0189" w14:textId="4CE9B4F4" w:rsidR="0034123E" w:rsidRPr="00DC19E5" w:rsidRDefault="0034123E" w:rsidP="0034123E">
            <w:pPr>
              <w:pStyle w:val="Legenda"/>
              <w:keepNext/>
            </w:pPr>
            <w:bookmarkStart w:id="259" w:name="_Ref536866322"/>
            <w:bookmarkStart w:id="260" w:name="_Toc5699530"/>
            <w:r>
              <w:lastRenderedPageBreak/>
              <w:t xml:space="preserve">Wykres </w:t>
            </w:r>
            <w:r w:rsidRPr="69901DB0">
              <w:fldChar w:fldCharType="begin"/>
            </w:r>
            <w:r>
              <w:rPr>
                <w:noProof/>
              </w:rPr>
              <w:instrText xml:space="preserve"> SEQ Wykres \* ARABIC </w:instrText>
            </w:r>
            <w:r w:rsidRPr="69901DB0">
              <w:rPr>
                <w:noProof/>
              </w:rPr>
              <w:fldChar w:fldCharType="separate"/>
            </w:r>
            <w:r w:rsidR="007F4FA2">
              <w:rPr>
                <w:noProof/>
              </w:rPr>
              <w:t>19</w:t>
            </w:r>
            <w:r w:rsidRPr="69901DB0">
              <w:fldChar w:fldCharType="end"/>
            </w:r>
            <w:bookmarkEnd w:id="259"/>
            <w:r>
              <w:t>. Tworząc strategie i programy możemy liczyć na wsparcie…</w:t>
            </w:r>
            <w:bookmarkEnd w:id="260"/>
          </w:p>
        </w:tc>
      </w:tr>
      <w:tr w:rsidR="0034123E" w:rsidRPr="00DC19E5" w14:paraId="5F9A0463" w14:textId="77777777" w:rsidTr="0034123E">
        <w:tblPrEx>
          <w:tblCellMar>
            <w:left w:w="70" w:type="dxa"/>
            <w:right w:w="70" w:type="dxa"/>
          </w:tblCellMar>
        </w:tblPrEx>
        <w:tc>
          <w:tcPr>
            <w:tcW w:w="6290" w:type="dxa"/>
          </w:tcPr>
          <w:p w14:paraId="133B28D4" w14:textId="77777777" w:rsidR="0034123E" w:rsidRPr="00DC19E5" w:rsidRDefault="0034123E" w:rsidP="0034123E">
            <w:pPr>
              <w:spacing w:after="0" w:line="240" w:lineRule="auto"/>
              <w:rPr>
                <w:sz w:val="14"/>
                <w:szCs w:val="14"/>
                <w:lang w:eastAsia="pl-PL"/>
              </w:rPr>
            </w:pPr>
            <w:r>
              <w:rPr>
                <w:noProof/>
                <w:lang w:eastAsia="pl-PL"/>
              </w:rPr>
              <w:drawing>
                <wp:inline distT="0" distB="0" distL="0" distR="0" wp14:anchorId="7FEBF89A" wp14:editId="374F3B57">
                  <wp:extent cx="3901440" cy="2407920"/>
                  <wp:effectExtent l="0" t="0" r="3810" b="0"/>
                  <wp:docPr id="725516840" name="Wykres 7255168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rsidR="0034123E" w:rsidRPr="00DC19E5" w14:paraId="526B781E" w14:textId="77777777" w:rsidTr="0034123E">
        <w:tc>
          <w:tcPr>
            <w:tcW w:w="6290" w:type="dxa"/>
            <w:vAlign w:val="center"/>
          </w:tcPr>
          <w:p w14:paraId="32A72CB9" w14:textId="77777777" w:rsidR="0034123E" w:rsidRPr="00DC19E5" w:rsidRDefault="0034123E" w:rsidP="0034123E">
            <w:pPr>
              <w:spacing w:after="0" w:line="240" w:lineRule="auto"/>
              <w:jc w:val="left"/>
              <w:rPr>
                <w:sz w:val="14"/>
                <w:szCs w:val="14"/>
                <w:lang w:eastAsia="pl-PL"/>
              </w:rPr>
            </w:pPr>
            <w:r>
              <w:rPr>
                <w:sz w:val="14"/>
                <w:szCs w:val="14"/>
                <w:lang w:eastAsia="pl-PL"/>
              </w:rPr>
              <w:t>Źródło: opracowanie własne na podstawie 28 ankiet z jednostek Urzędu Marszałkowskiego.</w:t>
            </w:r>
          </w:p>
        </w:tc>
      </w:tr>
    </w:tbl>
    <w:p w14:paraId="39F35675" w14:textId="77777777" w:rsidR="004A3B6E" w:rsidRDefault="004A3B6E" w:rsidP="00350587">
      <w:pPr>
        <w:pStyle w:val="Akapitzlist"/>
        <w:numPr>
          <w:ilvl w:val="0"/>
          <w:numId w:val="50"/>
        </w:numPr>
        <w:ind w:left="426"/>
        <w:rPr>
          <w:lang w:eastAsia="pl-PL"/>
        </w:rPr>
      </w:pPr>
      <w:r>
        <w:rPr>
          <w:lang w:eastAsia="pl-PL"/>
        </w:rPr>
        <w:t>inspiracja i mobilizacja zasobów wewnętrznych i zewnętrznych do działań na rzecz realizacji wizji rozwoju regionu.</w:t>
      </w:r>
    </w:p>
    <w:p w14:paraId="47489EC5" w14:textId="77777777" w:rsidR="004A3B6E" w:rsidRDefault="004A3B6E" w:rsidP="004A3B6E">
      <w:pPr>
        <w:rPr>
          <w:lang w:eastAsia="pl-PL"/>
        </w:rPr>
      </w:pPr>
      <w:r>
        <w:rPr>
          <w:lang w:eastAsia="pl-PL"/>
        </w:rPr>
        <w:t>W obecnej sytuacji krajowej nie tylko trudno jest liczyć na wzrost znaczenia samorządów województw (może się to odbyć tylko poprzez reformę systemu finansowania samorządów), ale wręcz zgłaszane są przykłady ograniczenia znaczenia tego szczebla administracji. Zatem tym bardziej skuteczność realizacji wizji będzie zależała od działań „miękkich” wychodzących w stronę „zarządzania sieciami regionalnymi”.</w:t>
      </w:r>
    </w:p>
    <w:p w14:paraId="47FFC45B" w14:textId="3DF8FAAE" w:rsidR="004A3B6E" w:rsidRDefault="004A3B6E" w:rsidP="004A3B6E">
      <w:pPr>
        <w:rPr>
          <w:lang w:eastAsia="pl-PL"/>
        </w:rPr>
      </w:pPr>
      <w:r>
        <w:rPr>
          <w:lang w:eastAsia="pl-PL"/>
        </w:rPr>
        <w:t>W tym kontekście dość obiecujące są odpowiedzi udzielone przez pracowników szczebla kierowniczego na temat doświadczenia we współpracy z innymi podmiotami w zakresie tworzenia dokumentów strategicznych i programowych (</w:t>
      </w:r>
      <w:r>
        <w:rPr>
          <w:lang w:eastAsia="pl-PL"/>
        </w:rPr>
        <w:fldChar w:fldCharType="begin"/>
      </w:r>
      <w:r>
        <w:rPr>
          <w:lang w:eastAsia="pl-PL"/>
        </w:rPr>
        <w:instrText xml:space="preserve"> REF _Ref536866322 \h </w:instrText>
      </w:r>
      <w:r>
        <w:rPr>
          <w:lang w:eastAsia="pl-PL"/>
        </w:rPr>
      </w:r>
      <w:r>
        <w:rPr>
          <w:lang w:eastAsia="pl-PL"/>
        </w:rPr>
        <w:fldChar w:fldCharType="separate"/>
      </w:r>
      <w:r w:rsidR="007F4FA2">
        <w:t xml:space="preserve">Wykres </w:t>
      </w:r>
      <w:r w:rsidR="007F4FA2">
        <w:rPr>
          <w:noProof/>
        </w:rPr>
        <w:t>19</w:t>
      </w:r>
      <w:r>
        <w:rPr>
          <w:lang w:eastAsia="pl-PL"/>
        </w:rPr>
        <w:fldChar w:fldCharType="end"/>
      </w:r>
      <w:r>
        <w:rPr>
          <w:lang w:eastAsia="pl-PL"/>
        </w:rPr>
        <w:t>). Na ich podstawie można założyć, że z jednej strony UMWW może liczyć na wsparcie ze strony administracji lokalnej i nauki, z drugiej zaś potencjalne wsparcie (odpowiedzi „raczej tak”) wskazują, że istnieje duży potencjał do rozwoju idei współzarządzania. Oczywiście istotny jest również wewnętrzny potencjał współpracy między jednostkami UMWW.</w:t>
      </w:r>
    </w:p>
    <w:p w14:paraId="3A1CBA44" w14:textId="77777777" w:rsidR="004A3B6E" w:rsidRPr="00BF08D5" w:rsidRDefault="004A3B6E" w:rsidP="00BF08D5">
      <w:pPr>
        <w:ind w:left="4536"/>
        <w:jc w:val="left"/>
        <w:rPr>
          <w:b/>
          <w:i/>
          <w:color w:val="001E50"/>
        </w:rPr>
      </w:pPr>
      <w:r w:rsidRPr="00BF08D5">
        <w:rPr>
          <w:b/>
          <w:i/>
          <w:color w:val="001E50"/>
        </w:rPr>
        <w:t>…i jeszcze słowo o strategiach gminnych</w:t>
      </w:r>
    </w:p>
    <w:p w14:paraId="7B22890F" w14:textId="77777777" w:rsidR="004A3B6E" w:rsidRPr="00CE06F2" w:rsidRDefault="004A3B6E" w:rsidP="006B4E7E">
      <w:pPr>
        <w:shd w:val="clear" w:color="auto" w:fill="FFE599"/>
        <w:rPr>
          <w:szCs w:val="22"/>
          <w:lang w:eastAsia="pl-PL"/>
        </w:rPr>
      </w:pPr>
      <w:r>
        <w:rPr>
          <w:szCs w:val="22"/>
          <w:lang w:eastAsia="pl-PL"/>
        </w:rPr>
        <w:t>Dotychczasowe traktowanie „wpisywania się” strategii gminnych i powiatowych, a także programów rozwoju lokalnego w strategie wojewódzkie było de facto ćwiczeniem technicznym. Ale rewolucja nadchodzi…</w:t>
      </w:r>
    </w:p>
    <w:p w14:paraId="76F0F3CA" w14:textId="77777777" w:rsidR="004A3B6E" w:rsidRDefault="004A3B6E" w:rsidP="004A3B6E">
      <w:pPr>
        <w:rPr>
          <w:lang w:eastAsia="pl-PL"/>
        </w:rPr>
      </w:pPr>
      <w:r>
        <w:rPr>
          <w:lang w:eastAsia="pl-PL"/>
        </w:rPr>
        <w:t xml:space="preserve">Relacja administracji lokalnej do samorządu województwa jest w dużym stopniu analogiczna do relacji rząd – samorząd województwa. Strategie lokalne często są „analizowane” pod kątem spójności ze strategią województwa, samorządy lokalne aplikują również o środki z regionalnych programów operacyjnych. Podobnie, jak samorząd województwa, samorządy lokalne stoją w obliczu zmian wynikających z zapisów </w:t>
      </w:r>
      <w:r w:rsidRPr="002F742D">
        <w:rPr>
          <w:i/>
          <w:lang w:eastAsia="pl-PL"/>
        </w:rPr>
        <w:t>Systemu zarządzania rozwojem Polski</w:t>
      </w:r>
      <w:r>
        <w:rPr>
          <w:lang w:eastAsia="pl-PL"/>
        </w:rPr>
        <w:t xml:space="preserve">, przyglądają się również pracom nad przyszłą perspektywą finansową UE i wiedzą w końcu, że to, co dzieje się w zakresie aktualizacji Strategii Wielkopolska 2020 będzie miało wpływ na sytuację miast i gmin już w niedalekiej przyszłości. </w:t>
      </w:r>
    </w:p>
    <w:p w14:paraId="14C58997" w14:textId="16A1A8C2" w:rsidR="0034123E" w:rsidRDefault="004A3B6E" w:rsidP="004A3B6E">
      <w:pPr>
        <w:rPr>
          <w:lang w:eastAsia="pl-PL"/>
        </w:rPr>
      </w:pPr>
      <w:r>
        <w:rPr>
          <w:lang w:eastAsia="pl-PL"/>
        </w:rPr>
        <w:t>W tym kontekście jeszcze bardziej uzasadniony wydaje się postulat ścisłej i intensywnej współpracy między szczeblem lokalnym i regionalnym w regionie.</w:t>
      </w:r>
    </w:p>
    <w:p w14:paraId="52D3C87B" w14:textId="77777777" w:rsidR="0034123E" w:rsidRDefault="0034123E">
      <w:pPr>
        <w:spacing w:after="0" w:line="240" w:lineRule="auto"/>
        <w:jc w:val="left"/>
        <w:rPr>
          <w:lang w:eastAsia="pl-PL"/>
        </w:rPr>
      </w:pPr>
      <w:r>
        <w:rPr>
          <w:lang w:eastAsia="pl-PL"/>
        </w:rPr>
        <w:br w:type="page"/>
      </w:r>
    </w:p>
    <w:p w14:paraId="793C2D69" w14:textId="77777777" w:rsidR="004A3B6E" w:rsidRDefault="004A3B6E" w:rsidP="00624AA4">
      <w:pPr>
        <w:pStyle w:val="Nagwek2"/>
      </w:pPr>
      <w:bookmarkStart w:id="261" w:name="_Toc536649348"/>
      <w:bookmarkStart w:id="262" w:name="_Toc536650846"/>
      <w:bookmarkStart w:id="263" w:name="_Toc1904833"/>
      <w:bookmarkStart w:id="264" w:name="_Toc5699498"/>
      <w:r>
        <w:lastRenderedPageBreak/>
        <w:t>Systemowe zarządzanie realizacją Strategii</w:t>
      </w:r>
      <w:bookmarkEnd w:id="261"/>
      <w:bookmarkEnd w:id="262"/>
      <w:bookmarkEnd w:id="263"/>
      <w:bookmarkEnd w:id="264"/>
    </w:p>
    <w:p w14:paraId="14A700E5" w14:textId="77777777" w:rsidR="004A3B6E" w:rsidRDefault="004A3B6E" w:rsidP="00624AA4">
      <w:pPr>
        <w:pStyle w:val="Nagwek3"/>
      </w:pPr>
      <w:bookmarkStart w:id="265" w:name="_Toc536649352"/>
      <w:bookmarkStart w:id="266" w:name="_Toc536650850"/>
      <w:bookmarkStart w:id="267" w:name="_Toc1904834"/>
      <w:bookmarkStart w:id="268" w:name="_Toc5699499"/>
      <w:bookmarkStart w:id="269" w:name="_Toc536649349"/>
      <w:bookmarkStart w:id="270" w:name="_Toc536650847"/>
      <w:r>
        <w:t>Czego uczą nas doświadczenia innych</w:t>
      </w:r>
      <w:bookmarkEnd w:id="265"/>
      <w:bookmarkEnd w:id="266"/>
      <w:r>
        <w:t xml:space="preserve"> województw</w:t>
      </w:r>
      <w:bookmarkEnd w:id="267"/>
      <w:bookmarkEnd w:id="268"/>
    </w:p>
    <w:p w14:paraId="65DA0C75" w14:textId="77777777" w:rsidR="004A3B6E" w:rsidRPr="00BF08D5" w:rsidRDefault="004A3B6E" w:rsidP="00BF08D5">
      <w:pPr>
        <w:ind w:left="4536"/>
        <w:jc w:val="left"/>
        <w:rPr>
          <w:b/>
          <w:i/>
          <w:color w:val="001E50"/>
        </w:rPr>
      </w:pPr>
      <w:r w:rsidRPr="00BF08D5">
        <w:rPr>
          <w:b/>
          <w:i/>
          <w:color w:val="001E50"/>
        </w:rPr>
        <w:t xml:space="preserve">Realizacja strategii jest działaniem zbiorowym, ale liderem powinien być </w:t>
      </w:r>
      <w:r w:rsidR="00446E02">
        <w:rPr>
          <w:b/>
          <w:i/>
          <w:color w:val="001E50"/>
        </w:rPr>
        <w:t>Samorząd Województwa</w:t>
      </w:r>
    </w:p>
    <w:p w14:paraId="791CD857" w14:textId="3C9E7657" w:rsidR="004A3B6E" w:rsidRPr="001203DE" w:rsidRDefault="004A3B6E" w:rsidP="56862DA9">
      <w:pPr>
        <w:shd w:val="clear" w:color="auto" w:fill="FFE599" w:themeFill="accent4" w:themeFillTint="66"/>
        <w:rPr>
          <w:lang w:eastAsia="pl-PL"/>
        </w:rPr>
      </w:pPr>
      <w:r w:rsidRPr="56862DA9">
        <w:rPr>
          <w:lang w:eastAsia="pl-PL"/>
        </w:rPr>
        <w:t>Strategia regionu uwzględniająca różne grupy interesariuszy rozwoju musi być realizowana przez sieć różnorodnych instytucji, czasem powiązanych ze sobą bardzo luźno.</w:t>
      </w:r>
    </w:p>
    <w:p w14:paraId="62A47AC3" w14:textId="77777777" w:rsidR="004A3B6E" w:rsidRDefault="004A3B6E" w:rsidP="004A3B6E">
      <w:pPr>
        <w:rPr>
          <w:lang w:eastAsia="pl-PL"/>
        </w:rPr>
      </w:pPr>
      <w:r>
        <w:rPr>
          <w:lang w:eastAsia="pl-PL"/>
        </w:rPr>
        <w:t>Studia przypadków województw: lubuskiego, łódzkiego, małopolskiego i podkarpackiego prowadzą do kilku wniosków:</w:t>
      </w:r>
    </w:p>
    <w:p w14:paraId="5B06801A" w14:textId="77777777" w:rsidR="004A3B6E" w:rsidRDefault="004A3B6E" w:rsidP="00350587">
      <w:pPr>
        <w:pStyle w:val="Akapitzlist"/>
        <w:numPr>
          <w:ilvl w:val="0"/>
          <w:numId w:val="52"/>
        </w:numPr>
        <w:ind w:left="426"/>
        <w:rPr>
          <w:lang w:eastAsia="pl-PL"/>
        </w:rPr>
      </w:pPr>
      <w:r>
        <w:rPr>
          <w:lang w:eastAsia="pl-PL"/>
        </w:rPr>
        <w:t>przyjęte w strategiach ogólnikowe podejście do celów i kierunków rozwoju, które w założeniach miało gwarantować elastyczność realizacji (w tym interpretacji przez różnych beneficjentów) jest bezspornie dobrym rozwiązaniem;</w:t>
      </w:r>
    </w:p>
    <w:p w14:paraId="236D498D" w14:textId="06BA30C1" w:rsidR="004A3B6E" w:rsidRDefault="004A3B6E" w:rsidP="00350587">
      <w:pPr>
        <w:pStyle w:val="Akapitzlist"/>
        <w:numPr>
          <w:ilvl w:val="0"/>
          <w:numId w:val="52"/>
        </w:numPr>
        <w:ind w:left="426"/>
        <w:rPr>
          <w:lang w:eastAsia="pl-PL"/>
        </w:rPr>
      </w:pPr>
      <w:r>
        <w:rPr>
          <w:lang w:eastAsia="pl-PL"/>
        </w:rPr>
        <w:t xml:space="preserve">wskazywanie w strategii programów strategicznych należy ocenić negatywnie, jednak nie oznacza to, że pracując nad strategią nie powinniśmy ciągle odpowiadać sobie na pytanie, </w:t>
      </w:r>
      <w:r w:rsidR="56862DA9" w:rsidRPr="56862DA9">
        <w:rPr>
          <w:lang w:eastAsia="pl-PL"/>
        </w:rPr>
        <w:t>jakie</w:t>
      </w:r>
      <w:r>
        <w:rPr>
          <w:lang w:eastAsia="pl-PL"/>
        </w:rPr>
        <w:t xml:space="preserve"> programy będą mogły urzeczywistniać konkretne cele strategiczne</w:t>
      </w:r>
      <w:r w:rsidR="56862DA9" w:rsidRPr="56862DA9">
        <w:rPr>
          <w:lang w:eastAsia="pl-PL"/>
        </w:rPr>
        <w:t>;</w:t>
      </w:r>
    </w:p>
    <w:p w14:paraId="32AB737A" w14:textId="77777777" w:rsidR="004A3B6E" w:rsidRDefault="004A3B6E" w:rsidP="00350587">
      <w:pPr>
        <w:pStyle w:val="Akapitzlist"/>
        <w:numPr>
          <w:ilvl w:val="0"/>
          <w:numId w:val="52"/>
        </w:numPr>
        <w:ind w:left="426"/>
        <w:rPr>
          <w:lang w:eastAsia="pl-PL"/>
        </w:rPr>
      </w:pPr>
      <w:r>
        <w:rPr>
          <w:lang w:eastAsia="pl-PL"/>
        </w:rPr>
        <w:t>przypisywanie konkretnym departamentom odpowiedzialności za realizację poszczególnych celów tylko częściowo zbliża nas do dobrej realizacji strategii, ponieważ cele są zawsze wieloaspektowe. Zatem wiedząc, kto jest koordynatorem wdrażania danego celu, należy myśleć o budowaniu zespołów międzydepartament</w:t>
      </w:r>
      <w:r w:rsidR="00446E02">
        <w:rPr>
          <w:lang w:eastAsia="pl-PL"/>
        </w:rPr>
        <w:t>alnych</w:t>
      </w:r>
      <w:r>
        <w:rPr>
          <w:lang w:eastAsia="pl-PL"/>
        </w:rPr>
        <w:t>. To grupy pracowników z różnych obszarów mogą wnieść dodatkową wartość już na etapie przygotowywania programów wdrożeniowych;</w:t>
      </w:r>
    </w:p>
    <w:p w14:paraId="7679CD35" w14:textId="77777777" w:rsidR="004A3B6E" w:rsidRDefault="004A3B6E" w:rsidP="00350587">
      <w:pPr>
        <w:pStyle w:val="Akapitzlist"/>
        <w:numPr>
          <w:ilvl w:val="0"/>
          <w:numId w:val="52"/>
        </w:numPr>
        <w:ind w:left="426"/>
        <w:rPr>
          <w:lang w:eastAsia="pl-PL"/>
        </w:rPr>
      </w:pPr>
      <w:r>
        <w:rPr>
          <w:lang w:eastAsia="pl-PL"/>
        </w:rPr>
        <w:t>ciężar wsparcia zarządu województw w zakresie wdrażania strategii jest rozłożony na różne organizacje, zatem wdrażanie strategii jest umiejętnością budowania różnorodnych i wielopłaszczyznowych porozumień, w tym sieci współpracy;</w:t>
      </w:r>
    </w:p>
    <w:p w14:paraId="39C26BCE" w14:textId="367ABA7F" w:rsidR="004A3B6E" w:rsidRDefault="004A3B6E" w:rsidP="00350587">
      <w:pPr>
        <w:pStyle w:val="Akapitzlist"/>
        <w:numPr>
          <w:ilvl w:val="0"/>
          <w:numId w:val="52"/>
        </w:numPr>
        <w:ind w:left="426"/>
        <w:rPr>
          <w:lang w:eastAsia="pl-PL"/>
        </w:rPr>
      </w:pPr>
      <w:r>
        <w:rPr>
          <w:lang w:eastAsia="pl-PL"/>
        </w:rPr>
        <w:t>departamenty polityki regionalnej (różne nazwy i różne szczegółowe zakresy zadań) odpowiedzialne są zazwyczaj za „planowanie strategiczne”</w:t>
      </w:r>
      <w:r w:rsidR="00F93068">
        <w:rPr>
          <w:lang w:eastAsia="pl-PL"/>
        </w:rPr>
        <w:t xml:space="preserve"> (EFRR)</w:t>
      </w:r>
      <w:r>
        <w:rPr>
          <w:lang w:eastAsia="pl-PL"/>
        </w:rPr>
        <w:t xml:space="preserve">, czasem część wdrożeniową i ostatnio również przypisuje im się „planowanie przestrzenne”. To wszystko dzieje się przy utrzymaniu departamentów odpowiedzialnych za wdrażanie EFS czy PROW. </w:t>
      </w:r>
      <w:r w:rsidR="009D11D0">
        <w:rPr>
          <w:lang w:eastAsia="pl-PL"/>
        </w:rPr>
        <w:t>Połączenie zadań z zakresu planowania strategicznego i przestrzennego skutkuje lepszą współpracą i zbliżeniem dotychczas całkowicie odrębnych sposobów pracy różnych zespołów przygotowujących strategie i plany przestrzenne. Z kolei wdrożenie EFS i PROW w kontekście strategii rozwoju wymaga ścisłej współpracy i zaangażowania pracowników odpowiednich departamentów już na etapie tworzenia strategii rozwoju, ale również w czasie tworzenia odpowiednich programów;</w:t>
      </w:r>
    </w:p>
    <w:p w14:paraId="72AE99EC" w14:textId="77777777" w:rsidR="004A3B6E" w:rsidRDefault="004A3B6E" w:rsidP="00350587">
      <w:pPr>
        <w:pStyle w:val="Akapitzlist"/>
        <w:numPr>
          <w:ilvl w:val="0"/>
          <w:numId w:val="52"/>
        </w:numPr>
        <w:ind w:left="426"/>
        <w:rPr>
          <w:lang w:eastAsia="pl-PL"/>
        </w:rPr>
      </w:pPr>
      <w:r>
        <w:rPr>
          <w:lang w:eastAsia="pl-PL"/>
        </w:rPr>
        <w:t>wysokiej jakości kadra pracownicza jest najważniejszym zasobem strategicznym każdej organizacji, jednak nawet najlepsi pracownicy potrzebują inwestycji w ciągłe podnoszenie kwalifikacji i rozwijanie współpracy wewnątrz organizacji;</w:t>
      </w:r>
    </w:p>
    <w:p w14:paraId="2F53D5A4" w14:textId="77777777" w:rsidR="004A3B6E" w:rsidRDefault="004A3B6E" w:rsidP="00350587">
      <w:pPr>
        <w:pStyle w:val="Akapitzlist"/>
        <w:numPr>
          <w:ilvl w:val="0"/>
          <w:numId w:val="52"/>
        </w:numPr>
        <w:ind w:left="426"/>
        <w:rPr>
          <w:lang w:eastAsia="pl-PL"/>
        </w:rPr>
      </w:pPr>
      <w:r>
        <w:rPr>
          <w:lang w:eastAsia="pl-PL"/>
        </w:rPr>
        <w:t>w realizacji strategii liczą się również działania pośrednie, nie tylko te, które są przypisane do zadań samorządu województwa;</w:t>
      </w:r>
    </w:p>
    <w:p w14:paraId="3E37C56D" w14:textId="2C900291" w:rsidR="0034123E" w:rsidRDefault="004A3B6E" w:rsidP="00350587">
      <w:pPr>
        <w:pStyle w:val="Akapitzlist"/>
        <w:numPr>
          <w:ilvl w:val="0"/>
          <w:numId w:val="52"/>
        </w:numPr>
        <w:ind w:left="426"/>
        <w:rPr>
          <w:lang w:eastAsia="pl-PL"/>
        </w:rPr>
      </w:pPr>
      <w:r>
        <w:rPr>
          <w:lang w:eastAsia="pl-PL"/>
        </w:rPr>
        <w:t>kilka haseł, które powinny być brane pod uwagę w celu dobrego wdrażania strategii, to: koordynacja, inicjowanie, wspieranie partnerstw, lobbing na rzecz regionu, spotkania i dyskusje.</w:t>
      </w:r>
    </w:p>
    <w:p w14:paraId="2BBF34F7" w14:textId="77777777" w:rsidR="0034123E" w:rsidRDefault="0034123E">
      <w:pPr>
        <w:spacing w:after="0" w:line="240" w:lineRule="auto"/>
        <w:jc w:val="left"/>
        <w:rPr>
          <w:lang w:eastAsia="pl-PL"/>
        </w:rPr>
      </w:pPr>
      <w:r>
        <w:rPr>
          <w:lang w:eastAsia="pl-PL"/>
        </w:rPr>
        <w:br w:type="page"/>
      </w:r>
    </w:p>
    <w:p w14:paraId="7C9DC00F" w14:textId="77777777" w:rsidR="004A3B6E" w:rsidRDefault="004A3B6E" w:rsidP="00624AA4">
      <w:pPr>
        <w:pStyle w:val="Nagwek3"/>
      </w:pPr>
      <w:bookmarkStart w:id="271" w:name="_Toc1904835"/>
      <w:bookmarkStart w:id="272" w:name="_Toc5699500"/>
      <w:r>
        <w:lastRenderedPageBreak/>
        <w:t>Spójne zarządzanie realizacją Strategii</w:t>
      </w:r>
      <w:bookmarkEnd w:id="269"/>
      <w:bookmarkEnd w:id="270"/>
      <w:bookmarkEnd w:id="271"/>
      <w:bookmarkEnd w:id="272"/>
    </w:p>
    <w:p w14:paraId="4ADDFB01" w14:textId="4C4AF796" w:rsidR="004A3B6E" w:rsidRDefault="004A3B6E" w:rsidP="004A3B6E">
      <w:pPr>
        <w:rPr>
          <w:lang w:eastAsia="pl-PL"/>
        </w:rPr>
      </w:pPr>
      <w:r>
        <w:rPr>
          <w:lang w:eastAsia="pl-PL"/>
        </w:rPr>
        <w:t>SRWW 2020 jest wdrażana przez różne dokumenty wykonawcze, które Sprawozdanie z realizacji strategii dzieli na dokumenty kierunkowe (np. plan zagospodarowania przestrzennego województwa, regionalna strategia innowacji dla Wielkopolski) oraz operacyjne (np. program opieki nad zabytkami, budżet województwa czy Program Wielkopolska Karta Rodziny, ale również Wielkopolski Regionalny Program Operacyjny na lata 2014-2020). Około połowy dokumentów kierunkowych jest obligatoryjna, w przypadku zaś dokumentów operacyjnych zdecydowaną większość stanowią obligatoryjne. Dokumenty te różnią się również pod względem budżetu i skali oddziaływania.</w:t>
      </w:r>
    </w:p>
    <w:p w14:paraId="40F3436F" w14:textId="77777777" w:rsidR="004A3B6E" w:rsidRDefault="004A3B6E" w:rsidP="004A3B6E">
      <w:pPr>
        <w:rPr>
          <w:lang w:eastAsia="pl-PL"/>
        </w:rPr>
      </w:pPr>
      <w:r>
        <w:rPr>
          <w:lang w:eastAsia="pl-PL"/>
        </w:rPr>
        <w:t xml:space="preserve">Jest oczywiste, że niezależnie od zmian podejmowanych na poziomie zarządu województwa większość dokumentów, które wpisują się w realizację różnych celów strategicznych, będzie realizowana w sposób, który często jest narzucony odgórnie. Powoduje to rozrost form sprawozdawczości, monitoringu etc. </w:t>
      </w:r>
    </w:p>
    <w:p w14:paraId="4F6ECCA5" w14:textId="77777777" w:rsidR="004A3B6E" w:rsidRDefault="004A3B6E" w:rsidP="00624AA4">
      <w:pPr>
        <w:pStyle w:val="Nagwek3"/>
      </w:pPr>
      <w:bookmarkStart w:id="273" w:name="_Toc536649350"/>
      <w:bookmarkStart w:id="274" w:name="_Toc536650848"/>
      <w:bookmarkStart w:id="275" w:name="_Toc1904836"/>
      <w:bookmarkStart w:id="276" w:name="_Toc5699501"/>
      <w:r>
        <w:t>Skuteczne zarządzanie realizacją Strategii</w:t>
      </w:r>
      <w:bookmarkEnd w:id="273"/>
      <w:bookmarkEnd w:id="274"/>
      <w:bookmarkEnd w:id="275"/>
      <w:bookmarkEnd w:id="276"/>
    </w:p>
    <w:p w14:paraId="68ADAF2E" w14:textId="77777777" w:rsidR="004A3B6E" w:rsidRDefault="004A3B6E" w:rsidP="004A3B6E">
      <w:pPr>
        <w:rPr>
          <w:lang w:eastAsia="pl-PL"/>
        </w:rPr>
      </w:pPr>
      <w:r>
        <w:rPr>
          <w:lang w:eastAsia="pl-PL"/>
        </w:rPr>
        <w:t xml:space="preserve">Jeżeli na </w:t>
      </w:r>
      <w:r w:rsidR="00446E02">
        <w:rPr>
          <w:lang w:eastAsia="pl-PL"/>
        </w:rPr>
        <w:t xml:space="preserve">wdrożenia </w:t>
      </w:r>
      <w:r>
        <w:rPr>
          <w:lang w:eastAsia="pl-PL"/>
        </w:rPr>
        <w:t xml:space="preserve">Strategii składają się postępy w realizacji wspomnianych wyżej dokumentów wykonawczych, to po przeprowadzaniu serii wywiadów z przedstawicielami UMWW można stwierdzić, że zarządzanie całym procesem jest skuteczne. </w:t>
      </w:r>
      <w:r w:rsidR="00446E02">
        <w:rPr>
          <w:lang w:eastAsia="pl-PL"/>
        </w:rPr>
        <w:t>Można jednak w tym kontekście sformułować kilka wniosków, wynikających bezpośrednio z wywiadów pogłębionych:</w:t>
      </w:r>
    </w:p>
    <w:p w14:paraId="6A265E5C" w14:textId="77777777" w:rsidR="00446E02" w:rsidRPr="00446E02" w:rsidRDefault="00446E02" w:rsidP="00350587">
      <w:pPr>
        <w:pStyle w:val="Akapitzlist"/>
        <w:numPr>
          <w:ilvl w:val="0"/>
          <w:numId w:val="56"/>
        </w:numPr>
        <w:ind w:left="426"/>
        <w:rPr>
          <w:lang w:eastAsia="pl-PL"/>
        </w:rPr>
      </w:pPr>
      <w:r>
        <w:rPr>
          <w:lang w:eastAsia="pl-PL"/>
        </w:rPr>
        <w:t>pozytywnie należy ocenić proces realizacji programów, za które odpowiedzialność biorą poszczególne departamenty (oczywiście w każdym przypadku pojawiają się różne problemy, jednak są one rozwiązywane zazwyczaj w ramach p</w:t>
      </w:r>
      <w:r w:rsidRPr="00446E02">
        <w:rPr>
          <w:lang w:eastAsia="pl-PL"/>
        </w:rPr>
        <w:t>otencjału organizacyjnego danej jednostki);</w:t>
      </w:r>
    </w:p>
    <w:p w14:paraId="5CFEE9C7" w14:textId="4AACB214" w:rsidR="00446E02" w:rsidRPr="00446E02" w:rsidRDefault="00350587" w:rsidP="00350587">
      <w:pPr>
        <w:pStyle w:val="Akapitzlist"/>
        <w:numPr>
          <w:ilvl w:val="0"/>
          <w:numId w:val="56"/>
        </w:numPr>
        <w:ind w:left="426"/>
        <w:rPr>
          <w:lang w:eastAsia="pl-PL"/>
        </w:rPr>
      </w:pPr>
      <w:r>
        <w:rPr>
          <w:lang w:eastAsia="pl-PL"/>
        </w:rPr>
        <w:t xml:space="preserve">również </w:t>
      </w:r>
      <w:r w:rsidR="00446E02" w:rsidRPr="00446E02">
        <w:rPr>
          <w:lang w:eastAsia="pl-PL"/>
        </w:rPr>
        <w:t>pozytywnie należy ocenić w</w:t>
      </w:r>
      <w:r w:rsidR="004A3B6E" w:rsidRPr="00446E02">
        <w:rPr>
          <w:lang w:eastAsia="pl-PL"/>
        </w:rPr>
        <w:t>ymian</w:t>
      </w:r>
      <w:r w:rsidR="00446E02" w:rsidRPr="00446E02">
        <w:rPr>
          <w:lang w:eastAsia="pl-PL"/>
        </w:rPr>
        <w:t>ę</w:t>
      </w:r>
      <w:r w:rsidR="004A3B6E" w:rsidRPr="00446E02">
        <w:rPr>
          <w:lang w:eastAsia="pl-PL"/>
        </w:rPr>
        <w:t xml:space="preserve"> informacji na linii Zarząd Województwa – kadra kierownicza</w:t>
      </w:r>
      <w:r w:rsidR="00446E02" w:rsidRPr="00446E02">
        <w:rPr>
          <w:lang w:eastAsia="pl-PL"/>
        </w:rPr>
        <w:t>;</w:t>
      </w:r>
    </w:p>
    <w:p w14:paraId="01D4DBE9" w14:textId="2E48B883" w:rsidR="004A3B6E" w:rsidRDefault="00350587" w:rsidP="004A3B6E">
      <w:pPr>
        <w:pStyle w:val="Akapitzlist"/>
        <w:numPr>
          <w:ilvl w:val="0"/>
          <w:numId w:val="56"/>
        </w:numPr>
        <w:ind w:left="426"/>
        <w:rPr>
          <w:lang w:eastAsia="pl-PL"/>
        </w:rPr>
      </w:pPr>
      <w:r>
        <w:rPr>
          <w:lang w:eastAsia="pl-PL"/>
        </w:rPr>
        <w:t xml:space="preserve">należy rozważyć szersze wykorzystanie </w:t>
      </w:r>
      <w:r w:rsidR="00446E02" w:rsidRPr="00446E02">
        <w:rPr>
          <w:lang w:eastAsia="pl-PL"/>
        </w:rPr>
        <w:t xml:space="preserve">spotkań </w:t>
      </w:r>
      <w:r>
        <w:rPr>
          <w:lang w:eastAsia="pl-PL"/>
        </w:rPr>
        <w:t xml:space="preserve">dla omawiania </w:t>
      </w:r>
      <w:r w:rsidR="00446E02" w:rsidRPr="00446E02">
        <w:rPr>
          <w:lang w:eastAsia="pl-PL"/>
        </w:rPr>
        <w:t>efekt</w:t>
      </w:r>
      <w:r>
        <w:rPr>
          <w:lang w:eastAsia="pl-PL"/>
        </w:rPr>
        <w:t>ów</w:t>
      </w:r>
      <w:r w:rsidR="00446E02" w:rsidRPr="00446E02">
        <w:rPr>
          <w:lang w:eastAsia="pl-PL"/>
        </w:rPr>
        <w:t xml:space="preserve"> </w:t>
      </w:r>
      <w:r>
        <w:rPr>
          <w:lang w:eastAsia="pl-PL"/>
        </w:rPr>
        <w:t xml:space="preserve">i horyzontalnego wymiaru </w:t>
      </w:r>
      <w:r w:rsidR="00446E02" w:rsidRPr="00446E02">
        <w:rPr>
          <w:lang w:eastAsia="pl-PL"/>
        </w:rPr>
        <w:t xml:space="preserve">działań </w:t>
      </w:r>
      <w:r>
        <w:rPr>
          <w:lang w:eastAsia="pl-PL"/>
        </w:rPr>
        <w:t xml:space="preserve">różnych </w:t>
      </w:r>
      <w:r w:rsidR="00446E02" w:rsidRPr="00446E02">
        <w:rPr>
          <w:lang w:eastAsia="pl-PL"/>
        </w:rPr>
        <w:t>departamentów</w:t>
      </w:r>
      <w:r w:rsidR="00FA7F46" w:rsidRPr="00446E02">
        <w:rPr>
          <w:lang w:eastAsia="pl-PL"/>
        </w:rPr>
        <w:t>.</w:t>
      </w:r>
      <w:r w:rsidR="00847F9F">
        <w:rPr>
          <w:lang w:eastAsia="pl-PL"/>
        </w:rPr>
        <w:t xml:space="preserve"> </w:t>
      </w:r>
    </w:p>
    <w:p w14:paraId="5E0517FD" w14:textId="77777777" w:rsidR="004A3B6E" w:rsidRDefault="004A3B6E" w:rsidP="00624AA4">
      <w:pPr>
        <w:pStyle w:val="Nagwek3"/>
      </w:pPr>
      <w:bookmarkStart w:id="277" w:name="_Toc536649351"/>
      <w:bookmarkStart w:id="278" w:name="_Toc536650849"/>
      <w:bookmarkStart w:id="279" w:name="_Toc1904837"/>
      <w:bookmarkStart w:id="280" w:name="_Toc5699502"/>
      <w:r>
        <w:t>Realizacja strategii – działanie zbiorowe</w:t>
      </w:r>
      <w:bookmarkEnd w:id="277"/>
      <w:bookmarkEnd w:id="278"/>
      <w:bookmarkEnd w:id="279"/>
      <w:bookmarkEnd w:id="280"/>
    </w:p>
    <w:p w14:paraId="15964587" w14:textId="40F60FC7" w:rsidR="002F1CD5" w:rsidRDefault="002F1CD5" w:rsidP="002F1CD5">
      <w:pPr>
        <w:rPr>
          <w:lang w:eastAsia="pl-PL"/>
        </w:rPr>
      </w:pPr>
      <w:r>
        <w:rPr>
          <w:lang w:eastAsia="pl-PL"/>
        </w:rPr>
        <w:t>Odpowiedzi uzyskane od przedstawicieli szczebla kierowniczego UMWW nie tylko potwierdzają fakt, iż realizacja Strategii jest działaniem zbiorowym, ale dają podstawę do sformułowania dodatkowych wniosków na temat zaangażowania poszczególnych grup tworzących poczwórną helisę (</w:t>
      </w:r>
      <w:r>
        <w:rPr>
          <w:lang w:eastAsia="pl-PL"/>
        </w:rPr>
        <w:fldChar w:fldCharType="begin"/>
      </w:r>
      <w:r>
        <w:rPr>
          <w:lang w:eastAsia="pl-PL"/>
        </w:rPr>
        <w:instrText xml:space="preserve"> REF _Ref87023 \h </w:instrText>
      </w:r>
      <w:r>
        <w:rPr>
          <w:lang w:eastAsia="pl-PL"/>
        </w:rPr>
      </w:r>
      <w:r>
        <w:rPr>
          <w:lang w:eastAsia="pl-PL"/>
        </w:rPr>
        <w:fldChar w:fldCharType="separate"/>
      </w:r>
      <w:r w:rsidR="007F4FA2">
        <w:t xml:space="preserve">Wykres </w:t>
      </w:r>
      <w:r w:rsidR="007F4FA2">
        <w:rPr>
          <w:noProof/>
        </w:rPr>
        <w:t>20</w:t>
      </w:r>
      <w:r>
        <w:rPr>
          <w:lang w:eastAsia="pl-PL"/>
        </w:rPr>
        <w:fldChar w:fldCharType="end"/>
      </w:r>
      <w:r>
        <w:rPr>
          <w:lang w:eastAsia="pl-PL"/>
        </w:rPr>
        <w:t>):</w:t>
      </w:r>
    </w:p>
    <w:p w14:paraId="7E0A75C1" w14:textId="77777777" w:rsidR="002F1CD5" w:rsidRDefault="002F1CD5" w:rsidP="002F1CD5">
      <w:pPr>
        <w:pStyle w:val="Akapitzlist"/>
        <w:numPr>
          <w:ilvl w:val="0"/>
          <w:numId w:val="51"/>
        </w:numPr>
        <w:ind w:left="426"/>
        <w:rPr>
          <w:lang w:eastAsia="pl-PL"/>
        </w:rPr>
      </w:pPr>
      <w:r>
        <w:rPr>
          <w:lang w:eastAsia="pl-PL"/>
        </w:rPr>
        <w:t>wsparcie administracji przez sektor nauki jest szczególnie widoczne w realizacji celów: 4 i 7, a także 6 i 9, ale co szczególnie ważne, to fakt, że w każdym z celów strategicznych nauka uzyskuje zazwyczaj wyniki lepsze niż biznes i organizacje pozarządowe;</w:t>
      </w:r>
    </w:p>
    <w:p w14:paraId="72545D6E" w14:textId="77777777" w:rsidR="002F1CD5" w:rsidRDefault="002F1CD5" w:rsidP="002F1CD5">
      <w:pPr>
        <w:pStyle w:val="Akapitzlist"/>
        <w:numPr>
          <w:ilvl w:val="0"/>
          <w:numId w:val="51"/>
        </w:numPr>
        <w:ind w:left="426"/>
        <w:rPr>
          <w:lang w:eastAsia="pl-PL"/>
        </w:rPr>
      </w:pPr>
      <w:r>
        <w:rPr>
          <w:lang w:eastAsia="pl-PL"/>
        </w:rPr>
        <w:t>wkład przedsiębiorców jest dostrzegany oczywiście w celu 6, ale zastanawiająca jest nikła pozycja w przypadku celu „metropolitalnego” (4) i dotyczącego energii (3);</w:t>
      </w:r>
    </w:p>
    <w:p w14:paraId="29912997" w14:textId="23F66468" w:rsidR="002F1CD5" w:rsidRDefault="002F1CD5" w:rsidP="002F1CD5">
      <w:pPr>
        <w:pStyle w:val="Akapitzlist"/>
        <w:numPr>
          <w:ilvl w:val="0"/>
          <w:numId w:val="51"/>
        </w:numPr>
        <w:ind w:left="426"/>
        <w:rPr>
          <w:lang w:eastAsia="pl-PL"/>
        </w:rPr>
      </w:pPr>
      <w:r>
        <w:rPr>
          <w:lang w:eastAsia="pl-PL"/>
        </w:rPr>
        <w:t>organizacje pozarządowe szczególnie widoczne są w realizacji celu 5 (spójność województwa) i 6 (wzmocnienie potencjału gospodarczego).</w:t>
      </w:r>
    </w:p>
    <w:p w14:paraId="3E76A713" w14:textId="77777777" w:rsidR="002F1CD5" w:rsidRDefault="002F1CD5">
      <w:pPr>
        <w:spacing w:after="0" w:line="240" w:lineRule="auto"/>
        <w:jc w:val="left"/>
        <w:rPr>
          <w:lang w:eastAsia="pl-PL"/>
        </w:rPr>
      </w:pPr>
      <w:r>
        <w:rPr>
          <w:lang w:eastAsia="pl-PL"/>
        </w:rPr>
        <w:br w:type="page"/>
      </w:r>
    </w:p>
    <w:p w14:paraId="1401CBDC" w14:textId="77777777" w:rsidR="002F1CD5" w:rsidRDefault="002F1CD5" w:rsidP="002F1CD5">
      <w:pPr>
        <w:rPr>
          <w:lang w:eastAsia="pl-PL"/>
        </w:rPr>
      </w:pPr>
    </w:p>
    <w:tbl>
      <w:tblPr>
        <w:tblStyle w:val="Tabela-Siatka"/>
        <w:tblpPr w:leftFromText="142" w:rightFromText="142" w:topFromText="142" w:bottomFromText="142" w:vertAnchor="text" w:horzAnchor="margin" w:tblpXSpec="center" w:tblpY="-1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ykres 20. Poczwórna helisa na rzecz realizacji celów SRWW 2020 (liczba wskazanych podmiotów) (maks. 75) "/>
        <w:tblDescription w:val="Wykres przedstawia liczbę wskazań pracowników UMWW na współpracę biznesu, nauki, administracji i NGO w zakresie każdego z celów strategicznych."/>
      </w:tblPr>
      <w:tblGrid>
        <w:gridCol w:w="8881"/>
      </w:tblGrid>
      <w:tr w:rsidR="002F1CD5" w:rsidRPr="00DC19E5" w14:paraId="41FC6CAC" w14:textId="77777777" w:rsidTr="002F1CD5">
        <w:tc>
          <w:tcPr>
            <w:tcW w:w="6238" w:type="dxa"/>
          </w:tcPr>
          <w:p w14:paraId="126B85E5" w14:textId="77777777" w:rsidR="002F1CD5" w:rsidRPr="00DC19E5" w:rsidRDefault="002F1CD5" w:rsidP="002F1CD5">
            <w:pPr>
              <w:pStyle w:val="Legenda"/>
              <w:keepNext/>
            </w:pPr>
            <w:bookmarkStart w:id="281" w:name="_Ref87023"/>
            <w:bookmarkStart w:id="282" w:name="_Toc5699531"/>
            <w:r>
              <w:t xml:space="preserve">Wykres </w:t>
            </w:r>
            <w:r w:rsidRPr="69901DB0">
              <w:fldChar w:fldCharType="begin"/>
            </w:r>
            <w:r>
              <w:rPr>
                <w:noProof/>
              </w:rPr>
              <w:instrText xml:space="preserve"> SEQ Wykres \* ARABIC </w:instrText>
            </w:r>
            <w:r w:rsidRPr="69901DB0">
              <w:rPr>
                <w:noProof/>
              </w:rPr>
              <w:fldChar w:fldCharType="separate"/>
            </w:r>
            <w:r w:rsidR="007F4FA2">
              <w:rPr>
                <w:noProof/>
              </w:rPr>
              <w:t>20</w:t>
            </w:r>
            <w:r w:rsidRPr="69901DB0">
              <w:fldChar w:fldCharType="end"/>
            </w:r>
            <w:bookmarkEnd w:id="281"/>
            <w:r>
              <w:t>. Poczwórna helisa na rzecz realizacji celów SRWW 2020 (liczba wskazanych podmiotów) (maks. 75)</w:t>
            </w:r>
            <w:bookmarkEnd w:id="282"/>
          </w:p>
        </w:tc>
      </w:tr>
      <w:tr w:rsidR="002F1CD5" w:rsidRPr="00DC19E5" w14:paraId="70390B91" w14:textId="77777777" w:rsidTr="002F1CD5">
        <w:tblPrEx>
          <w:tblCellMar>
            <w:left w:w="70" w:type="dxa"/>
            <w:right w:w="70" w:type="dxa"/>
          </w:tblCellMar>
        </w:tblPrEx>
        <w:tc>
          <w:tcPr>
            <w:tcW w:w="6238" w:type="dxa"/>
          </w:tcPr>
          <w:p w14:paraId="0BE1CB18" w14:textId="77777777" w:rsidR="002F1CD5" w:rsidRPr="00DC19E5" w:rsidRDefault="002F1CD5" w:rsidP="002F1CD5">
            <w:pPr>
              <w:spacing w:after="0" w:line="240" w:lineRule="auto"/>
              <w:rPr>
                <w:sz w:val="14"/>
                <w:szCs w:val="14"/>
                <w:lang w:eastAsia="pl-PL"/>
              </w:rPr>
            </w:pPr>
            <w:r>
              <w:rPr>
                <w:noProof/>
                <w:lang w:eastAsia="pl-PL"/>
              </w:rPr>
              <w:drawing>
                <wp:inline distT="0" distB="0" distL="0" distR="0" wp14:anchorId="61ABA907" wp14:editId="75A4422F">
                  <wp:extent cx="5550794" cy="2306955"/>
                  <wp:effectExtent l="0" t="0" r="0" b="0"/>
                  <wp:docPr id="1410683479" name="Wykres 14106834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2F1CD5" w:rsidRPr="00DC19E5" w14:paraId="71122F40" w14:textId="77777777" w:rsidTr="002F1CD5">
        <w:tc>
          <w:tcPr>
            <w:tcW w:w="6238" w:type="dxa"/>
            <w:vAlign w:val="center"/>
          </w:tcPr>
          <w:p w14:paraId="577DAE30" w14:textId="77777777" w:rsidR="002F1CD5" w:rsidRDefault="002F1CD5" w:rsidP="002F1CD5">
            <w:pPr>
              <w:spacing w:after="0" w:line="240" w:lineRule="auto"/>
              <w:rPr>
                <w:sz w:val="14"/>
                <w:szCs w:val="14"/>
                <w:lang w:eastAsia="pl-PL"/>
              </w:rPr>
            </w:pPr>
            <w:r>
              <w:rPr>
                <w:sz w:val="14"/>
                <w:szCs w:val="14"/>
                <w:lang w:eastAsia="pl-PL"/>
              </w:rPr>
              <w:t xml:space="preserve">Numery celów strategicznych: </w:t>
            </w:r>
            <w:r w:rsidRPr="00670D33">
              <w:rPr>
                <w:b/>
                <w:sz w:val="14"/>
                <w:szCs w:val="14"/>
                <w:lang w:eastAsia="pl-PL"/>
              </w:rPr>
              <w:t>(1)</w:t>
            </w:r>
            <w:r w:rsidRPr="00670D33">
              <w:rPr>
                <w:sz w:val="14"/>
                <w:szCs w:val="14"/>
                <w:lang w:eastAsia="pl-PL"/>
              </w:rPr>
              <w:t xml:space="preserve"> Poprawa dostępności i spójności komunikacyjnej regionu; </w:t>
            </w:r>
            <w:r w:rsidRPr="00670D33">
              <w:rPr>
                <w:b/>
                <w:sz w:val="14"/>
                <w:szCs w:val="14"/>
                <w:lang w:eastAsia="pl-PL"/>
              </w:rPr>
              <w:t>(2)</w:t>
            </w:r>
            <w:r w:rsidRPr="00670D33">
              <w:rPr>
                <w:sz w:val="14"/>
                <w:szCs w:val="14"/>
                <w:lang w:eastAsia="pl-PL"/>
              </w:rPr>
              <w:t xml:space="preserve"> Poprawa stanu środowiska i racjonalne gospodarowanie jego zasobami; </w:t>
            </w:r>
            <w:r w:rsidRPr="00670D33">
              <w:rPr>
                <w:b/>
                <w:sz w:val="14"/>
                <w:szCs w:val="14"/>
                <w:lang w:eastAsia="pl-PL"/>
              </w:rPr>
              <w:t>(3)</w:t>
            </w:r>
            <w:r w:rsidRPr="00670D33">
              <w:rPr>
                <w:sz w:val="14"/>
                <w:szCs w:val="14"/>
                <w:lang w:eastAsia="pl-PL"/>
              </w:rPr>
              <w:t xml:space="preserve"> Lepsze zarządzanie energią; </w:t>
            </w:r>
            <w:r w:rsidRPr="00670D33">
              <w:rPr>
                <w:b/>
                <w:sz w:val="14"/>
                <w:szCs w:val="14"/>
                <w:lang w:eastAsia="pl-PL"/>
              </w:rPr>
              <w:t>(4)</w:t>
            </w:r>
            <w:r w:rsidRPr="00670D33">
              <w:rPr>
                <w:sz w:val="14"/>
                <w:szCs w:val="14"/>
                <w:lang w:eastAsia="pl-PL"/>
              </w:rPr>
              <w:t xml:space="preserve"> Zwiększanie konkurencyjności metropolii poznańskiej i innych ośrodków wzrostu w województwie; </w:t>
            </w:r>
            <w:r w:rsidRPr="00670D33">
              <w:rPr>
                <w:b/>
                <w:sz w:val="14"/>
                <w:szCs w:val="14"/>
                <w:lang w:eastAsia="pl-PL"/>
              </w:rPr>
              <w:t>(5)</w:t>
            </w:r>
            <w:r w:rsidRPr="00670D33">
              <w:rPr>
                <w:sz w:val="14"/>
                <w:szCs w:val="14"/>
                <w:lang w:eastAsia="pl-PL"/>
              </w:rPr>
              <w:t xml:space="preserve"> Zwiększenie spójności województwa; </w:t>
            </w:r>
            <w:r w:rsidRPr="00670D33">
              <w:rPr>
                <w:b/>
                <w:sz w:val="14"/>
                <w:szCs w:val="14"/>
                <w:lang w:eastAsia="pl-PL"/>
              </w:rPr>
              <w:t>(6)</w:t>
            </w:r>
            <w:r w:rsidRPr="00670D33">
              <w:rPr>
                <w:sz w:val="14"/>
                <w:szCs w:val="14"/>
                <w:lang w:eastAsia="pl-PL"/>
              </w:rPr>
              <w:t xml:space="preserve"> Wzmocnienie potencjału gospodarczego regionu; </w:t>
            </w:r>
            <w:r w:rsidRPr="00670D33">
              <w:rPr>
                <w:b/>
                <w:sz w:val="14"/>
                <w:szCs w:val="14"/>
                <w:lang w:eastAsia="pl-PL"/>
              </w:rPr>
              <w:t>(7)</w:t>
            </w:r>
            <w:r w:rsidRPr="00670D33">
              <w:rPr>
                <w:sz w:val="14"/>
                <w:szCs w:val="14"/>
                <w:lang w:eastAsia="pl-PL"/>
              </w:rPr>
              <w:t xml:space="preserve"> Wzrost kompetencji mieszkańców i zatrudnienia; </w:t>
            </w:r>
            <w:r w:rsidRPr="00670D33">
              <w:rPr>
                <w:b/>
                <w:sz w:val="14"/>
                <w:szCs w:val="14"/>
                <w:lang w:eastAsia="pl-PL"/>
              </w:rPr>
              <w:t>(8)</w:t>
            </w:r>
            <w:r w:rsidRPr="00670D33">
              <w:rPr>
                <w:sz w:val="14"/>
                <w:szCs w:val="14"/>
                <w:lang w:eastAsia="pl-PL"/>
              </w:rPr>
              <w:t xml:space="preserve"> Zwiększanie zasobów oraz wyrównywanie potencjałów społecznych województwa; </w:t>
            </w:r>
            <w:r w:rsidRPr="001D0868">
              <w:rPr>
                <w:b/>
                <w:sz w:val="14"/>
                <w:szCs w:val="14"/>
                <w:lang w:eastAsia="pl-PL"/>
              </w:rPr>
              <w:t>(9)</w:t>
            </w:r>
            <w:r w:rsidRPr="00670D33">
              <w:rPr>
                <w:sz w:val="14"/>
                <w:szCs w:val="14"/>
                <w:lang w:eastAsia="pl-PL"/>
              </w:rPr>
              <w:t xml:space="preserve"> Wzrost bezpieczeństwa i sprawności zarządzania regionem</w:t>
            </w:r>
          </w:p>
          <w:p w14:paraId="0B9052AA" w14:textId="77777777" w:rsidR="002F1CD5" w:rsidRDefault="002F1CD5" w:rsidP="002F1CD5">
            <w:pPr>
              <w:spacing w:after="0" w:line="240" w:lineRule="auto"/>
              <w:jc w:val="left"/>
              <w:rPr>
                <w:sz w:val="14"/>
                <w:szCs w:val="14"/>
                <w:lang w:eastAsia="pl-PL"/>
              </w:rPr>
            </w:pPr>
          </w:p>
          <w:p w14:paraId="3ABFF476" w14:textId="77777777" w:rsidR="002F1CD5" w:rsidRPr="00DC19E5" w:rsidRDefault="002F1CD5" w:rsidP="002F1CD5">
            <w:pPr>
              <w:spacing w:after="0" w:line="240" w:lineRule="auto"/>
              <w:jc w:val="left"/>
              <w:rPr>
                <w:sz w:val="14"/>
                <w:szCs w:val="14"/>
                <w:lang w:eastAsia="pl-PL"/>
              </w:rPr>
            </w:pPr>
            <w:r>
              <w:rPr>
                <w:sz w:val="14"/>
                <w:szCs w:val="14"/>
                <w:lang w:eastAsia="pl-PL"/>
              </w:rPr>
              <w:t>Źródło: opracowanie własne na podstawie 28 ankiet z jednostek Urzędu Marszałkowskiego.</w:t>
            </w:r>
          </w:p>
        </w:tc>
      </w:tr>
    </w:tbl>
    <w:tbl>
      <w:tblPr>
        <w:tblStyle w:val="Tabela-Siatka"/>
        <w:tblpPr w:leftFromText="142" w:rightFromText="142" w:topFromText="142" w:bottomFromText="142" w:vertAnchor="text" w:horzAnchor="margin" w:tblpXSpec="right" w:tblpY="571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ykres 20. Poczwórna helisa na rzecz realizacji celów SRWW 2020 (liczba wskazanych podmiotów) (maks. 75) "/>
        <w:tblDescription w:val="Wykres przedstawia liczbę wskazań pracowników UMWW na współpracę biznesu, nauki, administracji i NGO w zakresie każdego z celów strategicznych."/>
      </w:tblPr>
      <w:tblGrid>
        <w:gridCol w:w="5809"/>
      </w:tblGrid>
      <w:tr w:rsidR="002F1CD5" w:rsidRPr="00DC19E5" w14:paraId="4D280650" w14:textId="77777777" w:rsidTr="002F1CD5">
        <w:tc>
          <w:tcPr>
            <w:tcW w:w="5809" w:type="dxa"/>
          </w:tcPr>
          <w:p w14:paraId="79EE7C6B" w14:textId="4391135F" w:rsidR="002F1CD5" w:rsidRPr="00DC19E5" w:rsidRDefault="002F1CD5" w:rsidP="002F1CD5">
            <w:pPr>
              <w:pStyle w:val="Legenda"/>
              <w:keepNext/>
            </w:pPr>
            <w:bookmarkStart w:id="283" w:name="_Ref91281"/>
            <w:bookmarkStart w:id="284" w:name="_Ref91277"/>
            <w:bookmarkStart w:id="285" w:name="_Toc5699532"/>
            <w:r>
              <w:t xml:space="preserve">Wykres </w:t>
            </w:r>
            <w:r w:rsidRPr="69901DB0">
              <w:fldChar w:fldCharType="begin"/>
            </w:r>
            <w:r>
              <w:rPr>
                <w:noProof/>
              </w:rPr>
              <w:instrText xml:space="preserve"> SEQ Wykres \* ARABIC </w:instrText>
            </w:r>
            <w:r w:rsidRPr="69901DB0">
              <w:rPr>
                <w:noProof/>
              </w:rPr>
              <w:fldChar w:fldCharType="separate"/>
            </w:r>
            <w:r w:rsidR="007F4FA2">
              <w:rPr>
                <w:noProof/>
              </w:rPr>
              <w:t>21</w:t>
            </w:r>
            <w:r w:rsidRPr="69901DB0">
              <w:fldChar w:fldCharType="end"/>
            </w:r>
            <w:bookmarkEnd w:id="283"/>
            <w:r>
              <w:t>. Poczwórna helisa – rodzaj wpływu na realizację celów SRWW 2020 (liczba wskazań)</w:t>
            </w:r>
            <w:bookmarkEnd w:id="284"/>
            <w:bookmarkEnd w:id="285"/>
          </w:p>
        </w:tc>
      </w:tr>
      <w:tr w:rsidR="002F1CD5" w:rsidRPr="00DC19E5" w14:paraId="3DDF6313" w14:textId="77777777" w:rsidTr="002F1CD5">
        <w:tblPrEx>
          <w:tblCellMar>
            <w:left w:w="70" w:type="dxa"/>
            <w:right w:w="70" w:type="dxa"/>
          </w:tblCellMar>
        </w:tblPrEx>
        <w:tc>
          <w:tcPr>
            <w:tcW w:w="5809" w:type="dxa"/>
          </w:tcPr>
          <w:p w14:paraId="13870534" w14:textId="77777777" w:rsidR="002F1CD5" w:rsidRPr="00DC19E5" w:rsidRDefault="002F1CD5" w:rsidP="002F1CD5">
            <w:pPr>
              <w:spacing w:after="0" w:line="240" w:lineRule="auto"/>
              <w:jc w:val="center"/>
              <w:rPr>
                <w:sz w:val="14"/>
                <w:szCs w:val="14"/>
                <w:lang w:eastAsia="pl-PL"/>
              </w:rPr>
            </w:pPr>
            <w:r>
              <w:rPr>
                <w:noProof/>
                <w:lang w:eastAsia="pl-PL"/>
              </w:rPr>
              <w:drawing>
                <wp:inline distT="0" distB="0" distL="0" distR="0" wp14:anchorId="5454336C" wp14:editId="398BED26">
                  <wp:extent cx="2672715" cy="1974028"/>
                  <wp:effectExtent l="0" t="0" r="0" b="7620"/>
                  <wp:docPr id="1410683480" name="Wykres 14106834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r w:rsidR="002F1CD5" w:rsidRPr="00DC19E5" w14:paraId="36902E7D" w14:textId="77777777" w:rsidTr="002F1CD5">
        <w:tc>
          <w:tcPr>
            <w:tcW w:w="5809" w:type="dxa"/>
            <w:vAlign w:val="center"/>
          </w:tcPr>
          <w:p w14:paraId="3DE898CF" w14:textId="77777777" w:rsidR="002F1CD5" w:rsidRDefault="002F1CD5" w:rsidP="002F1CD5">
            <w:pPr>
              <w:spacing w:after="0" w:line="240" w:lineRule="auto"/>
              <w:rPr>
                <w:sz w:val="14"/>
                <w:szCs w:val="14"/>
                <w:lang w:eastAsia="pl-PL"/>
              </w:rPr>
            </w:pPr>
            <w:r>
              <w:rPr>
                <w:sz w:val="14"/>
                <w:szCs w:val="14"/>
                <w:lang w:eastAsia="pl-PL"/>
              </w:rPr>
              <w:t>Rodzaj oddziaływania</w:t>
            </w:r>
            <w:r w:rsidRPr="00670D33">
              <w:rPr>
                <w:sz w:val="14"/>
                <w:szCs w:val="14"/>
                <w:lang w:eastAsia="pl-PL"/>
              </w:rPr>
              <w:t xml:space="preserve">: </w:t>
            </w:r>
            <w:r w:rsidRPr="00670D33">
              <w:rPr>
                <w:b/>
                <w:sz w:val="14"/>
                <w:szCs w:val="14"/>
                <w:lang w:eastAsia="pl-PL"/>
              </w:rPr>
              <w:t>(1)</w:t>
            </w:r>
            <w:r w:rsidRPr="00670D33">
              <w:rPr>
                <w:sz w:val="14"/>
                <w:szCs w:val="14"/>
                <w:lang w:eastAsia="pl-PL"/>
              </w:rPr>
              <w:t xml:space="preserve"> </w:t>
            </w:r>
            <w:r w:rsidRPr="00746659">
              <w:rPr>
                <w:sz w:val="14"/>
                <w:szCs w:val="14"/>
                <w:lang w:eastAsia="pl-PL"/>
              </w:rPr>
              <w:t>wzmacnianie zasobów wewnętrznych województwa</w:t>
            </w:r>
            <w:r w:rsidRPr="00670D33">
              <w:rPr>
                <w:sz w:val="14"/>
                <w:szCs w:val="14"/>
                <w:lang w:eastAsia="pl-PL"/>
              </w:rPr>
              <w:t xml:space="preserve">; </w:t>
            </w:r>
            <w:r w:rsidRPr="00670D33">
              <w:rPr>
                <w:b/>
                <w:sz w:val="14"/>
                <w:szCs w:val="14"/>
                <w:lang w:eastAsia="pl-PL"/>
              </w:rPr>
              <w:t>(2)</w:t>
            </w:r>
            <w:r w:rsidRPr="00670D33">
              <w:rPr>
                <w:sz w:val="14"/>
                <w:szCs w:val="14"/>
                <w:lang w:eastAsia="pl-PL"/>
              </w:rPr>
              <w:t xml:space="preserve"> </w:t>
            </w:r>
            <w:r w:rsidRPr="00746659">
              <w:rPr>
                <w:sz w:val="14"/>
                <w:szCs w:val="14"/>
                <w:lang w:eastAsia="pl-PL"/>
              </w:rPr>
              <w:t>eksport towarów i usług na zewnątrz regionu (kraj i zagranica)</w:t>
            </w:r>
            <w:r w:rsidRPr="00670D33">
              <w:rPr>
                <w:sz w:val="14"/>
                <w:szCs w:val="14"/>
                <w:lang w:eastAsia="pl-PL"/>
              </w:rPr>
              <w:t xml:space="preserve">; </w:t>
            </w:r>
            <w:r w:rsidRPr="00670D33">
              <w:rPr>
                <w:b/>
                <w:sz w:val="14"/>
                <w:szCs w:val="14"/>
                <w:lang w:eastAsia="pl-PL"/>
              </w:rPr>
              <w:t>(3)</w:t>
            </w:r>
            <w:r>
              <w:rPr>
                <w:sz w:val="14"/>
                <w:szCs w:val="14"/>
                <w:lang w:eastAsia="pl-PL"/>
              </w:rPr>
              <w:t xml:space="preserve"> </w:t>
            </w:r>
            <w:r w:rsidRPr="00746659">
              <w:rPr>
                <w:sz w:val="14"/>
                <w:szCs w:val="14"/>
                <w:lang w:eastAsia="pl-PL"/>
              </w:rPr>
              <w:t>wzmacnianie pozycji konkurencyjnej województwa (krajowej i międzynarodowej)</w:t>
            </w:r>
            <w:r w:rsidRPr="00670D33">
              <w:rPr>
                <w:sz w:val="14"/>
                <w:szCs w:val="14"/>
                <w:lang w:eastAsia="pl-PL"/>
              </w:rPr>
              <w:t xml:space="preserve">; </w:t>
            </w:r>
            <w:r w:rsidRPr="00670D33">
              <w:rPr>
                <w:b/>
                <w:sz w:val="14"/>
                <w:szCs w:val="14"/>
                <w:lang w:eastAsia="pl-PL"/>
              </w:rPr>
              <w:t>(4)</w:t>
            </w:r>
            <w:r w:rsidRPr="00670D33">
              <w:rPr>
                <w:sz w:val="14"/>
                <w:szCs w:val="14"/>
                <w:lang w:eastAsia="pl-PL"/>
              </w:rPr>
              <w:t xml:space="preserve"> </w:t>
            </w:r>
            <w:r w:rsidRPr="00746659">
              <w:rPr>
                <w:sz w:val="14"/>
                <w:szCs w:val="14"/>
                <w:lang w:eastAsia="pl-PL"/>
              </w:rPr>
              <w:t>wzma</w:t>
            </w:r>
            <w:r>
              <w:rPr>
                <w:sz w:val="14"/>
                <w:szCs w:val="14"/>
                <w:lang w:eastAsia="pl-PL"/>
              </w:rPr>
              <w:t>cnianie współpracy w regionie i</w:t>
            </w:r>
            <w:r w:rsidRPr="00746659">
              <w:rPr>
                <w:sz w:val="14"/>
                <w:szCs w:val="14"/>
                <w:lang w:eastAsia="pl-PL"/>
              </w:rPr>
              <w:t>/lub na zewnątrz</w:t>
            </w:r>
          </w:p>
          <w:p w14:paraId="1F3B0CED" w14:textId="77777777" w:rsidR="002F1CD5" w:rsidRDefault="002F1CD5" w:rsidP="002F1CD5">
            <w:pPr>
              <w:spacing w:after="0" w:line="240" w:lineRule="auto"/>
              <w:rPr>
                <w:sz w:val="14"/>
                <w:szCs w:val="14"/>
                <w:lang w:eastAsia="pl-PL"/>
              </w:rPr>
            </w:pPr>
          </w:p>
          <w:p w14:paraId="376B9DC4" w14:textId="77777777" w:rsidR="002F1CD5" w:rsidRPr="00DC19E5" w:rsidRDefault="002F1CD5" w:rsidP="002F1CD5">
            <w:pPr>
              <w:spacing w:after="0" w:line="240" w:lineRule="auto"/>
              <w:rPr>
                <w:sz w:val="14"/>
                <w:szCs w:val="14"/>
                <w:lang w:eastAsia="pl-PL"/>
              </w:rPr>
            </w:pPr>
            <w:r>
              <w:rPr>
                <w:sz w:val="14"/>
                <w:szCs w:val="14"/>
                <w:lang w:eastAsia="pl-PL"/>
              </w:rPr>
              <w:t>Źródło: opracowanie własne na podstawie 28 ankiet z jednostek Urzędu Marszałkowskiego.</w:t>
            </w:r>
          </w:p>
        </w:tc>
      </w:tr>
    </w:tbl>
    <w:p w14:paraId="4D362DF2" w14:textId="77777777" w:rsidR="002F1CD5" w:rsidRDefault="0034123E" w:rsidP="0034123E">
      <w:pPr>
        <w:rPr>
          <w:lang w:eastAsia="pl-PL"/>
        </w:rPr>
      </w:pPr>
      <w:r>
        <w:rPr>
          <w:lang w:eastAsia="pl-PL"/>
        </w:rPr>
        <w:t>Badanie potwierdza również kierunki, w jakich znaczące dla realizacji Strategii instytucje, przyczyniają się do poprawy sytuacji w regionie (</w:t>
      </w:r>
      <w:r w:rsidRPr="56862DA9">
        <w:fldChar w:fldCharType="begin"/>
      </w:r>
      <w:r>
        <w:rPr>
          <w:lang w:eastAsia="pl-PL"/>
        </w:rPr>
        <w:instrText xml:space="preserve"> REF _Ref91281 \h </w:instrText>
      </w:r>
      <w:r w:rsidRPr="56862DA9">
        <w:rPr>
          <w:lang w:eastAsia="pl-PL"/>
        </w:rPr>
        <w:fldChar w:fldCharType="separate"/>
      </w:r>
      <w:r w:rsidR="007F4FA2">
        <w:t xml:space="preserve">Wykres </w:t>
      </w:r>
      <w:r w:rsidR="007F4FA2">
        <w:rPr>
          <w:noProof/>
        </w:rPr>
        <w:t>21</w:t>
      </w:r>
      <w:r w:rsidRPr="56862DA9">
        <w:fldChar w:fldCharType="end"/>
      </w:r>
      <w:r>
        <w:rPr>
          <w:lang w:eastAsia="pl-PL"/>
        </w:rPr>
        <w:t xml:space="preserve">). Relatywnie najwięcej przykładów podawanych jest w przypadku wzmacniania zasobów wewnętrznych województwa oraz wzmacniania współpracy (w obu przypadkach najmniej przykładów podawanych jest po stronie biznes). </w:t>
      </w:r>
    </w:p>
    <w:p w14:paraId="5EC36D7F" w14:textId="5BA27DBA" w:rsidR="004A3B6E" w:rsidRDefault="0034123E" w:rsidP="004A3B6E">
      <w:pPr>
        <w:rPr>
          <w:lang w:eastAsia="pl-PL"/>
        </w:rPr>
      </w:pPr>
      <w:r>
        <w:rPr>
          <w:lang w:eastAsia="pl-PL"/>
        </w:rPr>
        <w:t>Przytoczone dane można jednak odczytywać jako pewne słabości we współpracy na linii administracja – biznes – nauka – organizacje pozarządowe. Istotą tego badania było wskazanie „tylko” trzech najważniejszych organizacji, które miały wpływ na realizację celów lub przyczyniają się w określony sposób do rozwoju województwa. Brak takich wskazań można interpretować jako obiektywny brak, ale również jako brak zdolności do wskazania takich instytucji.</w:t>
      </w:r>
    </w:p>
    <w:tbl>
      <w:tblPr>
        <w:tblStyle w:val="Tabela-Siatka"/>
        <w:tblpPr w:leftFromText="142" w:rightFromText="142" w:topFromText="142" w:bottomFromText="142" w:vertAnchor="page" w:horzAnchor="margin" w:tblpXSpec="right" w:tblpY="209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ykres 22. Poczwórna helisa – liczba wskazań organizacji współpracujących z jednostkami Urzędu Marszałkowskiego przy realizacji celów strategicznych "/>
        <w:tblDescription w:val="Wykres przedstawia liczbę wskazań na organizacje pochodzące z administracji, nauki, biznesu &#10;i NGO's-ów, które współpracują z jednostkami UMWW."/>
      </w:tblPr>
      <w:tblGrid>
        <w:gridCol w:w="5812"/>
      </w:tblGrid>
      <w:tr w:rsidR="002F1CD5" w:rsidRPr="00DC19E5" w14:paraId="133E6F16" w14:textId="77777777" w:rsidTr="002F1CD5">
        <w:tc>
          <w:tcPr>
            <w:tcW w:w="5812" w:type="dxa"/>
          </w:tcPr>
          <w:p w14:paraId="6C3A4A39" w14:textId="77777777" w:rsidR="002F1CD5" w:rsidRPr="00DC19E5" w:rsidRDefault="002F1CD5" w:rsidP="002F1CD5">
            <w:pPr>
              <w:pStyle w:val="Legenda"/>
              <w:keepNext/>
            </w:pPr>
            <w:bookmarkStart w:id="286" w:name="_Ref2165130"/>
            <w:bookmarkStart w:id="287" w:name="_Toc5699533"/>
            <w:r>
              <w:lastRenderedPageBreak/>
              <w:t xml:space="preserve">Wykres </w:t>
            </w:r>
            <w:r w:rsidRPr="69901DB0">
              <w:fldChar w:fldCharType="begin"/>
            </w:r>
            <w:r>
              <w:rPr>
                <w:noProof/>
              </w:rPr>
              <w:instrText xml:space="preserve"> SEQ Wykres \* ARABIC </w:instrText>
            </w:r>
            <w:r w:rsidRPr="69901DB0">
              <w:rPr>
                <w:noProof/>
              </w:rPr>
              <w:fldChar w:fldCharType="separate"/>
            </w:r>
            <w:r w:rsidR="007F4FA2">
              <w:rPr>
                <w:noProof/>
              </w:rPr>
              <w:t>22</w:t>
            </w:r>
            <w:r w:rsidRPr="69901DB0">
              <w:fldChar w:fldCharType="end"/>
            </w:r>
            <w:bookmarkEnd w:id="286"/>
            <w:r>
              <w:t>. Poczwórna helisa – liczba wskazań organizacji współpracujących z jednostkami Urzędu Marszałkowskiego przy realizacji celów strategicznych</w:t>
            </w:r>
            <w:bookmarkEnd w:id="287"/>
          </w:p>
        </w:tc>
      </w:tr>
      <w:tr w:rsidR="002F1CD5" w:rsidRPr="00DC19E5" w14:paraId="551113A5" w14:textId="77777777" w:rsidTr="002F1CD5">
        <w:tblPrEx>
          <w:tblCellMar>
            <w:left w:w="70" w:type="dxa"/>
            <w:right w:w="70" w:type="dxa"/>
          </w:tblCellMar>
        </w:tblPrEx>
        <w:tc>
          <w:tcPr>
            <w:tcW w:w="5812" w:type="dxa"/>
          </w:tcPr>
          <w:p w14:paraId="5D385491" w14:textId="77777777" w:rsidR="002F1CD5" w:rsidRPr="00DC19E5" w:rsidRDefault="002F1CD5" w:rsidP="002F1CD5">
            <w:pPr>
              <w:spacing w:after="0" w:line="240" w:lineRule="auto"/>
              <w:jc w:val="left"/>
              <w:rPr>
                <w:sz w:val="14"/>
                <w:szCs w:val="14"/>
                <w:lang w:eastAsia="pl-PL"/>
              </w:rPr>
            </w:pPr>
            <w:r>
              <w:rPr>
                <w:noProof/>
                <w:sz w:val="14"/>
                <w:szCs w:val="14"/>
                <w:lang w:eastAsia="pl-PL"/>
              </w:rPr>
              <w:drawing>
                <wp:inline distT="0" distB="0" distL="0" distR="0" wp14:anchorId="691578FF" wp14:editId="77CFBF7A">
                  <wp:extent cx="3600000" cy="2102218"/>
                  <wp:effectExtent l="0" t="0" r="635" b="0"/>
                  <wp:docPr id="725516845" name="Obraz 725516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00000" cy="2102218"/>
                          </a:xfrm>
                          <a:prstGeom prst="rect">
                            <a:avLst/>
                          </a:prstGeom>
                          <a:noFill/>
                        </pic:spPr>
                      </pic:pic>
                    </a:graphicData>
                  </a:graphic>
                </wp:inline>
              </w:drawing>
            </w:r>
          </w:p>
        </w:tc>
      </w:tr>
      <w:tr w:rsidR="002F1CD5" w:rsidRPr="00DC19E5" w14:paraId="1DF55DA0" w14:textId="77777777" w:rsidTr="002F1CD5">
        <w:tc>
          <w:tcPr>
            <w:tcW w:w="5812" w:type="dxa"/>
            <w:vAlign w:val="center"/>
          </w:tcPr>
          <w:p w14:paraId="0B2B7A09" w14:textId="77777777" w:rsidR="002F1CD5" w:rsidRPr="00DC19E5" w:rsidRDefault="002F1CD5" w:rsidP="002F1CD5">
            <w:pPr>
              <w:spacing w:after="0" w:line="240" w:lineRule="auto"/>
              <w:rPr>
                <w:sz w:val="14"/>
                <w:szCs w:val="14"/>
                <w:lang w:eastAsia="pl-PL"/>
              </w:rPr>
            </w:pPr>
            <w:r>
              <w:rPr>
                <w:sz w:val="14"/>
                <w:szCs w:val="14"/>
                <w:lang w:eastAsia="pl-PL"/>
              </w:rPr>
              <w:t>Źródło: opracowanie własne na podstawie 28 ankiet z jednostek Urzędu Marszałkowskiego.</w:t>
            </w:r>
          </w:p>
        </w:tc>
      </w:tr>
    </w:tbl>
    <w:p w14:paraId="75842788" w14:textId="6D26F805" w:rsidR="002F1CD5" w:rsidRDefault="00FF7ECE" w:rsidP="004A3B6E">
      <w:pPr>
        <w:rPr>
          <w:lang w:eastAsia="pl-PL"/>
        </w:rPr>
      </w:pPr>
      <w:r>
        <w:rPr>
          <w:lang w:eastAsia="pl-PL"/>
        </w:rPr>
        <w:t xml:space="preserve">Wśród konkretnych organizacji, które współpracowały z </w:t>
      </w:r>
      <w:r w:rsidR="0067691E">
        <w:rPr>
          <w:lang w:eastAsia="pl-PL"/>
        </w:rPr>
        <w:t xml:space="preserve">jednostkami Urzędu Marszałkowskiego </w:t>
      </w:r>
      <w:r>
        <w:rPr>
          <w:lang w:eastAsia="pl-PL"/>
        </w:rPr>
        <w:t>w realizacji poszczególnych celów najwięcej wskazań otrzymały administracja i nauka, najmniej zaś biznes (</w:t>
      </w:r>
      <w:r>
        <w:rPr>
          <w:lang w:eastAsia="pl-PL"/>
        </w:rPr>
        <w:fldChar w:fldCharType="begin"/>
      </w:r>
      <w:r>
        <w:rPr>
          <w:lang w:eastAsia="pl-PL"/>
        </w:rPr>
        <w:instrText xml:space="preserve"> REF _Ref2165130 \h </w:instrText>
      </w:r>
      <w:r>
        <w:rPr>
          <w:lang w:eastAsia="pl-PL"/>
        </w:rPr>
      </w:r>
      <w:r>
        <w:rPr>
          <w:lang w:eastAsia="pl-PL"/>
        </w:rPr>
        <w:fldChar w:fldCharType="separate"/>
      </w:r>
      <w:r w:rsidR="007F4FA2">
        <w:t xml:space="preserve">Wykres </w:t>
      </w:r>
      <w:r w:rsidR="007F4FA2">
        <w:rPr>
          <w:noProof/>
        </w:rPr>
        <w:t>22</w:t>
      </w:r>
      <w:r>
        <w:rPr>
          <w:lang w:eastAsia="pl-PL"/>
        </w:rPr>
        <w:fldChar w:fldCharType="end"/>
      </w:r>
      <w:r>
        <w:rPr>
          <w:lang w:eastAsia="pl-PL"/>
        </w:rPr>
        <w:t xml:space="preserve">). Wśród najczęściej wymienianych są szeroko rozumiane samorządy lokalne oraz najważniejsze uczelnie </w:t>
      </w:r>
      <w:r w:rsidR="0067691E">
        <w:rPr>
          <w:lang w:eastAsia="pl-PL"/>
        </w:rPr>
        <w:t>– głównie poznańskie. Redukcja wskazań tylko do konkretnych nazw organizacji (bez powtórzeń) pokazuje, że szczególnie sektor nauki jest aktywny kilkoma uczelniami, których pracownicy podejmują współpracę w różnych celach strategicznych. Zdecydowana redukcja liczby organizacji z administracji wynika z faktu, iż departamenty jednak nie decydowały się często na wskazanie konkretnych samorządów lokalnych, odpowiadając np. „gminy województwa wielkopolskiego”.</w:t>
      </w:r>
    </w:p>
    <w:p w14:paraId="56205FD2" w14:textId="77777777" w:rsidR="004A3B6E" w:rsidRDefault="004A3B6E" w:rsidP="00624AA4">
      <w:pPr>
        <w:pStyle w:val="Nagwek3"/>
      </w:pPr>
      <w:bookmarkStart w:id="288" w:name="_Toc536649353"/>
      <w:bookmarkStart w:id="289" w:name="_Toc536650851"/>
      <w:bookmarkStart w:id="290" w:name="_Toc1904838"/>
      <w:bookmarkStart w:id="291" w:name="_Toc5699503"/>
      <w:r>
        <w:t>Ku lepszej realizacji Strategii</w:t>
      </w:r>
      <w:bookmarkEnd w:id="288"/>
      <w:bookmarkEnd w:id="289"/>
      <w:bookmarkEnd w:id="290"/>
      <w:bookmarkEnd w:id="291"/>
    </w:p>
    <w:p w14:paraId="3308D6A1" w14:textId="7C48508C" w:rsidR="0067691E" w:rsidRDefault="0067691E" w:rsidP="0067691E">
      <w:pPr>
        <w:rPr>
          <w:lang w:eastAsia="pl-PL"/>
        </w:rPr>
      </w:pPr>
      <w:r>
        <w:rPr>
          <w:lang w:eastAsia="pl-PL"/>
        </w:rPr>
        <w:t xml:space="preserve">Uzyskane wyniki wywiadów pogłębionych, ale również wyniki ankiet od </w:t>
      </w:r>
      <w:r w:rsidR="56862DA9" w:rsidRPr="56862DA9">
        <w:rPr>
          <w:lang w:eastAsia="pl-PL"/>
        </w:rPr>
        <w:t>Marszałków</w:t>
      </w:r>
      <w:r>
        <w:rPr>
          <w:lang w:eastAsia="pl-PL"/>
        </w:rPr>
        <w:t xml:space="preserve"> województw pozwalają sformułować kilka postulatów dotyczących lepszej realizacji Strategii. Należy podkreślić, że realizacja Strategii zaczyna się już na etapie tworzenia dokumentu, dlatego od tego punktu rozpoczyna się lista cech systemu zarządzania realizacją Strategii. Ze względu na fakt, iż w UMWW realizowane są z sukcesem elementy systemu zarządczego, w tej części skoncentrowano się na cechach wciąż pożądanych lub wymagających modyfikacji.</w:t>
      </w:r>
    </w:p>
    <w:p w14:paraId="751EA212" w14:textId="5B197086" w:rsidR="004A3B6E" w:rsidRDefault="004A3B6E" w:rsidP="004A3B6E">
      <w:pPr>
        <w:pStyle w:val="Legenda"/>
        <w:keepNext/>
      </w:pPr>
      <w:bookmarkStart w:id="292" w:name="_Toc5699557"/>
      <w:r>
        <w:t xml:space="preserve">Tabela </w:t>
      </w:r>
      <w:r w:rsidRPr="69901DB0">
        <w:fldChar w:fldCharType="begin"/>
      </w:r>
      <w:r>
        <w:rPr>
          <w:noProof/>
        </w:rPr>
        <w:instrText xml:space="preserve"> SEQ Tabela \* ARABIC </w:instrText>
      </w:r>
      <w:r w:rsidRPr="69901DB0">
        <w:rPr>
          <w:noProof/>
        </w:rPr>
        <w:fldChar w:fldCharType="separate"/>
      </w:r>
      <w:r w:rsidR="007F4FA2">
        <w:rPr>
          <w:noProof/>
        </w:rPr>
        <w:t>24</w:t>
      </w:r>
      <w:r w:rsidRPr="69901DB0">
        <w:fldChar w:fldCharType="end"/>
      </w:r>
      <w:r>
        <w:t>. Postulowane cechy systemu zarządzania realizacją Strategii</w:t>
      </w:r>
      <w:bookmarkEnd w:id="292"/>
    </w:p>
    <w:tbl>
      <w:tblPr>
        <w:tblStyle w:val="Zwykatabela2"/>
        <w:tblW w:w="9072" w:type="dxa"/>
        <w:tblBorders>
          <w:insideH w:val="single" w:sz="4" w:space="0" w:color="FFFFFF" w:themeColor="background1" w:themeTint="00" w:themeShade="7F"/>
        </w:tblBorders>
        <w:tblLook w:val="04A0" w:firstRow="1" w:lastRow="0" w:firstColumn="1" w:lastColumn="0" w:noHBand="0" w:noVBand="1"/>
        <w:tblCaption w:val="Tabela 23. Postulowane cechy systemu zarządzania realizacją Strategii "/>
        <w:tblDescription w:val="Tabela przedstawia cechy, które powinien zawierać system zarządzania realizacją Strategii."/>
      </w:tblPr>
      <w:tblGrid>
        <w:gridCol w:w="1843"/>
        <w:gridCol w:w="7229"/>
      </w:tblGrid>
      <w:tr w:rsidR="004A3B6E" w14:paraId="297E48E4" w14:textId="77777777" w:rsidTr="2DB8E69A">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shd w:val="clear" w:color="auto" w:fill="F6BB00"/>
            <w:vAlign w:val="center"/>
          </w:tcPr>
          <w:p w14:paraId="333C8699" w14:textId="77777777" w:rsidR="004A3B6E" w:rsidRPr="00A65C3A" w:rsidRDefault="004A3B6E" w:rsidP="00624AA4">
            <w:pPr>
              <w:pStyle w:val="Zwykytekst"/>
              <w:jc w:val="center"/>
              <w:rPr>
                <w:rFonts w:asciiTheme="minorHAnsi" w:hAnsiTheme="minorHAnsi" w:cs="Consolas"/>
                <w:color w:val="002060"/>
                <w:sz w:val="20"/>
              </w:rPr>
            </w:pPr>
            <w:r>
              <w:rPr>
                <w:rFonts w:asciiTheme="minorHAnsi" w:hAnsiTheme="minorHAnsi" w:cs="Consolas"/>
                <w:color w:val="002060"/>
                <w:sz w:val="20"/>
              </w:rPr>
              <w:t>Cecha</w:t>
            </w:r>
          </w:p>
        </w:tc>
        <w:tc>
          <w:tcPr>
            <w:tcW w:w="7229" w:type="dxa"/>
            <w:tcBorders>
              <w:top w:val="nil"/>
              <w:bottom w:val="nil"/>
            </w:tcBorders>
            <w:shd w:val="clear" w:color="auto" w:fill="F6BB00"/>
            <w:vAlign w:val="center"/>
            <w:hideMark/>
          </w:tcPr>
          <w:p w14:paraId="34047160" w14:textId="77777777" w:rsidR="004A3B6E" w:rsidRPr="00A65C3A" w:rsidRDefault="004A3B6E" w:rsidP="00624AA4">
            <w:pPr>
              <w:pStyle w:val="Zwykytek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2060"/>
                <w:sz w:val="20"/>
              </w:rPr>
            </w:pPr>
            <w:r>
              <w:rPr>
                <w:rFonts w:asciiTheme="minorHAnsi" w:hAnsiTheme="minorHAnsi"/>
                <w:color w:val="002060"/>
                <w:sz w:val="20"/>
              </w:rPr>
              <w:t>Uszczegółowienie</w:t>
            </w:r>
          </w:p>
        </w:tc>
      </w:tr>
      <w:tr w:rsidR="004A3B6E" w14:paraId="00C93219" w14:textId="77777777" w:rsidTr="2DB8E69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43" w:type="dxa"/>
            <w:tcBorders>
              <w:top w:val="nil"/>
              <w:bottom w:val="single" w:sz="4" w:space="0" w:color="FFC000" w:themeColor="accent4"/>
            </w:tcBorders>
          </w:tcPr>
          <w:p w14:paraId="6CBF2493" w14:textId="77777777" w:rsidR="004A3B6E" w:rsidRDefault="0067691E" w:rsidP="00624AA4">
            <w:pPr>
              <w:pStyle w:val="Zwykytekst"/>
              <w:rPr>
                <w:rFonts w:asciiTheme="minorHAnsi" w:hAnsiTheme="minorHAnsi"/>
                <w:color w:val="002060"/>
                <w:sz w:val="18"/>
                <w:szCs w:val="18"/>
              </w:rPr>
            </w:pPr>
            <w:r>
              <w:rPr>
                <w:rFonts w:asciiTheme="minorHAnsi" w:hAnsiTheme="minorHAnsi"/>
                <w:color w:val="002060"/>
                <w:sz w:val="18"/>
                <w:szCs w:val="18"/>
              </w:rPr>
              <w:t>Uspołeczniony proces budowania Strategii</w:t>
            </w:r>
          </w:p>
        </w:tc>
        <w:tc>
          <w:tcPr>
            <w:tcW w:w="7229" w:type="dxa"/>
            <w:tcBorders>
              <w:top w:val="nil"/>
              <w:bottom w:val="single" w:sz="4" w:space="0" w:color="FFC000" w:themeColor="accent4"/>
            </w:tcBorders>
          </w:tcPr>
          <w:p w14:paraId="7BEAFBC2" w14:textId="23070DC5" w:rsidR="004A3B6E" w:rsidRPr="00A65C3A" w:rsidRDefault="00DF04C6" w:rsidP="00A7626F">
            <w:pPr>
              <w:pStyle w:val="Zwykytek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18"/>
                <w:szCs w:val="18"/>
              </w:rPr>
            </w:pPr>
            <w:r>
              <w:rPr>
                <w:rFonts w:asciiTheme="minorHAnsi" w:hAnsiTheme="minorHAnsi"/>
                <w:color w:val="002060"/>
                <w:sz w:val="18"/>
                <w:szCs w:val="18"/>
              </w:rPr>
              <w:t>G</w:t>
            </w:r>
            <w:r w:rsidR="0067691E">
              <w:rPr>
                <w:rFonts w:asciiTheme="minorHAnsi" w:hAnsiTheme="minorHAnsi"/>
                <w:color w:val="002060"/>
                <w:sz w:val="18"/>
                <w:szCs w:val="18"/>
              </w:rPr>
              <w:t>rono twórców Strategii tworzy jednocześnie grupę interesariuszy najlepiej zor</w:t>
            </w:r>
            <w:r>
              <w:rPr>
                <w:rFonts w:asciiTheme="minorHAnsi" w:hAnsiTheme="minorHAnsi"/>
                <w:color w:val="002060"/>
                <w:sz w:val="18"/>
                <w:szCs w:val="18"/>
              </w:rPr>
              <w:t>ientowanych w samym dokumencie, mogącą przekazać swoje intencje szerszym grupom odbiorców</w:t>
            </w:r>
            <w:r w:rsidR="0067691E">
              <w:rPr>
                <w:rFonts w:asciiTheme="minorHAnsi" w:hAnsiTheme="minorHAnsi"/>
                <w:color w:val="002060"/>
                <w:sz w:val="18"/>
                <w:szCs w:val="18"/>
              </w:rPr>
              <w:t xml:space="preserve">. </w:t>
            </w:r>
            <w:r w:rsidR="00A7626F">
              <w:rPr>
                <w:rFonts w:asciiTheme="minorHAnsi" w:hAnsiTheme="minorHAnsi"/>
                <w:color w:val="002060"/>
                <w:sz w:val="18"/>
                <w:szCs w:val="18"/>
              </w:rPr>
              <w:t>R</w:t>
            </w:r>
            <w:r w:rsidR="0067691E">
              <w:rPr>
                <w:rFonts w:asciiTheme="minorHAnsi" w:hAnsiTheme="minorHAnsi"/>
                <w:color w:val="002060"/>
                <w:sz w:val="18"/>
                <w:szCs w:val="18"/>
              </w:rPr>
              <w:t xml:space="preserve">ealne zaangażowanie różnych grup społecznych w proces budowania, </w:t>
            </w:r>
            <w:r w:rsidR="00A7626F">
              <w:rPr>
                <w:rFonts w:asciiTheme="minorHAnsi" w:hAnsiTheme="minorHAnsi"/>
                <w:color w:val="002060"/>
                <w:sz w:val="18"/>
                <w:szCs w:val="18"/>
              </w:rPr>
              <w:t>z</w:t>
            </w:r>
            <w:r w:rsidR="0067691E">
              <w:rPr>
                <w:rFonts w:asciiTheme="minorHAnsi" w:hAnsiTheme="minorHAnsi"/>
                <w:color w:val="002060"/>
                <w:sz w:val="18"/>
                <w:szCs w:val="18"/>
              </w:rPr>
              <w:t>większ</w:t>
            </w:r>
            <w:r w:rsidR="00A7626F">
              <w:rPr>
                <w:rFonts w:asciiTheme="minorHAnsi" w:hAnsiTheme="minorHAnsi"/>
                <w:color w:val="002060"/>
                <w:sz w:val="18"/>
                <w:szCs w:val="18"/>
              </w:rPr>
              <w:t>a</w:t>
            </w:r>
            <w:r w:rsidR="0067691E">
              <w:rPr>
                <w:rFonts w:asciiTheme="minorHAnsi" w:hAnsiTheme="minorHAnsi"/>
                <w:color w:val="002060"/>
                <w:sz w:val="18"/>
                <w:szCs w:val="18"/>
              </w:rPr>
              <w:t xml:space="preserve"> </w:t>
            </w:r>
            <w:r w:rsidR="00A7626F">
              <w:rPr>
                <w:rFonts w:asciiTheme="minorHAnsi" w:hAnsiTheme="minorHAnsi"/>
                <w:color w:val="002060"/>
                <w:sz w:val="18"/>
                <w:szCs w:val="18"/>
              </w:rPr>
              <w:t xml:space="preserve">szanse na </w:t>
            </w:r>
            <w:r w:rsidR="00610DFB">
              <w:rPr>
                <w:rFonts w:asciiTheme="minorHAnsi" w:hAnsiTheme="minorHAnsi"/>
                <w:color w:val="002060"/>
                <w:sz w:val="18"/>
                <w:szCs w:val="18"/>
              </w:rPr>
              <w:t>wdraża</w:t>
            </w:r>
            <w:r w:rsidR="00A7626F">
              <w:rPr>
                <w:rFonts w:asciiTheme="minorHAnsi" w:hAnsiTheme="minorHAnsi"/>
                <w:color w:val="002060"/>
                <w:sz w:val="18"/>
                <w:szCs w:val="18"/>
              </w:rPr>
              <w:t>nie</w:t>
            </w:r>
            <w:r w:rsidR="00610DFB">
              <w:rPr>
                <w:rFonts w:asciiTheme="minorHAnsi" w:hAnsiTheme="minorHAnsi"/>
                <w:color w:val="002060"/>
                <w:sz w:val="18"/>
                <w:szCs w:val="18"/>
              </w:rPr>
              <w:t xml:space="preserve"> Strategi</w:t>
            </w:r>
            <w:r w:rsidR="00A7626F">
              <w:rPr>
                <w:rFonts w:asciiTheme="minorHAnsi" w:hAnsiTheme="minorHAnsi"/>
                <w:color w:val="002060"/>
                <w:sz w:val="18"/>
                <w:szCs w:val="18"/>
              </w:rPr>
              <w:t>i</w:t>
            </w:r>
            <w:r w:rsidR="00610DFB">
              <w:rPr>
                <w:rFonts w:asciiTheme="minorHAnsi" w:hAnsiTheme="minorHAnsi"/>
                <w:color w:val="002060"/>
                <w:sz w:val="18"/>
                <w:szCs w:val="18"/>
              </w:rPr>
              <w:t xml:space="preserve"> w sposób sieciowy.</w:t>
            </w:r>
          </w:p>
        </w:tc>
      </w:tr>
      <w:tr w:rsidR="004A3B6E" w14:paraId="201ABF2E" w14:textId="77777777" w:rsidTr="2DB8E69A">
        <w:trPr>
          <w:trHeight w:val="222"/>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C000" w:themeColor="accent4"/>
              <w:bottom w:val="single" w:sz="4" w:space="0" w:color="FFC000" w:themeColor="accent4"/>
            </w:tcBorders>
          </w:tcPr>
          <w:p w14:paraId="41939CDC" w14:textId="77777777" w:rsidR="004A3B6E" w:rsidRDefault="0067691E" w:rsidP="0067691E">
            <w:pPr>
              <w:pStyle w:val="Zwykytekst"/>
              <w:rPr>
                <w:rFonts w:asciiTheme="minorHAnsi" w:hAnsiTheme="minorHAnsi"/>
                <w:color w:val="002060"/>
                <w:sz w:val="18"/>
                <w:szCs w:val="18"/>
              </w:rPr>
            </w:pPr>
            <w:r>
              <w:rPr>
                <w:rFonts w:asciiTheme="minorHAnsi" w:hAnsiTheme="minorHAnsi"/>
                <w:color w:val="002060"/>
                <w:sz w:val="18"/>
                <w:szCs w:val="18"/>
              </w:rPr>
              <w:t>Przywódcza rola w regionie Samorządu Województwa</w:t>
            </w:r>
          </w:p>
        </w:tc>
        <w:tc>
          <w:tcPr>
            <w:tcW w:w="7229" w:type="dxa"/>
            <w:tcBorders>
              <w:top w:val="single" w:sz="4" w:space="0" w:color="FFC000" w:themeColor="accent4"/>
              <w:bottom w:val="single" w:sz="4" w:space="0" w:color="FFC000" w:themeColor="accent4"/>
            </w:tcBorders>
          </w:tcPr>
          <w:p w14:paraId="56F56B1B" w14:textId="1F625CD4" w:rsidR="004A3B6E" w:rsidRDefault="00610DFB" w:rsidP="00624AA4">
            <w:pPr>
              <w:pStyle w:val="Zwykytek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2060"/>
                <w:sz w:val="18"/>
                <w:szCs w:val="18"/>
              </w:rPr>
            </w:pPr>
            <w:r>
              <w:rPr>
                <w:rFonts w:asciiTheme="minorHAnsi" w:hAnsiTheme="minorHAnsi"/>
                <w:color w:val="002060"/>
                <w:sz w:val="18"/>
                <w:szCs w:val="18"/>
              </w:rPr>
              <w:t xml:space="preserve">Samorząd </w:t>
            </w:r>
            <w:r w:rsidR="56862DA9" w:rsidRPr="56862DA9">
              <w:rPr>
                <w:rFonts w:asciiTheme="minorHAnsi" w:hAnsiTheme="minorHAnsi"/>
                <w:color w:val="002060"/>
                <w:sz w:val="18"/>
                <w:szCs w:val="18"/>
              </w:rPr>
              <w:t>Województwa</w:t>
            </w:r>
            <w:r>
              <w:rPr>
                <w:rFonts w:asciiTheme="minorHAnsi" w:hAnsiTheme="minorHAnsi"/>
                <w:color w:val="002060"/>
                <w:sz w:val="18"/>
                <w:szCs w:val="18"/>
              </w:rPr>
              <w:t xml:space="preserve"> powinien wykazywać cechy przywódcze, zatem jego zadaniem jest wyznaczanie celów, planowanie, informowanie, inspirowanie, ocenianie, ale również motywowanie i zachęcanie oraz kontrolowanie działań realizowanych we współpracy na rzecz osiągania celów Strategii.</w:t>
            </w:r>
          </w:p>
        </w:tc>
      </w:tr>
      <w:tr w:rsidR="004A3B6E" w14:paraId="4C63E40A" w14:textId="77777777" w:rsidTr="2DB8E69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C000" w:themeColor="accent4"/>
              <w:bottom w:val="single" w:sz="4" w:space="0" w:color="FFC000" w:themeColor="accent4"/>
            </w:tcBorders>
          </w:tcPr>
          <w:p w14:paraId="3D250F6B" w14:textId="77777777" w:rsidR="004A3B6E" w:rsidRDefault="0067691E" w:rsidP="00624AA4">
            <w:pPr>
              <w:pStyle w:val="Zwykytekst"/>
              <w:rPr>
                <w:rFonts w:asciiTheme="minorHAnsi" w:hAnsiTheme="minorHAnsi"/>
                <w:color w:val="002060"/>
                <w:sz w:val="18"/>
                <w:szCs w:val="18"/>
              </w:rPr>
            </w:pPr>
            <w:r>
              <w:rPr>
                <w:rFonts w:asciiTheme="minorHAnsi" w:hAnsiTheme="minorHAnsi"/>
                <w:color w:val="002060"/>
                <w:sz w:val="18"/>
                <w:szCs w:val="18"/>
              </w:rPr>
              <w:t>Strategia rozwoju jako jeden dokument, który jest realizowany przez programy</w:t>
            </w:r>
          </w:p>
        </w:tc>
        <w:tc>
          <w:tcPr>
            <w:tcW w:w="7229" w:type="dxa"/>
            <w:tcBorders>
              <w:top w:val="single" w:sz="4" w:space="0" w:color="FFC000" w:themeColor="accent4"/>
              <w:bottom w:val="single" w:sz="4" w:space="0" w:color="FFC000" w:themeColor="accent4"/>
            </w:tcBorders>
          </w:tcPr>
          <w:p w14:paraId="51CD4F31" w14:textId="10022345" w:rsidR="004A3B6E" w:rsidRPr="00610DFB" w:rsidRDefault="00610DFB" w:rsidP="00610DFB">
            <w:pPr>
              <w:pStyle w:val="Zwykytek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18"/>
                <w:szCs w:val="18"/>
              </w:rPr>
            </w:pPr>
            <w:r w:rsidRPr="00610DFB">
              <w:rPr>
                <w:rFonts w:asciiTheme="minorHAnsi" w:hAnsiTheme="minorHAnsi"/>
                <w:color w:val="002060"/>
                <w:sz w:val="18"/>
                <w:szCs w:val="18"/>
              </w:rPr>
              <w:t>Wdr</w:t>
            </w:r>
            <w:r>
              <w:rPr>
                <w:rFonts w:asciiTheme="minorHAnsi" w:hAnsiTheme="minorHAnsi"/>
                <w:color w:val="002060"/>
                <w:sz w:val="18"/>
                <w:szCs w:val="18"/>
              </w:rPr>
              <w:t xml:space="preserve">ażanie jednej strategii jest łatwiejsze niż ta sama czynność z większą liczbą dokumentów, ponieważ pozwala skoncentrować się na rzeczach najważniejszych. Realna redukcja dokumentów strategicznych do jednego jest obecnie bardzo trudna, ponieważ albo wciąż funkcjonują ważne dokumenty z nazwą „strategia”, albo będziemy zaskakiwani „nowymi strategiami”, podobnie, jak strategią nazywany jest de facto plan zintegrowanych inwestycji terytorialnych. Jednak nie nazwa, a ułożenie relacji między dokumentami jest kluczowe. Konieczne jest zatem już na etapie budowania Strategii włączenie do procesu </w:t>
            </w:r>
            <w:r w:rsidR="56862DA9" w:rsidRPr="56862DA9">
              <w:rPr>
                <w:rFonts w:asciiTheme="minorHAnsi" w:hAnsiTheme="minorHAnsi"/>
                <w:color w:val="002060"/>
                <w:sz w:val="18"/>
                <w:szCs w:val="18"/>
              </w:rPr>
              <w:t>osób posiadających</w:t>
            </w:r>
            <w:r>
              <w:rPr>
                <w:rFonts w:asciiTheme="minorHAnsi" w:hAnsiTheme="minorHAnsi"/>
                <w:color w:val="002060"/>
                <w:sz w:val="18"/>
                <w:szCs w:val="18"/>
              </w:rPr>
              <w:t xml:space="preserve"> doświadczenie we wdrażaniu programów. W toku dyskusji należy wypracować wskaźniki łączące strategię i programy (należy założyć, że część wskaźników programów będzie narzucana np. przez administrację wyższego szczebla). </w:t>
            </w:r>
          </w:p>
        </w:tc>
      </w:tr>
      <w:tr w:rsidR="004A3B6E" w14:paraId="678A512E" w14:textId="77777777" w:rsidTr="2DB8E69A">
        <w:trPr>
          <w:trHeight w:val="222"/>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C000" w:themeColor="accent4"/>
              <w:bottom w:val="single" w:sz="4" w:space="0" w:color="FFC000" w:themeColor="accent4"/>
            </w:tcBorders>
          </w:tcPr>
          <w:p w14:paraId="2F303A49" w14:textId="77777777" w:rsidR="004A3B6E" w:rsidRDefault="0067691E" w:rsidP="0067691E">
            <w:pPr>
              <w:pStyle w:val="Zwykytekst"/>
              <w:rPr>
                <w:rFonts w:asciiTheme="minorHAnsi" w:hAnsiTheme="minorHAnsi"/>
                <w:color w:val="002060"/>
                <w:sz w:val="18"/>
                <w:szCs w:val="18"/>
              </w:rPr>
            </w:pPr>
            <w:r>
              <w:rPr>
                <w:rFonts w:asciiTheme="minorHAnsi" w:hAnsiTheme="minorHAnsi"/>
                <w:color w:val="002060"/>
                <w:sz w:val="18"/>
                <w:szCs w:val="18"/>
              </w:rPr>
              <w:lastRenderedPageBreak/>
              <w:t>Częste sprawozdania zarządcze z realizacji Strategii</w:t>
            </w:r>
          </w:p>
        </w:tc>
        <w:tc>
          <w:tcPr>
            <w:tcW w:w="7229" w:type="dxa"/>
            <w:tcBorders>
              <w:top w:val="single" w:sz="4" w:space="0" w:color="FFC000" w:themeColor="accent4"/>
              <w:bottom w:val="single" w:sz="4" w:space="0" w:color="FFC000" w:themeColor="accent4"/>
            </w:tcBorders>
          </w:tcPr>
          <w:p w14:paraId="6838D683" w14:textId="21C36A18" w:rsidR="004A3B6E" w:rsidRPr="00610DFB" w:rsidRDefault="00610DFB" w:rsidP="00847F9F">
            <w:pPr>
              <w:pStyle w:val="Zwykytek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2060"/>
                <w:sz w:val="18"/>
                <w:szCs w:val="18"/>
              </w:rPr>
            </w:pPr>
            <w:r>
              <w:rPr>
                <w:rFonts w:asciiTheme="minorHAnsi" w:hAnsiTheme="minorHAnsi"/>
                <w:color w:val="002060"/>
                <w:sz w:val="18"/>
                <w:szCs w:val="18"/>
              </w:rPr>
              <w:t xml:space="preserve">Zarząd województwa powinien otrzymywać raporty zarządcze na temat postępów w realizacji strategii, w formie krótkich syntetycznych informacji. Potrzeba takich sprawozdań powinna wynikać również z założenia, iż </w:t>
            </w:r>
            <w:r w:rsidR="56862DA9" w:rsidRPr="56862DA9">
              <w:rPr>
                <w:rFonts w:asciiTheme="minorHAnsi" w:hAnsiTheme="minorHAnsi"/>
                <w:color w:val="002060"/>
                <w:sz w:val="18"/>
                <w:szCs w:val="18"/>
              </w:rPr>
              <w:t>Strategię</w:t>
            </w:r>
            <w:r>
              <w:rPr>
                <w:rFonts w:asciiTheme="minorHAnsi" w:hAnsiTheme="minorHAnsi"/>
                <w:color w:val="002060"/>
                <w:sz w:val="18"/>
                <w:szCs w:val="18"/>
              </w:rPr>
              <w:t xml:space="preserve"> można aktualizować częściej niż raz na kilka lat.</w:t>
            </w:r>
          </w:p>
        </w:tc>
      </w:tr>
      <w:tr w:rsidR="004A3B6E" w14:paraId="6BE79B06" w14:textId="77777777" w:rsidTr="2DB8E69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C000" w:themeColor="accent4"/>
              <w:bottom w:val="single" w:sz="4" w:space="0" w:color="FFC000" w:themeColor="accent4"/>
            </w:tcBorders>
          </w:tcPr>
          <w:p w14:paraId="405939A3" w14:textId="77777777" w:rsidR="004A3B6E" w:rsidRDefault="0067691E" w:rsidP="00624AA4">
            <w:pPr>
              <w:pStyle w:val="Zwykytekst"/>
              <w:rPr>
                <w:rFonts w:asciiTheme="minorHAnsi" w:hAnsiTheme="minorHAnsi"/>
                <w:color w:val="002060"/>
                <w:sz w:val="18"/>
                <w:szCs w:val="18"/>
              </w:rPr>
            </w:pPr>
            <w:r>
              <w:rPr>
                <w:rFonts w:asciiTheme="minorHAnsi" w:hAnsiTheme="minorHAnsi"/>
                <w:color w:val="002060"/>
                <w:sz w:val="18"/>
                <w:szCs w:val="18"/>
              </w:rPr>
              <w:t>Sieciowy charakter wdrażania programów (sieci wewnętrzne)</w:t>
            </w:r>
          </w:p>
        </w:tc>
        <w:tc>
          <w:tcPr>
            <w:tcW w:w="7229" w:type="dxa"/>
            <w:tcBorders>
              <w:top w:val="single" w:sz="4" w:space="0" w:color="FFC000" w:themeColor="accent4"/>
              <w:bottom w:val="single" w:sz="4" w:space="0" w:color="FFC000" w:themeColor="accent4"/>
            </w:tcBorders>
          </w:tcPr>
          <w:p w14:paraId="3A04F995" w14:textId="77777777" w:rsidR="004A3B6E" w:rsidRPr="00610DFB" w:rsidRDefault="00610DFB" w:rsidP="00624AA4">
            <w:pPr>
              <w:pStyle w:val="Zwykytek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18"/>
                <w:szCs w:val="18"/>
              </w:rPr>
            </w:pPr>
            <w:r>
              <w:rPr>
                <w:rFonts w:asciiTheme="minorHAnsi" w:hAnsiTheme="minorHAnsi"/>
                <w:color w:val="002060"/>
                <w:sz w:val="18"/>
                <w:szCs w:val="18"/>
              </w:rPr>
              <w:t xml:space="preserve">Programy wdrażające Strategię powinny być realizowane przez struktury macierzowe, przy założeniu, że jeden z departamentów będzie przyjmował funkcję koordynatora. Tylko wymiana doświadczeń z różnych źródeł pozwoli osiągać synergię już wewnątrz Samorządu Województwa. </w:t>
            </w:r>
          </w:p>
        </w:tc>
      </w:tr>
      <w:tr w:rsidR="004A3B6E" w14:paraId="7DD3F4F2" w14:textId="77777777" w:rsidTr="2DB8E69A">
        <w:trPr>
          <w:trHeight w:val="222"/>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C000" w:themeColor="accent4"/>
              <w:bottom w:val="single" w:sz="4" w:space="0" w:color="FFC000" w:themeColor="accent4"/>
            </w:tcBorders>
          </w:tcPr>
          <w:p w14:paraId="2F33237A" w14:textId="77777777" w:rsidR="004A3B6E" w:rsidRDefault="0067691E" w:rsidP="00624AA4">
            <w:pPr>
              <w:pStyle w:val="Zwykytekst"/>
              <w:rPr>
                <w:rFonts w:asciiTheme="minorHAnsi" w:hAnsiTheme="minorHAnsi"/>
                <w:color w:val="002060"/>
                <w:sz w:val="18"/>
                <w:szCs w:val="18"/>
              </w:rPr>
            </w:pPr>
            <w:r>
              <w:rPr>
                <w:rFonts w:asciiTheme="minorHAnsi" w:hAnsiTheme="minorHAnsi"/>
                <w:color w:val="002060"/>
                <w:sz w:val="18"/>
                <w:szCs w:val="18"/>
              </w:rPr>
              <w:t>Sieciowy charakter wdrażania programów (sieci zewnętrzne regionalne)</w:t>
            </w:r>
          </w:p>
        </w:tc>
        <w:tc>
          <w:tcPr>
            <w:tcW w:w="7229" w:type="dxa"/>
            <w:tcBorders>
              <w:top w:val="single" w:sz="4" w:space="0" w:color="FFC000" w:themeColor="accent4"/>
              <w:bottom w:val="single" w:sz="4" w:space="0" w:color="FFC000" w:themeColor="accent4"/>
            </w:tcBorders>
          </w:tcPr>
          <w:p w14:paraId="57E4C12E" w14:textId="77777777" w:rsidR="004A3B6E" w:rsidRPr="00610DFB" w:rsidRDefault="00610DFB" w:rsidP="00610DFB">
            <w:pPr>
              <w:pStyle w:val="Zwykytek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2060"/>
                <w:sz w:val="18"/>
                <w:szCs w:val="18"/>
              </w:rPr>
            </w:pPr>
            <w:r>
              <w:rPr>
                <w:rFonts w:asciiTheme="minorHAnsi" w:hAnsiTheme="minorHAnsi"/>
                <w:color w:val="002060"/>
                <w:sz w:val="18"/>
                <w:szCs w:val="18"/>
              </w:rPr>
              <w:t>Proaktywne (przywódcze) podejście Samorządu Województwa do realizacji Strategii powinno przejawiać się również w działaniach mobilizujących poczwórną helisę regionu na rzecz realizacji celów rozwojowych. Współpraca sieciowa oparta o uzgodnione cele, wyznaczone zadania i rzetelną realizację będzie wzmacniała oddolny potencjał rozwojowy. Tego typu podejście zakłada wysoki poziom aktywności Samorządu Województwa, jednak jest on konieczny ze względu na zmieniające się uwarunkowania zewnętrzne i wynikającą z tej zmiany niepewność co do warunków prowadzenia polityki rozwoju.</w:t>
            </w:r>
          </w:p>
        </w:tc>
      </w:tr>
    </w:tbl>
    <w:p w14:paraId="20B44098" w14:textId="36A728B3" w:rsidR="00495AF7" w:rsidRDefault="00FA7F46" w:rsidP="003B7264">
      <w:pPr>
        <w:rPr>
          <w:sz w:val="16"/>
          <w:szCs w:val="16"/>
          <w:lang w:eastAsia="pl-PL"/>
        </w:rPr>
      </w:pPr>
      <w:r w:rsidRPr="00FA7F46">
        <w:rPr>
          <w:sz w:val="16"/>
          <w:szCs w:val="16"/>
          <w:lang w:eastAsia="pl-PL"/>
        </w:rPr>
        <w:t>Źródło: opracowanie własne.</w:t>
      </w:r>
    </w:p>
    <w:p w14:paraId="3E1EC1F7" w14:textId="77777777" w:rsidR="00495AF7" w:rsidRDefault="00495AF7" w:rsidP="00495AF7">
      <w:pPr>
        <w:pStyle w:val="Nagwek3"/>
      </w:pPr>
      <w:bookmarkStart w:id="293" w:name="_Toc536649346"/>
      <w:bookmarkStart w:id="294" w:name="_Toc536650844"/>
      <w:bookmarkStart w:id="295" w:name="_Toc1904832"/>
      <w:bookmarkStart w:id="296" w:name="_Toc5699504"/>
      <w:r>
        <w:t xml:space="preserve">Ku </w:t>
      </w:r>
      <w:r w:rsidR="007D6CEC">
        <w:t>integracji planowania strategicznego, operacyjnego i przestrzennego</w:t>
      </w:r>
      <w:bookmarkEnd w:id="293"/>
      <w:bookmarkEnd w:id="294"/>
      <w:bookmarkEnd w:id="295"/>
      <w:bookmarkEnd w:id="296"/>
    </w:p>
    <w:p w14:paraId="3D03E3CB" w14:textId="77777777" w:rsidR="00495AF7" w:rsidRPr="00BF08D5" w:rsidRDefault="00495AF7" w:rsidP="00495AF7">
      <w:pPr>
        <w:ind w:left="4536"/>
        <w:jc w:val="left"/>
        <w:rPr>
          <w:b/>
          <w:i/>
          <w:color w:val="001E50"/>
        </w:rPr>
      </w:pPr>
      <w:r w:rsidRPr="00BF08D5">
        <w:rPr>
          <w:b/>
          <w:i/>
          <w:color w:val="001E50"/>
        </w:rPr>
        <w:t>Od wielu lat zakotwiczeni jesteśmy w paradygmacie efektywności. Może to za mało?</w:t>
      </w:r>
    </w:p>
    <w:p w14:paraId="5946AC06" w14:textId="77777777" w:rsidR="00495AF7" w:rsidRPr="00CE06F2" w:rsidRDefault="00495AF7" w:rsidP="00495AF7">
      <w:pPr>
        <w:shd w:val="clear" w:color="auto" w:fill="FFE599"/>
        <w:rPr>
          <w:szCs w:val="22"/>
          <w:lang w:eastAsia="pl-PL"/>
        </w:rPr>
      </w:pPr>
      <w:r>
        <w:rPr>
          <w:szCs w:val="22"/>
          <w:lang w:eastAsia="pl-PL"/>
        </w:rPr>
        <w:t>Kolejne strategie krajowe i regionalne podejmowały problem efektywności (sprawności) administracji, co wydawało się całkiem naturalne w dobie wyzwania, jakim było wykorzystanie szansy rozwojowej związanej z naszym członkostwem w UE.</w:t>
      </w:r>
      <w:r w:rsidR="007D6CEC">
        <w:rPr>
          <w:szCs w:val="22"/>
          <w:lang w:eastAsia="pl-PL"/>
        </w:rPr>
        <w:t xml:space="preserve"> Obecnie wielkim wyzwaniem, ale też niewiadomą, są plany wprowadzenia planowania zintegrowanego.</w:t>
      </w:r>
    </w:p>
    <w:p w14:paraId="074254C0" w14:textId="77777777" w:rsidR="00495AF7" w:rsidRDefault="00495AF7" w:rsidP="00495AF7">
      <w:pPr>
        <w:rPr>
          <w:lang w:eastAsia="pl-PL"/>
        </w:rPr>
      </w:pPr>
      <w:r>
        <w:rPr>
          <w:lang w:eastAsia="pl-PL"/>
        </w:rPr>
        <w:t xml:space="preserve">Oczywiście nie można zapominać, że w trakcie ostatnich lat zrealizowano wiele ewaluacji, które formułowały rekomendacje również do całego systemu zarządzania strategicznego na poziomie kraju. Pochodną dyskusji toczących się od wielu lat są zapisy </w:t>
      </w:r>
      <w:r w:rsidRPr="00F80F27">
        <w:rPr>
          <w:i/>
          <w:lang w:eastAsia="pl-PL"/>
        </w:rPr>
        <w:t>Systemu zarządzania rozwojem Polski</w:t>
      </w:r>
      <w:r>
        <w:rPr>
          <w:lang w:eastAsia="pl-PL"/>
        </w:rPr>
        <w:t xml:space="preserve">. Część diagnostyczna zaprezentowana w przytoczonym dokumencie trafnie obrazuje słabości systemu, koncentrując się jednak wciąż na efektywności (zob. s. 12): brak instrumentów, odrębność wymiarów, nieszczelny (!) układ dokumentów, brak spójności i komplementarności działań (strategie jst </w:t>
      </w:r>
      <w:r w:rsidRPr="007D6CEC">
        <w:rPr>
          <w:i/>
          <w:lang w:eastAsia="pl-PL"/>
        </w:rPr>
        <w:t>versus</w:t>
      </w:r>
      <w:r>
        <w:rPr>
          <w:lang w:eastAsia="pl-PL"/>
        </w:rPr>
        <w:t xml:space="preserve"> strategie rządowe), zbyt rozbudowany monitoring strategii i brak systemu monitorowania zmian zagospodarowania przestrzennego, niewystarczająca rola podmiotu koordynującego, nadzorującego i spajającego to „wszystko” etc. Należy przyznać, że jeden z punktów odnosi się do współpracy, ale w oczywisty i tradycyjny sposób mówi o efektywnych mechanizmach współpracy administracji z podmiotami społecznymi i gospodarczymi (</w:t>
      </w:r>
      <w:r w:rsidR="007D6CEC">
        <w:rPr>
          <w:lang w:eastAsia="pl-PL"/>
        </w:rPr>
        <w:t xml:space="preserve">można </w:t>
      </w:r>
      <w:r>
        <w:rPr>
          <w:lang w:eastAsia="pl-PL"/>
        </w:rPr>
        <w:t>zał</w:t>
      </w:r>
      <w:r w:rsidR="007D6CEC">
        <w:rPr>
          <w:lang w:eastAsia="pl-PL"/>
        </w:rPr>
        <w:t xml:space="preserve">ożyć, </w:t>
      </w:r>
      <w:r>
        <w:rPr>
          <w:lang w:eastAsia="pl-PL"/>
        </w:rPr>
        <w:t xml:space="preserve">że przez przypadek zapomniano o współpracy na linii administracja – administracja).  </w:t>
      </w:r>
    </w:p>
    <w:p w14:paraId="16B9F2D0" w14:textId="77777777" w:rsidR="00495AF7" w:rsidRDefault="00495AF7" w:rsidP="00495AF7">
      <w:pPr>
        <w:rPr>
          <w:lang w:eastAsia="pl-PL"/>
        </w:rPr>
      </w:pPr>
      <w:r>
        <w:rPr>
          <w:lang w:eastAsia="pl-PL"/>
        </w:rPr>
        <w:t>Bazując na doświadczeniach we wdrażaniu SRWW 2020 można zauważyć dwie sprzeczne tendencje:</w:t>
      </w:r>
    </w:p>
    <w:p w14:paraId="76A4DDB7" w14:textId="14C670D9" w:rsidR="00495AF7" w:rsidRDefault="00495AF7" w:rsidP="001413B6">
      <w:pPr>
        <w:pStyle w:val="Akapitzlist"/>
        <w:numPr>
          <w:ilvl w:val="0"/>
          <w:numId w:val="57"/>
        </w:numPr>
        <w:ind w:left="426"/>
        <w:rPr>
          <w:lang w:eastAsia="pl-PL"/>
        </w:rPr>
      </w:pPr>
      <w:r>
        <w:rPr>
          <w:lang w:eastAsia="pl-PL"/>
        </w:rPr>
        <w:t>samorząd województwa chce realizować określone działania, wcześniej kierunkowo zaplanowane w SRWW 2020, gdy oczekiwania polityki krajowej i UE, a także oczekiwania szczebla lokalnego nie są literalnie takie same;</w:t>
      </w:r>
    </w:p>
    <w:p w14:paraId="2DDAB29D" w14:textId="77777777" w:rsidR="00495AF7" w:rsidRPr="001F2B75" w:rsidRDefault="00495AF7" w:rsidP="001413B6">
      <w:pPr>
        <w:pStyle w:val="Akapitzlist"/>
        <w:numPr>
          <w:ilvl w:val="0"/>
          <w:numId w:val="57"/>
        </w:numPr>
        <w:ind w:left="426"/>
        <w:rPr>
          <w:lang w:eastAsia="pl-PL"/>
        </w:rPr>
      </w:pPr>
      <w:r>
        <w:rPr>
          <w:lang w:eastAsia="pl-PL"/>
        </w:rPr>
        <w:t>samorząd województwa chce interweniować w określonych miejscach regionu i w określony sposób, jednak nie zawsze jest to odbierane na poziomie lokalnym jako interwencja w pełni trafna.</w:t>
      </w:r>
    </w:p>
    <w:p w14:paraId="3A02F1B3" w14:textId="6BC8A024" w:rsidR="00495AF7" w:rsidRDefault="00495AF7" w:rsidP="00495AF7">
      <w:pPr>
        <w:rPr>
          <w:lang w:eastAsia="pl-PL"/>
        </w:rPr>
      </w:pPr>
      <w:r>
        <w:rPr>
          <w:lang w:eastAsia="pl-PL"/>
        </w:rPr>
        <w:t>Odpowiedzią na zdecydowaną większość zdiagnozowanych problemów ma być ponownie system</w:t>
      </w:r>
      <w:r w:rsidR="007D6CEC">
        <w:rPr>
          <w:lang w:eastAsia="pl-PL"/>
        </w:rPr>
        <w:t>, którego myślą przewodnią jest integracja</w:t>
      </w:r>
      <w:r w:rsidR="003875EE">
        <w:rPr>
          <w:lang w:eastAsia="pl-PL"/>
        </w:rPr>
        <w:t xml:space="preserve">, co obrazują </w:t>
      </w:r>
      <w:r w:rsidR="007D6CEC">
        <w:rPr>
          <w:lang w:eastAsia="pl-PL"/>
        </w:rPr>
        <w:t>wypowiedziach Marszałków dziesięciu województw (</w:t>
      </w:r>
      <w:r w:rsidR="007D6CEC" w:rsidRPr="56862DA9">
        <w:fldChar w:fldCharType="begin"/>
      </w:r>
      <w:r w:rsidR="007D6CEC">
        <w:rPr>
          <w:lang w:eastAsia="pl-PL"/>
        </w:rPr>
        <w:instrText xml:space="preserve"> REF _Ref2183799 \h </w:instrText>
      </w:r>
      <w:r w:rsidR="007D6CEC" w:rsidRPr="56862DA9">
        <w:rPr>
          <w:lang w:eastAsia="pl-PL"/>
        </w:rPr>
        <w:fldChar w:fldCharType="separate"/>
      </w:r>
      <w:r w:rsidR="007F4FA2">
        <w:t xml:space="preserve">Tabela </w:t>
      </w:r>
      <w:r w:rsidR="007F4FA2">
        <w:rPr>
          <w:noProof/>
        </w:rPr>
        <w:t>25</w:t>
      </w:r>
      <w:r w:rsidR="007D6CEC" w:rsidRPr="56862DA9">
        <w:fldChar w:fldCharType="end"/>
      </w:r>
      <w:r w:rsidR="007D6CEC">
        <w:rPr>
          <w:lang w:eastAsia="pl-PL"/>
        </w:rPr>
        <w:t>)</w:t>
      </w:r>
      <w:r w:rsidR="009E7FBD">
        <w:rPr>
          <w:lang w:eastAsia="pl-PL"/>
        </w:rPr>
        <w:t xml:space="preserve">. Zdecydowana większość tych trudności powinna być rozwiązana ustawowo, w szczególności tych, które dotyczą braku precyzyjnego prawa, niedopasowania czasowego realizacji różnych dokumentów, czy też konieczności uwzględniania różnych celów w różnych typach </w:t>
      </w:r>
      <w:r w:rsidR="009E7FBD">
        <w:rPr>
          <w:lang w:eastAsia="pl-PL"/>
        </w:rPr>
        <w:lastRenderedPageBreak/>
        <w:t xml:space="preserve">dokumentów. Jednak część z sygnalizowanych problemów może być rozwiązywana na bieżąco przez same samorządy województw. Przykładowo do takich „barier” zaliczyć należy kwestię słabej współpracy, słabej komunikacji, braku odpowiedniej świadomości pracowników zajmujących się poszczególnymi dokumentami o zagadnieniach istotnych z punktu widzenia innych dokumentów. Także kwestia organizacyjna (różne komórki zajmujące się planowaniem strategicznym, operacyjnym i przestrzennym) jest już rozwiązywana, tzn. w części województw włączono biura planowania w struktury urzędów marszałkowskich, a nawet wcielono je w struktury konkretnych departamentów. </w:t>
      </w:r>
    </w:p>
    <w:p w14:paraId="1DFF3081" w14:textId="7A17FDAA" w:rsidR="00495AF7" w:rsidRDefault="00495AF7" w:rsidP="00495AF7">
      <w:pPr>
        <w:pStyle w:val="Legenda"/>
        <w:keepNext/>
      </w:pPr>
      <w:bookmarkStart w:id="297" w:name="_Ref2183799"/>
      <w:bookmarkStart w:id="298" w:name="_Toc5699558"/>
      <w:r>
        <w:t xml:space="preserve">Tabela </w:t>
      </w:r>
      <w:r w:rsidRPr="69901DB0">
        <w:fldChar w:fldCharType="begin"/>
      </w:r>
      <w:r>
        <w:rPr>
          <w:noProof/>
        </w:rPr>
        <w:instrText xml:space="preserve"> SEQ Tabela \* ARABIC </w:instrText>
      </w:r>
      <w:r w:rsidRPr="69901DB0">
        <w:rPr>
          <w:noProof/>
        </w:rPr>
        <w:fldChar w:fldCharType="separate"/>
      </w:r>
      <w:r w:rsidR="007F4FA2">
        <w:rPr>
          <w:noProof/>
        </w:rPr>
        <w:t>25</w:t>
      </w:r>
      <w:r w:rsidRPr="69901DB0">
        <w:fldChar w:fldCharType="end"/>
      </w:r>
      <w:bookmarkEnd w:id="297"/>
      <w:r>
        <w:t xml:space="preserve">. </w:t>
      </w:r>
      <w:r w:rsidR="007D6CEC">
        <w:t>Kluczowe problemy na styku różnych systemów planowania</w:t>
      </w:r>
      <w:r w:rsidR="00895F62">
        <w:t xml:space="preserve"> – opinie marszałków województw</w:t>
      </w:r>
      <w:bookmarkEnd w:id="298"/>
    </w:p>
    <w:tbl>
      <w:tblPr>
        <w:tblStyle w:val="Zwykatabela2"/>
        <w:tblW w:w="9072" w:type="dxa"/>
        <w:tblBorders>
          <w:insideH w:val="single" w:sz="4" w:space="0" w:color="FFFFFF" w:themeColor="background1" w:themeTint="00" w:themeShade="7F"/>
        </w:tblBorders>
        <w:tblLook w:val="04A0" w:firstRow="1" w:lastRow="0" w:firstColumn="1" w:lastColumn="0" w:noHBand="0" w:noVBand="1"/>
        <w:tblCaption w:val="Tabela 24. Kluczowe problemy na styku różnych systemów planowania "/>
        <w:tblDescription w:val="Tabela przedstawia problemy na styku planowania: &#10;strategicznego i operacyjnego, strategicznego i przestrzennego oraz przestrzennego i operacyjnego.&#10;&#10;"/>
      </w:tblPr>
      <w:tblGrid>
        <w:gridCol w:w="2977"/>
        <w:gridCol w:w="3260"/>
        <w:gridCol w:w="2835"/>
      </w:tblGrid>
      <w:tr w:rsidR="00A963A0" w14:paraId="7B322DD8" w14:textId="77777777" w:rsidTr="003B7264">
        <w:trPr>
          <w:cnfStyle w:val="100000000000" w:firstRow="1" w:lastRow="0" w:firstColumn="0" w:lastColumn="0" w:oddVBand="0" w:evenVBand="0" w:oddHBand="0" w:evenHBand="0" w:firstRowFirstColumn="0" w:firstRowLastColumn="0" w:lastRowFirstColumn="0" w:lastRowLastColumn="0"/>
          <w:trHeight w:val="427"/>
          <w:tblHeader/>
        </w:trPr>
        <w:tc>
          <w:tcPr>
            <w:cnfStyle w:val="001000000000" w:firstRow="0" w:lastRow="0" w:firstColumn="1" w:lastColumn="0" w:oddVBand="0" w:evenVBand="0" w:oddHBand="0" w:evenHBand="0" w:firstRowFirstColumn="0" w:firstRowLastColumn="0" w:lastRowFirstColumn="0" w:lastRowLastColumn="0"/>
            <w:tcW w:w="9072" w:type="dxa"/>
            <w:gridSpan w:val="3"/>
            <w:tcBorders>
              <w:top w:val="nil"/>
              <w:bottom w:val="nil"/>
            </w:tcBorders>
            <w:shd w:val="clear" w:color="auto" w:fill="F6BB00"/>
            <w:vAlign w:val="center"/>
          </w:tcPr>
          <w:p w14:paraId="61F47B7C" w14:textId="77777777" w:rsidR="00A963A0" w:rsidRDefault="00A963A0" w:rsidP="00495AF7">
            <w:pPr>
              <w:pStyle w:val="Zwykytekst"/>
              <w:jc w:val="center"/>
              <w:rPr>
                <w:rFonts w:asciiTheme="minorHAnsi" w:hAnsiTheme="minorHAnsi"/>
                <w:color w:val="002060"/>
                <w:sz w:val="20"/>
              </w:rPr>
            </w:pPr>
            <w:r>
              <w:rPr>
                <w:rFonts w:asciiTheme="minorHAnsi" w:hAnsiTheme="minorHAnsi"/>
                <w:color w:val="002060"/>
                <w:sz w:val="20"/>
              </w:rPr>
              <w:t>Problemy na styku planowania:</w:t>
            </w:r>
          </w:p>
        </w:tc>
      </w:tr>
      <w:tr w:rsidR="00A963A0" w14:paraId="463EA582" w14:textId="77777777" w:rsidTr="003B7264">
        <w:trPr>
          <w:cnfStyle w:val="100000000000" w:firstRow="1" w:lastRow="0" w:firstColumn="0" w:lastColumn="0" w:oddVBand="0" w:evenVBand="0" w:oddHBand="0" w:evenHBand="0" w:firstRowFirstColumn="0" w:firstRowLastColumn="0" w:lastRowFirstColumn="0" w:lastRowLastColumn="0"/>
          <w:trHeight w:val="427"/>
          <w:tblHead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F6BB00"/>
            <w:vAlign w:val="center"/>
          </w:tcPr>
          <w:p w14:paraId="4F15A397" w14:textId="77777777" w:rsidR="00A963A0" w:rsidRPr="00A65C3A" w:rsidRDefault="00A963A0" w:rsidP="00495AF7">
            <w:pPr>
              <w:pStyle w:val="Zwykytekst"/>
              <w:jc w:val="center"/>
              <w:rPr>
                <w:rFonts w:asciiTheme="minorHAnsi" w:hAnsiTheme="minorHAnsi" w:cs="Consolas"/>
                <w:color w:val="002060"/>
                <w:sz w:val="20"/>
              </w:rPr>
            </w:pPr>
            <w:r>
              <w:rPr>
                <w:rFonts w:asciiTheme="minorHAnsi" w:hAnsiTheme="minorHAnsi" w:cs="Consolas"/>
                <w:color w:val="002060"/>
                <w:sz w:val="20"/>
              </w:rPr>
              <w:t>strategicznego i operacyjnego</w:t>
            </w:r>
          </w:p>
        </w:tc>
        <w:tc>
          <w:tcPr>
            <w:tcW w:w="3260" w:type="dxa"/>
            <w:tcBorders>
              <w:top w:val="nil"/>
              <w:bottom w:val="nil"/>
            </w:tcBorders>
            <w:shd w:val="clear" w:color="auto" w:fill="F6BB00"/>
            <w:vAlign w:val="center"/>
          </w:tcPr>
          <w:p w14:paraId="0C31B5E5" w14:textId="77777777" w:rsidR="00A963A0" w:rsidRPr="00895F62" w:rsidRDefault="00A963A0" w:rsidP="00495AF7">
            <w:pPr>
              <w:pStyle w:val="Zwykytek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2060"/>
                <w:sz w:val="20"/>
              </w:rPr>
            </w:pPr>
            <w:r w:rsidRPr="00895F62">
              <w:rPr>
                <w:rFonts w:asciiTheme="minorHAnsi" w:hAnsiTheme="minorHAnsi"/>
                <w:color w:val="002060"/>
                <w:sz w:val="20"/>
              </w:rPr>
              <w:t>strategicznego i przestrzennego</w:t>
            </w:r>
          </w:p>
        </w:tc>
        <w:tc>
          <w:tcPr>
            <w:tcW w:w="2835" w:type="dxa"/>
            <w:tcBorders>
              <w:top w:val="nil"/>
              <w:bottom w:val="nil"/>
            </w:tcBorders>
            <w:shd w:val="clear" w:color="auto" w:fill="F6BB00"/>
            <w:vAlign w:val="center"/>
          </w:tcPr>
          <w:p w14:paraId="6A1BC417" w14:textId="77777777" w:rsidR="00A963A0" w:rsidRPr="00895F62" w:rsidRDefault="00A963A0" w:rsidP="00495AF7">
            <w:pPr>
              <w:pStyle w:val="Zwykytek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2060"/>
                <w:sz w:val="20"/>
              </w:rPr>
            </w:pPr>
            <w:r w:rsidRPr="00895F62">
              <w:rPr>
                <w:rFonts w:asciiTheme="minorHAnsi" w:hAnsiTheme="minorHAnsi"/>
                <w:color w:val="002060"/>
                <w:sz w:val="20"/>
              </w:rPr>
              <w:t>przestrzennego i operacyjnego</w:t>
            </w:r>
          </w:p>
        </w:tc>
      </w:tr>
      <w:tr w:rsidR="00495AF7" w14:paraId="5314EB26" w14:textId="77777777" w:rsidTr="24FB7F3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977" w:type="dxa"/>
            <w:tcBorders>
              <w:top w:val="nil"/>
              <w:bottom w:val="single" w:sz="4" w:space="0" w:color="FFC000" w:themeColor="accent4"/>
            </w:tcBorders>
          </w:tcPr>
          <w:p w14:paraId="6C604F6E" w14:textId="77777777" w:rsidR="00495AF7" w:rsidRPr="002814FD" w:rsidRDefault="002814FD" w:rsidP="002814FD">
            <w:pPr>
              <w:pStyle w:val="Zwykytekst"/>
              <w:rPr>
                <w:rFonts w:asciiTheme="minorHAnsi" w:hAnsiTheme="minorHAnsi"/>
                <w:b w:val="0"/>
                <w:color w:val="002060"/>
                <w:sz w:val="18"/>
                <w:szCs w:val="18"/>
              </w:rPr>
            </w:pPr>
            <w:r w:rsidRPr="002814FD">
              <w:rPr>
                <w:rFonts w:asciiTheme="minorHAnsi" w:hAnsiTheme="minorHAnsi"/>
                <w:b w:val="0"/>
                <w:color w:val="002060"/>
                <w:sz w:val="18"/>
                <w:szCs w:val="18"/>
              </w:rPr>
              <w:t>problem braku precyzyjnych uwarunkowań prawnych</w:t>
            </w:r>
          </w:p>
        </w:tc>
        <w:tc>
          <w:tcPr>
            <w:tcW w:w="3260" w:type="dxa"/>
            <w:tcBorders>
              <w:top w:val="nil"/>
              <w:bottom w:val="single" w:sz="4" w:space="0" w:color="FFC000" w:themeColor="accent4"/>
            </w:tcBorders>
          </w:tcPr>
          <w:p w14:paraId="45D41BAF" w14:textId="77777777" w:rsidR="00495AF7" w:rsidRPr="002814FD" w:rsidRDefault="002814FD" w:rsidP="00495AF7">
            <w:pPr>
              <w:pStyle w:val="Zwykytek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18"/>
                <w:szCs w:val="18"/>
              </w:rPr>
            </w:pPr>
            <w:r>
              <w:rPr>
                <w:rFonts w:asciiTheme="minorHAnsi" w:hAnsiTheme="minorHAnsi"/>
                <w:color w:val="002060"/>
                <w:sz w:val="18"/>
                <w:szCs w:val="18"/>
              </w:rPr>
              <w:t>różne ramy prawne i niepewność co do wymogów prawnych</w:t>
            </w:r>
          </w:p>
        </w:tc>
        <w:tc>
          <w:tcPr>
            <w:tcW w:w="2835" w:type="dxa"/>
            <w:tcBorders>
              <w:top w:val="nil"/>
              <w:bottom w:val="single" w:sz="4" w:space="0" w:color="FFC000" w:themeColor="accent4"/>
            </w:tcBorders>
          </w:tcPr>
          <w:p w14:paraId="7536D1A0" w14:textId="77777777" w:rsidR="00495AF7" w:rsidRPr="002814FD" w:rsidRDefault="002814FD" w:rsidP="00495AF7">
            <w:pPr>
              <w:pStyle w:val="Zwykytek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18"/>
                <w:szCs w:val="18"/>
              </w:rPr>
            </w:pPr>
            <w:r>
              <w:rPr>
                <w:rFonts w:asciiTheme="minorHAnsi" w:hAnsiTheme="minorHAnsi"/>
                <w:color w:val="002060"/>
                <w:sz w:val="18"/>
                <w:szCs w:val="18"/>
              </w:rPr>
              <w:t>brak powiązania prawnego i brak określenia roli planowania przestrzennego w zarządzaniu</w:t>
            </w:r>
          </w:p>
        </w:tc>
      </w:tr>
      <w:tr w:rsidR="00495AF7" w14:paraId="2A9B7E80" w14:textId="77777777" w:rsidTr="24FB7F3A">
        <w:trPr>
          <w:trHeight w:val="222"/>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FFC000" w:themeColor="accent4"/>
              <w:bottom w:val="single" w:sz="4" w:space="0" w:color="FFC000" w:themeColor="accent4"/>
            </w:tcBorders>
          </w:tcPr>
          <w:p w14:paraId="648DECBD" w14:textId="77777777" w:rsidR="00495AF7" w:rsidRPr="002814FD" w:rsidRDefault="002814FD" w:rsidP="00495AF7">
            <w:pPr>
              <w:pStyle w:val="Zwykytekst"/>
              <w:rPr>
                <w:rFonts w:asciiTheme="minorHAnsi" w:hAnsiTheme="minorHAnsi"/>
                <w:b w:val="0"/>
                <w:color w:val="002060"/>
                <w:sz w:val="18"/>
                <w:szCs w:val="18"/>
              </w:rPr>
            </w:pPr>
            <w:r w:rsidRPr="002814FD">
              <w:rPr>
                <w:rFonts w:asciiTheme="minorHAnsi" w:hAnsiTheme="minorHAnsi"/>
                <w:b w:val="0"/>
                <w:color w:val="002060"/>
                <w:sz w:val="18"/>
                <w:szCs w:val="18"/>
              </w:rPr>
              <w:t>„wszystko jest ważne”</w:t>
            </w:r>
          </w:p>
        </w:tc>
        <w:tc>
          <w:tcPr>
            <w:tcW w:w="3260" w:type="dxa"/>
            <w:tcBorders>
              <w:top w:val="single" w:sz="4" w:space="0" w:color="FFC000" w:themeColor="accent4"/>
              <w:bottom w:val="single" w:sz="4" w:space="0" w:color="FFC000" w:themeColor="accent4"/>
            </w:tcBorders>
          </w:tcPr>
          <w:p w14:paraId="33C009FE" w14:textId="77777777" w:rsidR="00495AF7" w:rsidRPr="002814FD" w:rsidRDefault="002814FD" w:rsidP="00495AF7">
            <w:pPr>
              <w:pStyle w:val="Zwykytek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2060"/>
                <w:sz w:val="18"/>
                <w:szCs w:val="18"/>
              </w:rPr>
            </w:pPr>
            <w:r>
              <w:rPr>
                <w:rFonts w:asciiTheme="minorHAnsi" w:hAnsiTheme="minorHAnsi"/>
                <w:color w:val="002060"/>
                <w:sz w:val="18"/>
                <w:szCs w:val="18"/>
              </w:rPr>
              <w:t>dublowanie zapisów</w:t>
            </w:r>
          </w:p>
        </w:tc>
        <w:tc>
          <w:tcPr>
            <w:tcW w:w="2835" w:type="dxa"/>
            <w:tcBorders>
              <w:top w:val="single" w:sz="4" w:space="0" w:color="FFC000" w:themeColor="accent4"/>
              <w:bottom w:val="single" w:sz="4" w:space="0" w:color="FFC000" w:themeColor="accent4"/>
            </w:tcBorders>
          </w:tcPr>
          <w:p w14:paraId="694C2E5C" w14:textId="77777777" w:rsidR="00495AF7" w:rsidRPr="002814FD" w:rsidRDefault="002814FD" w:rsidP="00495AF7">
            <w:pPr>
              <w:pStyle w:val="Zwykytek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2060"/>
                <w:sz w:val="18"/>
                <w:szCs w:val="18"/>
              </w:rPr>
            </w:pPr>
            <w:r>
              <w:rPr>
                <w:rFonts w:asciiTheme="minorHAnsi" w:hAnsiTheme="minorHAnsi"/>
                <w:color w:val="002060"/>
                <w:sz w:val="18"/>
                <w:szCs w:val="18"/>
              </w:rPr>
              <w:t>różne cele i odmienne metodologie</w:t>
            </w:r>
            <w:r w:rsidR="009E7FBD">
              <w:rPr>
                <w:rFonts w:asciiTheme="minorHAnsi" w:hAnsiTheme="minorHAnsi"/>
                <w:color w:val="002060"/>
                <w:sz w:val="18"/>
                <w:szCs w:val="18"/>
              </w:rPr>
              <w:t xml:space="preserve"> – planowanie operacyjne słabo stosuje terytorializację</w:t>
            </w:r>
          </w:p>
        </w:tc>
      </w:tr>
      <w:tr w:rsidR="002814FD" w14:paraId="5A3441DD" w14:textId="77777777" w:rsidTr="24FB7F3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FFC000" w:themeColor="accent4"/>
              <w:bottom w:val="single" w:sz="4" w:space="0" w:color="FFC000" w:themeColor="accent4"/>
            </w:tcBorders>
          </w:tcPr>
          <w:p w14:paraId="2A50D0BD" w14:textId="77777777" w:rsidR="002814FD" w:rsidRPr="002814FD" w:rsidRDefault="002814FD" w:rsidP="002814FD">
            <w:pPr>
              <w:pStyle w:val="Zwykytekst"/>
              <w:rPr>
                <w:rFonts w:asciiTheme="minorHAnsi" w:hAnsiTheme="minorHAnsi"/>
                <w:b w:val="0"/>
                <w:color w:val="002060"/>
                <w:sz w:val="18"/>
                <w:szCs w:val="18"/>
              </w:rPr>
            </w:pPr>
            <w:r w:rsidRPr="002814FD">
              <w:rPr>
                <w:rFonts w:asciiTheme="minorHAnsi" w:hAnsiTheme="minorHAnsi"/>
                <w:b w:val="0"/>
                <w:color w:val="002060"/>
                <w:sz w:val="18"/>
                <w:szCs w:val="18"/>
              </w:rPr>
              <w:t>dominacja celów unijnych nad potrzebami regionów i „odwrotność planowania”</w:t>
            </w:r>
          </w:p>
        </w:tc>
        <w:tc>
          <w:tcPr>
            <w:tcW w:w="3260" w:type="dxa"/>
            <w:tcBorders>
              <w:top w:val="single" w:sz="4" w:space="0" w:color="FFC000" w:themeColor="accent4"/>
              <w:bottom w:val="single" w:sz="4" w:space="0" w:color="FFC000" w:themeColor="accent4"/>
            </w:tcBorders>
          </w:tcPr>
          <w:p w14:paraId="7964AD23" w14:textId="77777777" w:rsidR="002814FD" w:rsidRPr="002814FD" w:rsidRDefault="002814FD" w:rsidP="002814FD">
            <w:pPr>
              <w:pStyle w:val="Zwykytek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18"/>
                <w:szCs w:val="18"/>
              </w:rPr>
            </w:pPr>
            <w:r>
              <w:rPr>
                <w:rFonts w:asciiTheme="minorHAnsi" w:hAnsiTheme="minorHAnsi"/>
                <w:color w:val="002060"/>
                <w:sz w:val="18"/>
                <w:szCs w:val="18"/>
              </w:rPr>
              <w:t>słabe uwzględnianie ustaleń Strategii w planach i vice versa</w:t>
            </w:r>
          </w:p>
        </w:tc>
        <w:tc>
          <w:tcPr>
            <w:tcW w:w="2835" w:type="dxa"/>
            <w:tcBorders>
              <w:top w:val="single" w:sz="4" w:space="0" w:color="FFC000" w:themeColor="accent4"/>
              <w:bottom w:val="single" w:sz="4" w:space="0" w:color="FFC000" w:themeColor="accent4"/>
            </w:tcBorders>
          </w:tcPr>
          <w:p w14:paraId="265306AF" w14:textId="77777777" w:rsidR="002814FD" w:rsidRPr="002814FD" w:rsidRDefault="002814FD" w:rsidP="002814FD">
            <w:pPr>
              <w:pStyle w:val="Zwykytek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18"/>
                <w:szCs w:val="18"/>
              </w:rPr>
            </w:pPr>
            <w:r>
              <w:rPr>
                <w:rFonts w:asciiTheme="minorHAnsi" w:hAnsiTheme="minorHAnsi"/>
                <w:color w:val="002060"/>
                <w:sz w:val="18"/>
                <w:szCs w:val="18"/>
              </w:rPr>
              <w:t>brak przełożenia terytorialnego w określaniu celów operacyjnych</w:t>
            </w:r>
          </w:p>
        </w:tc>
      </w:tr>
      <w:tr w:rsidR="002814FD" w14:paraId="45546873" w14:textId="77777777" w:rsidTr="24FB7F3A">
        <w:trPr>
          <w:trHeight w:val="222"/>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FFC000" w:themeColor="accent4"/>
              <w:bottom w:val="single" w:sz="4" w:space="0" w:color="FFC000" w:themeColor="accent4"/>
            </w:tcBorders>
          </w:tcPr>
          <w:p w14:paraId="21CF9068" w14:textId="77777777" w:rsidR="002814FD" w:rsidRPr="002814FD" w:rsidRDefault="002814FD" w:rsidP="002814FD">
            <w:pPr>
              <w:pStyle w:val="Zwykytekst"/>
              <w:rPr>
                <w:rFonts w:asciiTheme="minorHAnsi" w:hAnsiTheme="minorHAnsi"/>
                <w:b w:val="0"/>
                <w:color w:val="002060"/>
                <w:sz w:val="18"/>
                <w:szCs w:val="18"/>
              </w:rPr>
            </w:pPr>
            <w:r w:rsidRPr="002814FD">
              <w:rPr>
                <w:rFonts w:asciiTheme="minorHAnsi" w:hAnsiTheme="minorHAnsi"/>
                <w:b w:val="0"/>
                <w:color w:val="002060"/>
                <w:sz w:val="18"/>
                <w:szCs w:val="18"/>
              </w:rPr>
              <w:t>słabość finansowa – brak środków na realizację celów, uzależnienie od środków zewnętrznych</w:t>
            </w:r>
          </w:p>
        </w:tc>
        <w:tc>
          <w:tcPr>
            <w:tcW w:w="3260" w:type="dxa"/>
            <w:tcBorders>
              <w:top w:val="single" w:sz="4" w:space="0" w:color="FFC000" w:themeColor="accent4"/>
              <w:bottom w:val="single" w:sz="4" w:space="0" w:color="FFC000" w:themeColor="accent4"/>
            </w:tcBorders>
          </w:tcPr>
          <w:p w14:paraId="32E3A672" w14:textId="77777777" w:rsidR="002814FD" w:rsidRPr="002814FD" w:rsidRDefault="002814FD" w:rsidP="002814FD">
            <w:pPr>
              <w:pStyle w:val="Zwykytek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2060"/>
                <w:sz w:val="18"/>
                <w:szCs w:val="18"/>
              </w:rPr>
            </w:pPr>
            <w:r>
              <w:rPr>
                <w:rFonts w:asciiTheme="minorHAnsi" w:hAnsiTheme="minorHAnsi"/>
                <w:color w:val="002060"/>
                <w:sz w:val="18"/>
                <w:szCs w:val="18"/>
              </w:rPr>
              <w:t>odmienność czasowa przygotowania dokumentów</w:t>
            </w:r>
          </w:p>
        </w:tc>
        <w:tc>
          <w:tcPr>
            <w:tcW w:w="2835" w:type="dxa"/>
            <w:tcBorders>
              <w:top w:val="single" w:sz="4" w:space="0" w:color="FFC000" w:themeColor="accent4"/>
              <w:bottom w:val="single" w:sz="4" w:space="0" w:color="FFC000" w:themeColor="accent4"/>
            </w:tcBorders>
          </w:tcPr>
          <w:p w14:paraId="627533E3" w14:textId="77777777" w:rsidR="002814FD" w:rsidRPr="002814FD" w:rsidRDefault="002814FD" w:rsidP="002814FD">
            <w:pPr>
              <w:pStyle w:val="Zwykytek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2060"/>
                <w:sz w:val="18"/>
                <w:szCs w:val="18"/>
              </w:rPr>
            </w:pPr>
            <w:r>
              <w:rPr>
                <w:rFonts w:asciiTheme="minorHAnsi" w:hAnsiTheme="minorHAnsi"/>
                <w:color w:val="002060"/>
                <w:sz w:val="18"/>
                <w:szCs w:val="18"/>
              </w:rPr>
              <w:t>różna optyka czasowa</w:t>
            </w:r>
            <w:r w:rsidR="009E7FBD">
              <w:rPr>
                <w:rFonts w:asciiTheme="minorHAnsi" w:hAnsiTheme="minorHAnsi"/>
                <w:color w:val="002060"/>
                <w:sz w:val="18"/>
                <w:szCs w:val="18"/>
              </w:rPr>
              <w:t>, czas potrzebny na realizację planów przestrzennych</w:t>
            </w:r>
          </w:p>
        </w:tc>
      </w:tr>
      <w:tr w:rsidR="002814FD" w14:paraId="6620BAE0" w14:textId="77777777" w:rsidTr="24FB7F3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FFC000" w:themeColor="accent4"/>
              <w:bottom w:val="single" w:sz="4" w:space="0" w:color="FFC000" w:themeColor="accent4"/>
            </w:tcBorders>
          </w:tcPr>
          <w:p w14:paraId="5237ED93" w14:textId="77777777" w:rsidR="002814FD" w:rsidRPr="002814FD" w:rsidRDefault="002814FD" w:rsidP="002814FD">
            <w:pPr>
              <w:pStyle w:val="Zwykytekst"/>
              <w:rPr>
                <w:rFonts w:asciiTheme="minorHAnsi" w:hAnsiTheme="minorHAnsi"/>
                <w:b w:val="0"/>
                <w:color w:val="002060"/>
                <w:sz w:val="18"/>
                <w:szCs w:val="18"/>
              </w:rPr>
            </w:pPr>
            <w:r w:rsidRPr="002814FD">
              <w:rPr>
                <w:rFonts w:asciiTheme="minorHAnsi" w:hAnsiTheme="minorHAnsi"/>
                <w:b w:val="0"/>
                <w:color w:val="002060"/>
                <w:sz w:val="18"/>
                <w:szCs w:val="18"/>
              </w:rPr>
              <w:t>problem realizacji inwestycji rządowych w regionach</w:t>
            </w:r>
          </w:p>
        </w:tc>
        <w:tc>
          <w:tcPr>
            <w:tcW w:w="3260" w:type="dxa"/>
            <w:tcBorders>
              <w:top w:val="single" w:sz="4" w:space="0" w:color="FFC000" w:themeColor="accent4"/>
              <w:bottom w:val="single" w:sz="4" w:space="0" w:color="FFC000" w:themeColor="accent4"/>
            </w:tcBorders>
          </w:tcPr>
          <w:p w14:paraId="46A20C86" w14:textId="77777777" w:rsidR="002814FD" w:rsidRPr="002814FD" w:rsidRDefault="002814FD" w:rsidP="002814FD">
            <w:pPr>
              <w:pStyle w:val="Zwykytek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18"/>
                <w:szCs w:val="18"/>
              </w:rPr>
            </w:pPr>
            <w:r>
              <w:rPr>
                <w:rFonts w:asciiTheme="minorHAnsi" w:hAnsiTheme="minorHAnsi"/>
                <w:color w:val="002060"/>
                <w:sz w:val="18"/>
                <w:szCs w:val="18"/>
              </w:rPr>
              <w:t>różne zasady (selektywność vs. kompleksowość)</w:t>
            </w:r>
          </w:p>
        </w:tc>
        <w:tc>
          <w:tcPr>
            <w:tcW w:w="2835" w:type="dxa"/>
            <w:tcBorders>
              <w:top w:val="single" w:sz="4" w:space="0" w:color="FFC000" w:themeColor="accent4"/>
              <w:bottom w:val="single" w:sz="4" w:space="0" w:color="FFC000" w:themeColor="accent4"/>
            </w:tcBorders>
          </w:tcPr>
          <w:p w14:paraId="51C74EA4" w14:textId="77777777" w:rsidR="002814FD" w:rsidRPr="002814FD" w:rsidRDefault="009E7FBD" w:rsidP="002814FD">
            <w:pPr>
              <w:pStyle w:val="Zwykytek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18"/>
                <w:szCs w:val="18"/>
              </w:rPr>
            </w:pPr>
            <w:r>
              <w:rPr>
                <w:rFonts w:asciiTheme="minorHAnsi" w:hAnsiTheme="minorHAnsi"/>
                <w:color w:val="002060"/>
                <w:sz w:val="18"/>
                <w:szCs w:val="18"/>
              </w:rPr>
              <w:t>ingerencja polityczna</w:t>
            </w:r>
          </w:p>
        </w:tc>
      </w:tr>
      <w:tr w:rsidR="002814FD" w14:paraId="66F3FE23" w14:textId="77777777" w:rsidTr="24FB7F3A">
        <w:trPr>
          <w:trHeight w:val="222"/>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FFC000" w:themeColor="accent4"/>
              <w:bottom w:val="single" w:sz="4" w:space="0" w:color="FFC000" w:themeColor="accent4"/>
            </w:tcBorders>
          </w:tcPr>
          <w:p w14:paraId="10AE004A" w14:textId="77777777" w:rsidR="002814FD" w:rsidRPr="002814FD" w:rsidRDefault="002814FD" w:rsidP="002814FD">
            <w:pPr>
              <w:pStyle w:val="Zwykytekst"/>
              <w:rPr>
                <w:rFonts w:asciiTheme="minorHAnsi" w:hAnsiTheme="minorHAnsi"/>
                <w:b w:val="0"/>
                <w:color w:val="002060"/>
                <w:sz w:val="18"/>
                <w:szCs w:val="18"/>
              </w:rPr>
            </w:pPr>
            <w:r w:rsidRPr="002814FD">
              <w:rPr>
                <w:rFonts w:asciiTheme="minorHAnsi" w:hAnsiTheme="minorHAnsi"/>
                <w:b w:val="0"/>
                <w:color w:val="002060"/>
                <w:sz w:val="18"/>
                <w:szCs w:val="18"/>
              </w:rPr>
              <w:t>silosowość administracji</w:t>
            </w:r>
          </w:p>
        </w:tc>
        <w:tc>
          <w:tcPr>
            <w:tcW w:w="3260" w:type="dxa"/>
            <w:tcBorders>
              <w:top w:val="single" w:sz="4" w:space="0" w:color="FFC000" w:themeColor="accent4"/>
              <w:bottom w:val="single" w:sz="4" w:space="0" w:color="FFC000" w:themeColor="accent4"/>
            </w:tcBorders>
          </w:tcPr>
          <w:p w14:paraId="7E4DD359" w14:textId="77777777" w:rsidR="002814FD" w:rsidRPr="002814FD" w:rsidRDefault="002814FD" w:rsidP="002814FD">
            <w:pPr>
              <w:pStyle w:val="Zwykytek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2060"/>
                <w:sz w:val="18"/>
                <w:szCs w:val="18"/>
              </w:rPr>
            </w:pPr>
            <w:r>
              <w:rPr>
                <w:rFonts w:asciiTheme="minorHAnsi" w:hAnsiTheme="minorHAnsi"/>
                <w:color w:val="002060"/>
                <w:sz w:val="18"/>
                <w:szCs w:val="18"/>
              </w:rPr>
              <w:t>różne systemy realizacji, procedury, akty prawne</w:t>
            </w:r>
          </w:p>
        </w:tc>
        <w:tc>
          <w:tcPr>
            <w:tcW w:w="2835" w:type="dxa"/>
            <w:tcBorders>
              <w:top w:val="single" w:sz="4" w:space="0" w:color="FFC000" w:themeColor="accent4"/>
              <w:bottom w:val="single" w:sz="4" w:space="0" w:color="FFC000" w:themeColor="accent4"/>
            </w:tcBorders>
          </w:tcPr>
          <w:p w14:paraId="0AB1ED94" w14:textId="77777777" w:rsidR="002814FD" w:rsidRPr="002814FD" w:rsidRDefault="002814FD" w:rsidP="002814FD">
            <w:pPr>
              <w:pStyle w:val="Zwykytek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2060"/>
                <w:sz w:val="18"/>
                <w:szCs w:val="18"/>
              </w:rPr>
            </w:pPr>
          </w:p>
        </w:tc>
      </w:tr>
      <w:tr w:rsidR="002814FD" w14:paraId="669E4C80" w14:textId="77777777" w:rsidTr="24FB7F3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FFC000" w:themeColor="accent4"/>
              <w:bottom w:val="single" w:sz="4" w:space="0" w:color="FFC000" w:themeColor="accent4"/>
            </w:tcBorders>
          </w:tcPr>
          <w:p w14:paraId="39696779" w14:textId="77777777" w:rsidR="002814FD" w:rsidRPr="002814FD" w:rsidRDefault="002814FD" w:rsidP="002814FD">
            <w:pPr>
              <w:pStyle w:val="Zwykytekst"/>
              <w:rPr>
                <w:rFonts w:asciiTheme="minorHAnsi" w:hAnsiTheme="minorHAnsi"/>
                <w:b w:val="0"/>
                <w:color w:val="002060"/>
                <w:sz w:val="18"/>
                <w:szCs w:val="18"/>
              </w:rPr>
            </w:pPr>
            <w:r w:rsidRPr="002814FD">
              <w:rPr>
                <w:rFonts w:asciiTheme="minorHAnsi" w:hAnsiTheme="minorHAnsi"/>
                <w:b w:val="0"/>
                <w:color w:val="002060"/>
                <w:sz w:val="18"/>
                <w:szCs w:val="18"/>
              </w:rPr>
              <w:t>słaba współpraca</w:t>
            </w:r>
          </w:p>
        </w:tc>
        <w:tc>
          <w:tcPr>
            <w:tcW w:w="3260" w:type="dxa"/>
            <w:tcBorders>
              <w:top w:val="single" w:sz="4" w:space="0" w:color="FFC000" w:themeColor="accent4"/>
              <w:bottom w:val="single" w:sz="4" w:space="0" w:color="FFC000" w:themeColor="accent4"/>
            </w:tcBorders>
          </w:tcPr>
          <w:p w14:paraId="1BB34FDF" w14:textId="77777777" w:rsidR="002814FD" w:rsidRPr="002814FD" w:rsidRDefault="002814FD" w:rsidP="002814FD">
            <w:pPr>
              <w:pStyle w:val="Zwykytek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18"/>
                <w:szCs w:val="18"/>
              </w:rPr>
            </w:pPr>
            <w:r>
              <w:rPr>
                <w:rFonts w:asciiTheme="minorHAnsi" w:hAnsiTheme="minorHAnsi"/>
                <w:color w:val="002060"/>
                <w:sz w:val="18"/>
                <w:szCs w:val="18"/>
              </w:rPr>
              <w:t>słaba współpraca</w:t>
            </w:r>
          </w:p>
        </w:tc>
        <w:tc>
          <w:tcPr>
            <w:tcW w:w="2835" w:type="dxa"/>
            <w:tcBorders>
              <w:top w:val="single" w:sz="4" w:space="0" w:color="FFC000" w:themeColor="accent4"/>
              <w:bottom w:val="single" w:sz="4" w:space="0" w:color="FFC000" w:themeColor="accent4"/>
            </w:tcBorders>
          </w:tcPr>
          <w:p w14:paraId="490BD95B" w14:textId="77777777" w:rsidR="002814FD" w:rsidRPr="002814FD" w:rsidRDefault="009E7FBD" w:rsidP="002814FD">
            <w:pPr>
              <w:pStyle w:val="Zwykytek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18"/>
                <w:szCs w:val="18"/>
              </w:rPr>
            </w:pPr>
            <w:r>
              <w:rPr>
                <w:rFonts w:asciiTheme="minorHAnsi" w:hAnsiTheme="minorHAnsi"/>
                <w:color w:val="002060"/>
                <w:sz w:val="18"/>
                <w:szCs w:val="18"/>
              </w:rPr>
              <w:t>niewystarczająca współpraca</w:t>
            </w:r>
          </w:p>
        </w:tc>
      </w:tr>
      <w:tr w:rsidR="002814FD" w14:paraId="7D0C22E6" w14:textId="77777777" w:rsidTr="24FB7F3A">
        <w:trPr>
          <w:trHeight w:val="222"/>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FFC000" w:themeColor="accent4"/>
              <w:bottom w:val="single" w:sz="4" w:space="0" w:color="FFC000" w:themeColor="accent4"/>
            </w:tcBorders>
          </w:tcPr>
          <w:p w14:paraId="61E9BF89" w14:textId="77777777" w:rsidR="002814FD" w:rsidRPr="002814FD" w:rsidRDefault="002814FD" w:rsidP="002814FD">
            <w:pPr>
              <w:pStyle w:val="Zwykytekst"/>
              <w:rPr>
                <w:rFonts w:asciiTheme="minorHAnsi" w:hAnsiTheme="minorHAnsi"/>
                <w:b w:val="0"/>
                <w:color w:val="002060"/>
                <w:sz w:val="18"/>
                <w:szCs w:val="18"/>
              </w:rPr>
            </w:pPr>
            <w:r w:rsidRPr="002814FD">
              <w:rPr>
                <w:rFonts w:asciiTheme="minorHAnsi" w:hAnsiTheme="minorHAnsi"/>
                <w:b w:val="0"/>
                <w:color w:val="002060"/>
                <w:sz w:val="18"/>
                <w:szCs w:val="18"/>
              </w:rPr>
              <w:t>słaba komunikacja</w:t>
            </w:r>
          </w:p>
        </w:tc>
        <w:tc>
          <w:tcPr>
            <w:tcW w:w="3260" w:type="dxa"/>
            <w:tcBorders>
              <w:top w:val="single" w:sz="4" w:space="0" w:color="FFC000" w:themeColor="accent4"/>
              <w:bottom w:val="single" w:sz="4" w:space="0" w:color="FFC000" w:themeColor="accent4"/>
            </w:tcBorders>
          </w:tcPr>
          <w:p w14:paraId="5F65E055" w14:textId="77777777" w:rsidR="002814FD" w:rsidRPr="002814FD" w:rsidRDefault="002814FD" w:rsidP="002814FD">
            <w:pPr>
              <w:pStyle w:val="Zwykytek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2060"/>
                <w:sz w:val="18"/>
                <w:szCs w:val="18"/>
              </w:rPr>
            </w:pPr>
            <w:r>
              <w:rPr>
                <w:rFonts w:asciiTheme="minorHAnsi" w:hAnsiTheme="minorHAnsi"/>
                <w:color w:val="002060"/>
                <w:sz w:val="18"/>
                <w:szCs w:val="18"/>
              </w:rPr>
              <w:t>słaba komunikacja</w:t>
            </w:r>
          </w:p>
        </w:tc>
        <w:tc>
          <w:tcPr>
            <w:tcW w:w="2835" w:type="dxa"/>
            <w:tcBorders>
              <w:top w:val="single" w:sz="4" w:space="0" w:color="FFC000" w:themeColor="accent4"/>
              <w:bottom w:val="single" w:sz="4" w:space="0" w:color="FFC000" w:themeColor="accent4"/>
            </w:tcBorders>
          </w:tcPr>
          <w:p w14:paraId="625BF67E" w14:textId="77777777" w:rsidR="002814FD" w:rsidRPr="002814FD" w:rsidRDefault="002814FD" w:rsidP="002814FD">
            <w:pPr>
              <w:pStyle w:val="Zwykytek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2060"/>
                <w:sz w:val="18"/>
                <w:szCs w:val="18"/>
              </w:rPr>
            </w:pPr>
          </w:p>
        </w:tc>
      </w:tr>
      <w:tr w:rsidR="002814FD" w14:paraId="62188869" w14:textId="77777777" w:rsidTr="24FB7F3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FFC000" w:themeColor="accent4"/>
              <w:bottom w:val="single" w:sz="4" w:space="0" w:color="FFC000" w:themeColor="accent4"/>
            </w:tcBorders>
          </w:tcPr>
          <w:p w14:paraId="55A3DDAB" w14:textId="77777777" w:rsidR="002814FD" w:rsidRPr="002814FD" w:rsidRDefault="002814FD" w:rsidP="002814FD">
            <w:pPr>
              <w:pStyle w:val="Zwykytekst"/>
              <w:rPr>
                <w:rFonts w:asciiTheme="minorHAnsi" w:hAnsiTheme="minorHAnsi"/>
                <w:b w:val="0"/>
                <w:color w:val="002060"/>
                <w:sz w:val="18"/>
                <w:szCs w:val="18"/>
              </w:rPr>
            </w:pPr>
            <w:r w:rsidRPr="002814FD">
              <w:rPr>
                <w:rFonts w:asciiTheme="minorHAnsi" w:hAnsiTheme="minorHAnsi"/>
                <w:b w:val="0"/>
                <w:color w:val="002060"/>
                <w:sz w:val="18"/>
                <w:szCs w:val="18"/>
              </w:rPr>
              <w:t>różny poziom szczegółowości</w:t>
            </w:r>
          </w:p>
        </w:tc>
        <w:tc>
          <w:tcPr>
            <w:tcW w:w="3260" w:type="dxa"/>
            <w:tcBorders>
              <w:top w:val="single" w:sz="4" w:space="0" w:color="FFC000" w:themeColor="accent4"/>
              <w:bottom w:val="single" w:sz="4" w:space="0" w:color="FFC000" w:themeColor="accent4"/>
            </w:tcBorders>
          </w:tcPr>
          <w:p w14:paraId="0A7BDCBD" w14:textId="77777777" w:rsidR="002814FD" w:rsidRPr="002814FD" w:rsidRDefault="002814FD" w:rsidP="002814FD">
            <w:pPr>
              <w:pStyle w:val="Zwykytek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18"/>
                <w:szCs w:val="18"/>
              </w:rPr>
            </w:pPr>
            <w:r>
              <w:rPr>
                <w:rFonts w:asciiTheme="minorHAnsi" w:hAnsiTheme="minorHAnsi"/>
                <w:color w:val="002060"/>
                <w:sz w:val="18"/>
                <w:szCs w:val="18"/>
              </w:rPr>
              <w:t>słaba koordynacja planów rozwoju przestrzennego z celami strategii</w:t>
            </w:r>
          </w:p>
        </w:tc>
        <w:tc>
          <w:tcPr>
            <w:tcW w:w="2835" w:type="dxa"/>
            <w:tcBorders>
              <w:top w:val="single" w:sz="4" w:space="0" w:color="FFC000" w:themeColor="accent4"/>
              <w:bottom w:val="single" w:sz="4" w:space="0" w:color="FFC000" w:themeColor="accent4"/>
            </w:tcBorders>
          </w:tcPr>
          <w:p w14:paraId="4CCFFC8D" w14:textId="77777777" w:rsidR="002814FD" w:rsidRPr="002814FD" w:rsidRDefault="002814FD" w:rsidP="002814FD">
            <w:pPr>
              <w:pStyle w:val="Zwykytek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18"/>
                <w:szCs w:val="18"/>
              </w:rPr>
            </w:pPr>
          </w:p>
        </w:tc>
      </w:tr>
      <w:tr w:rsidR="002814FD" w14:paraId="76012766" w14:textId="77777777" w:rsidTr="24FB7F3A">
        <w:trPr>
          <w:trHeight w:val="222"/>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FFC000" w:themeColor="accent4"/>
              <w:bottom w:val="single" w:sz="4" w:space="0" w:color="FFC000" w:themeColor="accent4"/>
            </w:tcBorders>
          </w:tcPr>
          <w:p w14:paraId="62360028" w14:textId="77777777" w:rsidR="002814FD" w:rsidRPr="002814FD" w:rsidRDefault="002814FD" w:rsidP="002814FD">
            <w:pPr>
              <w:pStyle w:val="Zwykytekst"/>
              <w:rPr>
                <w:rFonts w:asciiTheme="minorHAnsi" w:hAnsiTheme="minorHAnsi"/>
                <w:b w:val="0"/>
                <w:color w:val="002060"/>
                <w:sz w:val="18"/>
                <w:szCs w:val="18"/>
              </w:rPr>
            </w:pPr>
            <w:r w:rsidRPr="002814FD">
              <w:rPr>
                <w:rFonts w:asciiTheme="minorHAnsi" w:hAnsiTheme="minorHAnsi"/>
                <w:b w:val="0"/>
                <w:color w:val="002060"/>
                <w:sz w:val="18"/>
                <w:szCs w:val="18"/>
              </w:rPr>
              <w:t xml:space="preserve">różnice w ocenie efektywności </w:t>
            </w:r>
          </w:p>
        </w:tc>
        <w:tc>
          <w:tcPr>
            <w:tcW w:w="3260" w:type="dxa"/>
            <w:tcBorders>
              <w:top w:val="single" w:sz="4" w:space="0" w:color="FFC000" w:themeColor="accent4"/>
              <w:bottom w:val="single" w:sz="4" w:space="0" w:color="FFC000" w:themeColor="accent4"/>
            </w:tcBorders>
          </w:tcPr>
          <w:p w14:paraId="4CB0DA78" w14:textId="77777777" w:rsidR="002814FD" w:rsidRPr="002814FD" w:rsidRDefault="002814FD" w:rsidP="002814FD">
            <w:pPr>
              <w:pStyle w:val="Zwykytek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2060"/>
                <w:sz w:val="18"/>
                <w:szCs w:val="18"/>
              </w:rPr>
            </w:pPr>
            <w:r>
              <w:rPr>
                <w:rFonts w:asciiTheme="minorHAnsi" w:hAnsiTheme="minorHAnsi"/>
                <w:color w:val="002060"/>
                <w:sz w:val="18"/>
                <w:szCs w:val="18"/>
              </w:rPr>
              <w:t>przedkładanie interesów inwestora nad ład przestrzenny</w:t>
            </w:r>
          </w:p>
        </w:tc>
        <w:tc>
          <w:tcPr>
            <w:tcW w:w="2835" w:type="dxa"/>
            <w:tcBorders>
              <w:top w:val="single" w:sz="4" w:space="0" w:color="FFC000" w:themeColor="accent4"/>
              <w:bottom w:val="single" w:sz="4" w:space="0" w:color="FFC000" w:themeColor="accent4"/>
            </w:tcBorders>
          </w:tcPr>
          <w:p w14:paraId="37BA0290" w14:textId="77777777" w:rsidR="002814FD" w:rsidRPr="002814FD" w:rsidRDefault="002814FD" w:rsidP="002814FD">
            <w:pPr>
              <w:pStyle w:val="Zwykytek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2060"/>
                <w:sz w:val="18"/>
                <w:szCs w:val="18"/>
              </w:rPr>
            </w:pPr>
          </w:p>
        </w:tc>
      </w:tr>
      <w:tr w:rsidR="002814FD" w14:paraId="6C855DD8" w14:textId="77777777" w:rsidTr="24FB7F3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FFC000" w:themeColor="accent4"/>
              <w:bottom w:val="single" w:sz="4" w:space="0" w:color="FFC000" w:themeColor="accent4"/>
            </w:tcBorders>
          </w:tcPr>
          <w:p w14:paraId="25517323" w14:textId="77777777" w:rsidR="002814FD" w:rsidRPr="002814FD" w:rsidRDefault="002814FD" w:rsidP="002814FD">
            <w:pPr>
              <w:pStyle w:val="Zwykytekst"/>
              <w:rPr>
                <w:rFonts w:asciiTheme="minorHAnsi" w:hAnsiTheme="minorHAnsi"/>
                <w:b w:val="0"/>
                <w:color w:val="002060"/>
                <w:sz w:val="18"/>
                <w:szCs w:val="18"/>
              </w:rPr>
            </w:pPr>
            <w:r w:rsidRPr="002814FD">
              <w:rPr>
                <w:rFonts w:asciiTheme="minorHAnsi" w:hAnsiTheme="minorHAnsi"/>
                <w:b w:val="0"/>
                <w:color w:val="002060"/>
                <w:sz w:val="18"/>
                <w:szCs w:val="18"/>
              </w:rPr>
              <w:t>nadmierna liczba dokumentów operacyjnych</w:t>
            </w:r>
          </w:p>
        </w:tc>
        <w:tc>
          <w:tcPr>
            <w:tcW w:w="3260" w:type="dxa"/>
            <w:tcBorders>
              <w:top w:val="single" w:sz="4" w:space="0" w:color="FFC000" w:themeColor="accent4"/>
              <w:bottom w:val="single" w:sz="4" w:space="0" w:color="FFC000" w:themeColor="accent4"/>
            </w:tcBorders>
          </w:tcPr>
          <w:p w14:paraId="40BABB97" w14:textId="77777777" w:rsidR="002814FD" w:rsidRPr="002814FD" w:rsidRDefault="002814FD" w:rsidP="002814FD">
            <w:pPr>
              <w:pStyle w:val="Zwykytek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18"/>
                <w:szCs w:val="18"/>
              </w:rPr>
            </w:pPr>
          </w:p>
        </w:tc>
        <w:tc>
          <w:tcPr>
            <w:tcW w:w="2835" w:type="dxa"/>
            <w:tcBorders>
              <w:top w:val="single" w:sz="4" w:space="0" w:color="FFC000" w:themeColor="accent4"/>
              <w:bottom w:val="single" w:sz="4" w:space="0" w:color="FFC000" w:themeColor="accent4"/>
            </w:tcBorders>
          </w:tcPr>
          <w:p w14:paraId="56BB5A55" w14:textId="77777777" w:rsidR="002814FD" w:rsidRPr="002814FD" w:rsidRDefault="002814FD" w:rsidP="002814FD">
            <w:pPr>
              <w:pStyle w:val="Zwykytek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18"/>
                <w:szCs w:val="18"/>
              </w:rPr>
            </w:pPr>
          </w:p>
        </w:tc>
      </w:tr>
      <w:tr w:rsidR="002814FD" w14:paraId="5993F2F9" w14:textId="77777777" w:rsidTr="24FB7F3A">
        <w:trPr>
          <w:trHeight w:val="222"/>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FFC000" w:themeColor="accent4"/>
              <w:bottom w:val="single" w:sz="4" w:space="0" w:color="FFC000" w:themeColor="accent4"/>
            </w:tcBorders>
          </w:tcPr>
          <w:p w14:paraId="536E280B" w14:textId="77777777" w:rsidR="002814FD" w:rsidRPr="002814FD" w:rsidRDefault="002814FD" w:rsidP="002814FD">
            <w:pPr>
              <w:pStyle w:val="Zwykytekst"/>
              <w:rPr>
                <w:rFonts w:asciiTheme="minorHAnsi" w:hAnsiTheme="minorHAnsi"/>
                <w:b w:val="0"/>
                <w:color w:val="002060"/>
                <w:sz w:val="18"/>
                <w:szCs w:val="18"/>
              </w:rPr>
            </w:pPr>
            <w:r w:rsidRPr="002814FD">
              <w:rPr>
                <w:rFonts w:asciiTheme="minorHAnsi" w:hAnsiTheme="minorHAnsi"/>
                <w:b w:val="0"/>
                <w:color w:val="002060"/>
                <w:sz w:val="18"/>
                <w:szCs w:val="18"/>
              </w:rPr>
              <w:t>różnice w sposobie monitorowania</w:t>
            </w:r>
          </w:p>
        </w:tc>
        <w:tc>
          <w:tcPr>
            <w:tcW w:w="3260" w:type="dxa"/>
            <w:tcBorders>
              <w:top w:val="single" w:sz="4" w:space="0" w:color="FFC000" w:themeColor="accent4"/>
              <w:bottom w:val="single" w:sz="4" w:space="0" w:color="FFC000" w:themeColor="accent4"/>
            </w:tcBorders>
          </w:tcPr>
          <w:p w14:paraId="44032282" w14:textId="77777777" w:rsidR="002814FD" w:rsidRPr="002814FD" w:rsidRDefault="002814FD" w:rsidP="002814FD">
            <w:pPr>
              <w:pStyle w:val="Zwykytek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2060"/>
                <w:sz w:val="18"/>
                <w:szCs w:val="18"/>
              </w:rPr>
            </w:pPr>
            <w:r>
              <w:rPr>
                <w:rFonts w:asciiTheme="minorHAnsi" w:hAnsiTheme="minorHAnsi"/>
                <w:color w:val="002060"/>
                <w:sz w:val="18"/>
                <w:szCs w:val="18"/>
              </w:rPr>
              <w:t>brak wspólnego systemu monitorowania</w:t>
            </w:r>
          </w:p>
        </w:tc>
        <w:tc>
          <w:tcPr>
            <w:tcW w:w="2835" w:type="dxa"/>
            <w:tcBorders>
              <w:top w:val="single" w:sz="4" w:space="0" w:color="FFC000" w:themeColor="accent4"/>
              <w:bottom w:val="single" w:sz="4" w:space="0" w:color="FFC000" w:themeColor="accent4"/>
            </w:tcBorders>
          </w:tcPr>
          <w:p w14:paraId="474FC060" w14:textId="77777777" w:rsidR="002814FD" w:rsidRPr="002814FD" w:rsidRDefault="002814FD" w:rsidP="002814FD">
            <w:pPr>
              <w:pStyle w:val="Zwykytek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2060"/>
                <w:sz w:val="18"/>
                <w:szCs w:val="18"/>
              </w:rPr>
            </w:pPr>
          </w:p>
        </w:tc>
      </w:tr>
      <w:tr w:rsidR="002814FD" w14:paraId="0985E322" w14:textId="77777777" w:rsidTr="24FB7F3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FFC000" w:themeColor="accent4"/>
              <w:bottom w:val="single" w:sz="4" w:space="0" w:color="FFC000" w:themeColor="accent4"/>
            </w:tcBorders>
          </w:tcPr>
          <w:p w14:paraId="1BDD1AF8" w14:textId="77777777" w:rsidR="002814FD" w:rsidRPr="002814FD" w:rsidRDefault="002814FD" w:rsidP="002814FD">
            <w:pPr>
              <w:pStyle w:val="Zwykytekst"/>
              <w:rPr>
                <w:rFonts w:asciiTheme="minorHAnsi" w:hAnsiTheme="minorHAnsi"/>
                <w:b w:val="0"/>
                <w:color w:val="002060"/>
                <w:sz w:val="18"/>
                <w:szCs w:val="18"/>
              </w:rPr>
            </w:pPr>
            <w:r w:rsidRPr="002814FD">
              <w:rPr>
                <w:rFonts w:asciiTheme="minorHAnsi" w:hAnsiTheme="minorHAnsi"/>
                <w:b w:val="0"/>
                <w:color w:val="002060"/>
                <w:sz w:val="18"/>
                <w:szCs w:val="18"/>
              </w:rPr>
              <w:t>różne komórki zajmujące się tymi kwestiami</w:t>
            </w:r>
          </w:p>
        </w:tc>
        <w:tc>
          <w:tcPr>
            <w:tcW w:w="3260" w:type="dxa"/>
            <w:tcBorders>
              <w:top w:val="single" w:sz="4" w:space="0" w:color="FFC000" w:themeColor="accent4"/>
              <w:bottom w:val="single" w:sz="4" w:space="0" w:color="FFC000" w:themeColor="accent4"/>
            </w:tcBorders>
          </w:tcPr>
          <w:p w14:paraId="0C604DC6" w14:textId="77777777" w:rsidR="002814FD" w:rsidRPr="002814FD" w:rsidRDefault="002814FD" w:rsidP="002814FD">
            <w:pPr>
              <w:pStyle w:val="Zwykytek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18"/>
                <w:szCs w:val="18"/>
              </w:rPr>
            </w:pPr>
            <w:r>
              <w:rPr>
                <w:rFonts w:asciiTheme="minorHAnsi" w:hAnsiTheme="minorHAnsi"/>
                <w:color w:val="002060"/>
                <w:sz w:val="18"/>
                <w:szCs w:val="18"/>
              </w:rPr>
              <w:t>różne osadzenie instytucjonalne</w:t>
            </w:r>
          </w:p>
        </w:tc>
        <w:tc>
          <w:tcPr>
            <w:tcW w:w="2835" w:type="dxa"/>
            <w:tcBorders>
              <w:top w:val="single" w:sz="4" w:space="0" w:color="FFC000" w:themeColor="accent4"/>
              <w:bottom w:val="single" w:sz="4" w:space="0" w:color="FFC000" w:themeColor="accent4"/>
            </w:tcBorders>
          </w:tcPr>
          <w:p w14:paraId="659468D0" w14:textId="77777777" w:rsidR="002814FD" w:rsidRPr="002814FD" w:rsidRDefault="002814FD" w:rsidP="002814FD">
            <w:pPr>
              <w:pStyle w:val="Zwykytek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18"/>
                <w:szCs w:val="18"/>
              </w:rPr>
            </w:pPr>
            <w:r>
              <w:rPr>
                <w:rFonts w:asciiTheme="minorHAnsi" w:hAnsiTheme="minorHAnsi"/>
                <w:color w:val="002060"/>
                <w:sz w:val="18"/>
                <w:szCs w:val="18"/>
              </w:rPr>
              <w:t>różne komórki zajmujące się tymi tematami</w:t>
            </w:r>
          </w:p>
        </w:tc>
      </w:tr>
      <w:tr w:rsidR="002814FD" w14:paraId="46CC49AB" w14:textId="77777777" w:rsidTr="24FB7F3A">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FFC000" w:themeColor="accent4"/>
              <w:bottom w:val="single" w:sz="4" w:space="0" w:color="FFC000" w:themeColor="accent4"/>
            </w:tcBorders>
          </w:tcPr>
          <w:p w14:paraId="70675495" w14:textId="77777777" w:rsidR="002814FD" w:rsidRPr="002814FD" w:rsidRDefault="002814FD" w:rsidP="002814FD">
            <w:pPr>
              <w:pStyle w:val="Zwykytekst"/>
              <w:rPr>
                <w:rFonts w:asciiTheme="minorHAnsi" w:hAnsiTheme="minorHAnsi"/>
                <w:b w:val="0"/>
                <w:color w:val="002060"/>
                <w:sz w:val="18"/>
                <w:szCs w:val="18"/>
              </w:rPr>
            </w:pPr>
            <w:r w:rsidRPr="002814FD">
              <w:rPr>
                <w:rFonts w:asciiTheme="minorHAnsi" w:hAnsiTheme="minorHAnsi"/>
                <w:b w:val="0"/>
                <w:color w:val="002060"/>
                <w:sz w:val="18"/>
                <w:szCs w:val="18"/>
              </w:rPr>
              <w:t xml:space="preserve">brak odpowiedniej świadomości realizacji strategii </w:t>
            </w:r>
          </w:p>
        </w:tc>
        <w:tc>
          <w:tcPr>
            <w:tcW w:w="3260" w:type="dxa"/>
            <w:tcBorders>
              <w:top w:val="single" w:sz="4" w:space="0" w:color="FFC000" w:themeColor="accent4"/>
              <w:bottom w:val="single" w:sz="4" w:space="0" w:color="FFC000" w:themeColor="accent4"/>
            </w:tcBorders>
          </w:tcPr>
          <w:p w14:paraId="4724D20A" w14:textId="77777777" w:rsidR="002814FD" w:rsidRPr="002814FD" w:rsidRDefault="002814FD" w:rsidP="002814FD">
            <w:pPr>
              <w:pStyle w:val="Zwykytek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2060"/>
                <w:sz w:val="18"/>
                <w:szCs w:val="18"/>
                <w:shd w:val="clear" w:color="auto" w:fill="FAFAFA"/>
              </w:rPr>
            </w:pPr>
          </w:p>
        </w:tc>
        <w:tc>
          <w:tcPr>
            <w:tcW w:w="2835" w:type="dxa"/>
            <w:tcBorders>
              <w:top w:val="single" w:sz="4" w:space="0" w:color="FFC000" w:themeColor="accent4"/>
              <w:bottom w:val="single" w:sz="4" w:space="0" w:color="FFC000" w:themeColor="accent4"/>
            </w:tcBorders>
          </w:tcPr>
          <w:p w14:paraId="6A9A917D" w14:textId="77777777" w:rsidR="002814FD" w:rsidRPr="002814FD" w:rsidRDefault="002814FD" w:rsidP="002814FD">
            <w:pPr>
              <w:pStyle w:val="Zwykyteks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2060"/>
                <w:sz w:val="18"/>
                <w:szCs w:val="18"/>
                <w:shd w:val="clear" w:color="auto" w:fill="FAFAFA"/>
              </w:rPr>
            </w:pPr>
          </w:p>
        </w:tc>
      </w:tr>
    </w:tbl>
    <w:p w14:paraId="2632F61F" w14:textId="77777777" w:rsidR="009E7FBD" w:rsidRDefault="00495AF7" w:rsidP="009E7FBD">
      <w:pPr>
        <w:rPr>
          <w:sz w:val="16"/>
          <w:szCs w:val="16"/>
          <w:lang w:eastAsia="pl-PL"/>
        </w:rPr>
      </w:pPr>
      <w:r w:rsidRPr="00FA7F46">
        <w:rPr>
          <w:sz w:val="16"/>
          <w:szCs w:val="16"/>
          <w:lang w:eastAsia="pl-PL"/>
        </w:rPr>
        <w:t>Źródło: opracowanie własne</w:t>
      </w:r>
      <w:r w:rsidR="007D6CEC">
        <w:rPr>
          <w:sz w:val="16"/>
          <w:szCs w:val="16"/>
          <w:lang w:eastAsia="pl-PL"/>
        </w:rPr>
        <w:t xml:space="preserve"> na podstawie 10 ankiet otrzymanych od Marszałków województw</w:t>
      </w:r>
      <w:r w:rsidR="009E7FBD">
        <w:rPr>
          <w:sz w:val="16"/>
          <w:szCs w:val="16"/>
          <w:lang w:eastAsia="pl-PL"/>
        </w:rPr>
        <w:t>.</w:t>
      </w:r>
      <w:r w:rsidR="009E7FBD">
        <w:rPr>
          <w:sz w:val="16"/>
          <w:szCs w:val="16"/>
          <w:lang w:eastAsia="pl-PL"/>
        </w:rPr>
        <w:br w:type="page"/>
      </w:r>
    </w:p>
    <w:p w14:paraId="0C18C44E" w14:textId="4FB3E136" w:rsidR="00302E55" w:rsidRDefault="00252FC5" w:rsidP="00302E55">
      <w:pPr>
        <w:pStyle w:val="Nagwek1"/>
      </w:pPr>
      <w:bookmarkStart w:id="299" w:name="_Toc536653175"/>
      <w:bookmarkStart w:id="300" w:name="_Toc1904842"/>
      <w:bookmarkStart w:id="301" w:name="_Toc5699505"/>
      <w:r>
        <w:lastRenderedPageBreak/>
        <w:t>W</w:t>
      </w:r>
      <w:r w:rsidR="005C261F">
        <w:t>niosk</w:t>
      </w:r>
      <w:r w:rsidR="008868E6">
        <w:t>i</w:t>
      </w:r>
      <w:r w:rsidR="005C261F">
        <w:t xml:space="preserve"> i </w:t>
      </w:r>
      <w:r>
        <w:t>zalecenia strategiczne</w:t>
      </w:r>
      <w:bookmarkEnd w:id="299"/>
      <w:bookmarkEnd w:id="300"/>
      <w:bookmarkEnd w:id="301"/>
    </w:p>
    <w:p w14:paraId="2D2F8AED" w14:textId="048AB53F" w:rsidR="00302E55" w:rsidRDefault="005C261F" w:rsidP="00302E55">
      <w:pPr>
        <w:rPr>
          <w:lang w:eastAsia="pl-PL"/>
        </w:rPr>
      </w:pPr>
      <w:r>
        <w:rPr>
          <w:lang w:eastAsia="pl-PL"/>
        </w:rPr>
        <w:t xml:space="preserve">Przeprowadzone badanie pozwala sformułować liczne wnioski i </w:t>
      </w:r>
      <w:r w:rsidR="000817E6">
        <w:rPr>
          <w:lang w:eastAsia="pl-PL"/>
        </w:rPr>
        <w:t>zalecenia</w:t>
      </w:r>
      <w:r>
        <w:rPr>
          <w:lang w:eastAsia="pl-PL"/>
        </w:rPr>
        <w:t>, których znaczna część znalazła się w poprzednich częściach dokumentu. Wychodząc z założenia, że właśnie ten rozdział może spotkać się ze szczególną uwagą Czytelników, przyjęto bardzo ambitne założenie, iż należy skupić uwagę odbiorców ewaluacji n</w:t>
      </w:r>
      <w:r w:rsidR="000817E6">
        <w:rPr>
          <w:lang w:eastAsia="pl-PL"/>
        </w:rPr>
        <w:t>a wybranych kwestiach, zdaniem E</w:t>
      </w:r>
      <w:r>
        <w:rPr>
          <w:lang w:eastAsia="pl-PL"/>
        </w:rPr>
        <w:t>waluatorów, kwestiach najważniejszych.</w:t>
      </w:r>
    </w:p>
    <w:p w14:paraId="13F16E7B" w14:textId="219E6F0C" w:rsidR="005C261F" w:rsidRDefault="005C261F" w:rsidP="00302E55">
      <w:pPr>
        <w:rPr>
          <w:lang w:eastAsia="pl-PL"/>
        </w:rPr>
      </w:pPr>
      <w:r>
        <w:rPr>
          <w:lang w:eastAsia="pl-PL"/>
        </w:rPr>
        <w:t xml:space="preserve">Planowanie strategiczne, proces tworzenia strategii, a także zarządzanie strategiczne mają liczne odmiany, wytworzyły się w tym obszarze szkoły. Zatem wyrażając opinie na temat szeroko rozumianego zarządzania strategicznego w danej organizacji należy mieć </w:t>
      </w:r>
      <w:r w:rsidR="56862DA9" w:rsidRPr="56862DA9">
        <w:rPr>
          <w:lang w:eastAsia="pl-PL"/>
        </w:rPr>
        <w:t>na uwadze</w:t>
      </w:r>
      <w:r>
        <w:rPr>
          <w:lang w:eastAsia="pl-PL"/>
        </w:rPr>
        <w:t>, że każda organizacja wytwarza pewną swoistą kulturę, na którą nie da się w uproszczony sposób nałożyć rozwiązań, które „sprawdziły się gdzieś indziej”.</w:t>
      </w:r>
    </w:p>
    <w:p w14:paraId="302829FE" w14:textId="492A310A" w:rsidR="005C261F" w:rsidRDefault="005C261F" w:rsidP="00302E55">
      <w:pPr>
        <w:rPr>
          <w:lang w:eastAsia="pl-PL"/>
        </w:rPr>
      </w:pPr>
      <w:r>
        <w:rPr>
          <w:lang w:eastAsia="pl-PL"/>
        </w:rPr>
        <w:t>W związku z powyższym sformułowane wnioski mają ostrożny i doradczy charakter, odzwierciedlający w znaczącym stopniu wiedzę i przekonania z</w:t>
      </w:r>
      <w:r w:rsidR="000817E6">
        <w:rPr>
          <w:lang w:eastAsia="pl-PL"/>
        </w:rPr>
        <w:t>espołu E</w:t>
      </w:r>
      <w:r>
        <w:rPr>
          <w:lang w:eastAsia="pl-PL"/>
        </w:rPr>
        <w:t xml:space="preserve">waluatorów, jednak to nie oni są odpowiedzialni za zarządzanie strategiczne, zatem przyjęcie i </w:t>
      </w:r>
      <w:r w:rsidR="56862DA9" w:rsidRPr="56862DA9">
        <w:rPr>
          <w:lang w:eastAsia="pl-PL"/>
        </w:rPr>
        <w:t>ewentualne</w:t>
      </w:r>
      <w:r>
        <w:rPr>
          <w:lang w:eastAsia="pl-PL"/>
        </w:rPr>
        <w:t xml:space="preserve"> wdrożenie sugerowanych </w:t>
      </w:r>
      <w:r w:rsidR="000817E6">
        <w:rPr>
          <w:lang w:eastAsia="pl-PL"/>
        </w:rPr>
        <w:t>zaleceń</w:t>
      </w:r>
      <w:r>
        <w:rPr>
          <w:lang w:eastAsia="pl-PL"/>
        </w:rPr>
        <w:t xml:space="preserve"> jest kwestią rozważnego osądu Zarządu Województwa Wielkopolskiego.</w:t>
      </w:r>
    </w:p>
    <w:p w14:paraId="0FDFCFCA" w14:textId="12C31A5B" w:rsidR="005C261F" w:rsidRDefault="005C261F" w:rsidP="00302E55">
      <w:pPr>
        <w:rPr>
          <w:lang w:eastAsia="pl-PL"/>
        </w:rPr>
      </w:pPr>
      <w:r>
        <w:rPr>
          <w:lang w:eastAsia="pl-PL"/>
        </w:rPr>
        <w:t xml:space="preserve">Spośród kilku kryteriów wyboru najważniejszych wniosków posłużono się subiektywną oceną „doniosłości” danego wniosku i jego wieloaspektowego charakteru. Starano się zatem połączyć bogatą wiedzę, jaką uzyskano w trakcie całego procesu ewaluacji, w tym licznych spotkań z przedstawicielami Urzędu Marszałkowskiego, we wnioski i </w:t>
      </w:r>
      <w:r w:rsidR="000817E6">
        <w:rPr>
          <w:lang w:eastAsia="pl-PL"/>
        </w:rPr>
        <w:t>zalecenia</w:t>
      </w:r>
      <w:r>
        <w:rPr>
          <w:lang w:eastAsia="pl-PL"/>
        </w:rPr>
        <w:t xml:space="preserve"> możliwie szeroko podejmujące „węzłowe” problemy zarządzania strategicznego.</w:t>
      </w:r>
    </w:p>
    <w:p w14:paraId="18333C0C" w14:textId="77777777" w:rsidR="007D39AA" w:rsidRDefault="007D39AA" w:rsidP="007D39AA">
      <w:pPr>
        <w:pStyle w:val="Nagwek2"/>
      </w:pPr>
      <w:bookmarkStart w:id="302" w:name="_Toc5699506"/>
      <w:r>
        <w:t>Trzy razy człowiek</w:t>
      </w:r>
      <w:bookmarkEnd w:id="302"/>
    </w:p>
    <w:p w14:paraId="00934CAA" w14:textId="54A4B7DE" w:rsidR="007D39AA" w:rsidRPr="007D39AA" w:rsidRDefault="007D39AA" w:rsidP="007D39AA">
      <w:pPr>
        <w:rPr>
          <w:lang w:eastAsia="pl-PL"/>
        </w:rPr>
      </w:pPr>
      <w:r>
        <w:rPr>
          <w:lang w:eastAsia="pl-PL"/>
        </w:rPr>
        <w:t xml:space="preserve">W każdej organizacji społecznej najważniejsi są ludzie, dlatego </w:t>
      </w:r>
      <w:r w:rsidR="00A87968">
        <w:rPr>
          <w:lang w:eastAsia="pl-PL"/>
        </w:rPr>
        <w:t xml:space="preserve">prezentację </w:t>
      </w:r>
      <w:r>
        <w:rPr>
          <w:lang w:eastAsia="pl-PL"/>
        </w:rPr>
        <w:t>wniosk</w:t>
      </w:r>
      <w:r w:rsidR="00A87968">
        <w:rPr>
          <w:lang w:eastAsia="pl-PL"/>
        </w:rPr>
        <w:t>ów</w:t>
      </w:r>
      <w:r>
        <w:rPr>
          <w:lang w:eastAsia="pl-PL"/>
        </w:rPr>
        <w:t xml:space="preserve"> i </w:t>
      </w:r>
      <w:r w:rsidR="000817E6">
        <w:rPr>
          <w:lang w:eastAsia="pl-PL"/>
        </w:rPr>
        <w:t xml:space="preserve">zaleceń </w:t>
      </w:r>
      <w:r>
        <w:rPr>
          <w:lang w:eastAsia="pl-PL"/>
        </w:rPr>
        <w:t>rozpoczynają kwestie związane z człowiekiem i relacjami międzyludzkimi.</w:t>
      </w:r>
    </w:p>
    <w:p w14:paraId="2DF0C0FE" w14:textId="4F174D93" w:rsidR="00302E55" w:rsidRPr="00734766" w:rsidRDefault="00850E8F" w:rsidP="00895F62">
      <w:pPr>
        <w:pStyle w:val="Akapitzlist"/>
        <w:numPr>
          <w:ilvl w:val="0"/>
          <w:numId w:val="30"/>
        </w:numPr>
        <w:ind w:left="1134" w:hanging="1145"/>
        <w:rPr>
          <w:b/>
          <w:color w:val="002060"/>
          <w:lang w:eastAsia="pl-PL"/>
        </w:rPr>
      </w:pPr>
      <w:r w:rsidRPr="00850E8F">
        <w:rPr>
          <w:b/>
          <w:color w:val="002060"/>
          <w:lang w:eastAsia="pl-PL"/>
        </w:rPr>
        <w:t>Przywództwo regionalne należy utożsamiać z Marszałkiem Województwa, złożoność procesu rozwoju regionu wymaga szer</w:t>
      </w:r>
      <w:r w:rsidR="003C1443">
        <w:rPr>
          <w:b/>
          <w:color w:val="002060"/>
          <w:lang w:eastAsia="pl-PL"/>
        </w:rPr>
        <w:t>okiego</w:t>
      </w:r>
      <w:r w:rsidRPr="00850E8F">
        <w:rPr>
          <w:b/>
          <w:color w:val="002060"/>
          <w:lang w:eastAsia="pl-PL"/>
        </w:rPr>
        <w:t xml:space="preserve"> spojrzenia na przywódczą rolę i funkcję Samorządu Województwa Wielkopolskiego, czyli Sejmiku i Zarządu</w:t>
      </w:r>
      <w:r>
        <w:rPr>
          <w:b/>
          <w:color w:val="002060"/>
          <w:lang w:eastAsia="pl-PL"/>
        </w:rPr>
        <w:t>.</w:t>
      </w:r>
    </w:p>
    <w:p w14:paraId="0828A2B3" w14:textId="77777777" w:rsidR="00734766" w:rsidRDefault="00734766" w:rsidP="00302E55">
      <w:pPr>
        <w:rPr>
          <w:lang w:eastAsia="pl-PL"/>
        </w:rPr>
      </w:pPr>
      <w:r>
        <w:rPr>
          <w:lang w:eastAsia="pl-PL"/>
        </w:rPr>
        <w:t xml:space="preserve">Perspektywa przywódcy – samorządu województwa podkreśla szersze spojrzenie na rolę powiązanych ze sobą organów: zarządu województwa, sejmiku województwa, urzędu marszałkowskiego i innych podległych Samorządowi jednostek. Opisana w ewaluacji rola przywódcza ukierunkowana jest na: inspirowanie, wspieranie, motywowanie, tłumaczenie, korygowanie. </w:t>
      </w:r>
      <w:r w:rsidR="008868E6">
        <w:rPr>
          <w:lang w:eastAsia="pl-PL"/>
        </w:rPr>
        <w:t>Z</w:t>
      </w:r>
      <w:r>
        <w:rPr>
          <w:lang w:eastAsia="pl-PL"/>
        </w:rPr>
        <w:t xml:space="preserve">agadnienia te można </w:t>
      </w:r>
      <w:r w:rsidR="008868E6">
        <w:rPr>
          <w:lang w:eastAsia="pl-PL"/>
        </w:rPr>
        <w:t xml:space="preserve">rozpatrywać </w:t>
      </w:r>
      <w:r>
        <w:rPr>
          <w:lang w:eastAsia="pl-PL"/>
        </w:rPr>
        <w:t xml:space="preserve">od strony relacji wewnątrz organizacyjnych, czyli relacji marszałek województwa – zespół wspierający go w realizacji wizji rozwoju. Te relacje </w:t>
      </w:r>
      <w:r w:rsidR="008868E6" w:rsidRPr="008868E6">
        <w:rPr>
          <w:i/>
          <w:lang w:eastAsia="pl-PL"/>
        </w:rPr>
        <w:t>sensu stricto</w:t>
      </w:r>
      <w:r w:rsidR="008868E6">
        <w:rPr>
          <w:lang w:eastAsia="pl-PL"/>
        </w:rPr>
        <w:t xml:space="preserve"> </w:t>
      </w:r>
      <w:r>
        <w:rPr>
          <w:lang w:eastAsia="pl-PL"/>
        </w:rPr>
        <w:t xml:space="preserve">nie były przedmiotem ewaluacji, jednak można wyciągnąć wniosek, że są one poukładane w taki sposób, </w:t>
      </w:r>
      <w:r w:rsidR="008868E6">
        <w:rPr>
          <w:lang w:eastAsia="pl-PL"/>
        </w:rPr>
        <w:t>i</w:t>
      </w:r>
      <w:r>
        <w:rPr>
          <w:lang w:eastAsia="pl-PL"/>
        </w:rPr>
        <w:t>ż można mówić o sprawienie działającym organizmie.</w:t>
      </w:r>
    </w:p>
    <w:p w14:paraId="19F66484" w14:textId="2F72048E" w:rsidR="00734766" w:rsidRDefault="00734766" w:rsidP="00302E55">
      <w:pPr>
        <w:rPr>
          <w:lang w:eastAsia="pl-PL"/>
        </w:rPr>
      </w:pPr>
      <w:r>
        <w:rPr>
          <w:lang w:eastAsia="pl-PL"/>
        </w:rPr>
        <w:t>Jednak w kontekście rozwoju regionu przywództwo Samorządu Województwa powinno być rozwijane, pomimo olbrzymiego upolitycznienia wielu działań na różnych szczeblach i w relacjach między poziomami administracji.</w:t>
      </w:r>
      <w:r w:rsidR="000C5F74">
        <w:rPr>
          <w:lang w:eastAsia="pl-PL"/>
        </w:rPr>
        <w:t xml:space="preserve"> Przywództwo</w:t>
      </w:r>
      <w:r w:rsidR="008868E6">
        <w:rPr>
          <w:lang w:eastAsia="pl-PL"/>
        </w:rPr>
        <w:t>,</w:t>
      </w:r>
      <w:r w:rsidR="000C5F74">
        <w:rPr>
          <w:lang w:eastAsia="pl-PL"/>
        </w:rPr>
        <w:t xml:space="preserve"> w sensie organizacyjnym</w:t>
      </w:r>
      <w:r w:rsidR="008868E6">
        <w:rPr>
          <w:lang w:eastAsia="pl-PL"/>
        </w:rPr>
        <w:t>,</w:t>
      </w:r>
      <w:r w:rsidR="000C5F74">
        <w:rPr>
          <w:lang w:eastAsia="pl-PL"/>
        </w:rPr>
        <w:t xml:space="preserve"> powinno prowadzić do rozszerzenia sfery oddziaływania Samorządu na cały region i potrzebne dla jego rozwoju otoczenie, niezależnie od barier społecznych, politycznych czy gospodarczych.</w:t>
      </w:r>
      <w:r>
        <w:rPr>
          <w:lang w:eastAsia="pl-PL"/>
        </w:rPr>
        <w:t xml:space="preserve"> </w:t>
      </w:r>
    </w:p>
    <w:p w14:paraId="1C7ACF9E" w14:textId="1F6643CC" w:rsidR="00302E55" w:rsidRPr="00C0746C" w:rsidRDefault="00850E8F" w:rsidP="00895F62">
      <w:pPr>
        <w:pStyle w:val="Akapitzlist"/>
        <w:numPr>
          <w:ilvl w:val="0"/>
          <w:numId w:val="60"/>
        </w:numPr>
        <w:rPr>
          <w:b/>
          <w:color w:val="002060"/>
          <w:lang w:eastAsia="pl-PL"/>
        </w:rPr>
      </w:pPr>
      <w:r w:rsidRPr="00C0746C">
        <w:rPr>
          <w:b/>
          <w:color w:val="002060"/>
          <w:lang w:eastAsia="pl-PL"/>
        </w:rPr>
        <w:lastRenderedPageBreak/>
        <w:t>Wprowadzenie transparentnych zasad budowania relacji z wewnętrznym otoczeniem Samorządu Województwa opartych o: otwarcie na wspólne definiowanie zadań, współpracę przy planowaniu, wymianę informacji, kontrolę jakości wykonywanych zadań, rzetelną ocenę, motywowanie do współpracy i odpowiedzialność.</w:t>
      </w:r>
    </w:p>
    <w:p w14:paraId="2E7BB050" w14:textId="05FAF9EE" w:rsidR="00302E55" w:rsidRDefault="000C5F74" w:rsidP="00302E55">
      <w:pPr>
        <w:rPr>
          <w:lang w:eastAsia="pl-PL"/>
        </w:rPr>
      </w:pPr>
      <w:r>
        <w:rPr>
          <w:lang w:eastAsia="pl-PL"/>
        </w:rPr>
        <w:t>Wewnętrzny</w:t>
      </w:r>
      <w:r w:rsidR="008868E6">
        <w:rPr>
          <w:lang w:eastAsia="pl-PL"/>
        </w:rPr>
        <w:t>m</w:t>
      </w:r>
      <w:r>
        <w:rPr>
          <w:lang w:eastAsia="pl-PL"/>
        </w:rPr>
        <w:t xml:space="preserve"> otoczeniem Samorządu Województwa są wszystkie podmioty, które funkcjonują na terenie województwa wielkopolskiego, ale nie zaliczają się do Samorządu. Często budowanie relacji sprowadzane jest </w:t>
      </w:r>
      <w:r w:rsidR="56862DA9" w:rsidRPr="56862DA9">
        <w:rPr>
          <w:lang w:eastAsia="pl-PL"/>
        </w:rPr>
        <w:t>do</w:t>
      </w:r>
      <w:r>
        <w:rPr>
          <w:lang w:eastAsia="pl-PL"/>
        </w:rPr>
        <w:t xml:space="preserve"> transparentności lub konsultacji. To zdecydowanie za mało. </w:t>
      </w:r>
      <w:r w:rsidR="008868E6">
        <w:rPr>
          <w:lang w:eastAsia="pl-PL"/>
        </w:rPr>
        <w:t>W</w:t>
      </w:r>
      <w:r>
        <w:rPr>
          <w:lang w:eastAsia="pl-PL"/>
        </w:rPr>
        <w:t xml:space="preserve">arto </w:t>
      </w:r>
      <w:r w:rsidR="008868E6">
        <w:rPr>
          <w:lang w:eastAsia="pl-PL"/>
        </w:rPr>
        <w:t xml:space="preserve">zastanowić się nad systemem </w:t>
      </w:r>
      <w:r>
        <w:rPr>
          <w:lang w:eastAsia="pl-PL"/>
        </w:rPr>
        <w:t>ocen działalnoś</w:t>
      </w:r>
      <w:r w:rsidR="008868E6">
        <w:rPr>
          <w:lang w:eastAsia="pl-PL"/>
        </w:rPr>
        <w:t>ci</w:t>
      </w:r>
      <w:r>
        <w:rPr>
          <w:lang w:eastAsia="pl-PL"/>
        </w:rPr>
        <w:t xml:space="preserve"> kluczowych (ukierunkowanych na relacje z otoczeniem) departamentów również przez pryzmat cech przywódczych, podobnie jak można wyobrazić sobie stosowanie tych kryteriów przy opisie działań Samorządu w raportach o stanie województwa</w:t>
      </w:r>
      <w:r w:rsidR="008868E6">
        <w:rPr>
          <w:lang w:eastAsia="pl-PL"/>
        </w:rPr>
        <w:t xml:space="preserve"> (np. </w:t>
      </w:r>
      <w:r w:rsidR="008868E6" w:rsidRPr="008868E6">
        <w:rPr>
          <w:i/>
          <w:lang w:eastAsia="pl-PL"/>
        </w:rPr>
        <w:t>ile i jakie ważne dla rozwoju regionu procesy zostały zainicjowane przez UMWW we współpracy z organizacjami wewnętrznego otoczenia?</w:t>
      </w:r>
      <w:r w:rsidR="008868E6">
        <w:rPr>
          <w:lang w:eastAsia="pl-PL"/>
        </w:rPr>
        <w:t>)</w:t>
      </w:r>
      <w:r>
        <w:rPr>
          <w:lang w:eastAsia="pl-PL"/>
        </w:rPr>
        <w:t>.</w:t>
      </w:r>
    </w:p>
    <w:p w14:paraId="5A27A8F7" w14:textId="28D5713F" w:rsidR="000C5F74" w:rsidRPr="00734766" w:rsidRDefault="00850E8F" w:rsidP="00895F62">
      <w:pPr>
        <w:pStyle w:val="Akapitzlist"/>
        <w:numPr>
          <w:ilvl w:val="0"/>
          <w:numId w:val="30"/>
        </w:numPr>
        <w:ind w:left="1134" w:hanging="1145"/>
        <w:rPr>
          <w:b/>
          <w:bCs/>
          <w:color w:val="002060"/>
          <w:lang w:eastAsia="pl-PL"/>
        </w:rPr>
      </w:pPr>
      <w:r w:rsidRPr="00850E8F">
        <w:rPr>
          <w:b/>
          <w:bCs/>
          <w:color w:val="002060"/>
          <w:lang w:eastAsia="pl-PL"/>
        </w:rPr>
        <w:t>Osoby zaangażowane w realizację Strategii, z którymi przeprowadzono liczne wywiady pogłębione, są świadome procesów, za które odpowiadają i wykazują bardzo wysokie przygotowanie merytoryczne. Jednak sama Strategia, w ich poczuciu, jest ich współwłasnością jedynie w części dotyczącej departamentu, w którym pracują</w:t>
      </w:r>
      <w:r>
        <w:rPr>
          <w:b/>
          <w:bCs/>
          <w:color w:val="002060"/>
          <w:lang w:eastAsia="pl-PL"/>
        </w:rPr>
        <w:t>.</w:t>
      </w:r>
    </w:p>
    <w:p w14:paraId="3E8A0142" w14:textId="05900469" w:rsidR="000C5F74" w:rsidRDefault="008868E6" w:rsidP="00302E55">
      <w:pPr>
        <w:rPr>
          <w:lang w:eastAsia="pl-PL"/>
        </w:rPr>
      </w:pPr>
      <w:r>
        <w:rPr>
          <w:lang w:eastAsia="pl-PL"/>
        </w:rPr>
        <w:t>To oczywiste i uzasadnione, że zadania bieżące, do których zalicza się również proces wdrażania Strategii, są podzielone między różne piony podlegające poszczególnym członkom Zarządu Województwa. Zauważony w trakcie ewaluacji potencjał</w:t>
      </w:r>
      <w:r w:rsidR="00A87968" w:rsidRPr="00A87968">
        <w:rPr>
          <w:lang w:eastAsia="pl-PL"/>
        </w:rPr>
        <w:t xml:space="preserve"> </w:t>
      </w:r>
      <w:r w:rsidR="00A87968">
        <w:rPr>
          <w:lang w:eastAsia="pl-PL"/>
        </w:rPr>
        <w:t>współpracy w realizacji Strategii, ale i bariery wynikające z silosowej organizacji administracji publicznej,</w:t>
      </w:r>
      <w:r>
        <w:rPr>
          <w:lang w:eastAsia="pl-PL"/>
        </w:rPr>
        <w:t xml:space="preserve"> mogą być przedmiotem dyskusji i poprawy w macierzowym systemie organizacji. Z jednej strony wyrażana jest chęć i dyskusji i zrozumienia funkcjonowania „większej całości, niż tylko wycinka, za który odpowiadamy”, z drugiej zaś musi być to sieciowanie zadań i tworzenie małych zespołów międzydepartament</w:t>
      </w:r>
      <w:r w:rsidR="00C97370">
        <w:rPr>
          <w:lang w:eastAsia="pl-PL"/>
        </w:rPr>
        <w:t xml:space="preserve">alnych oparte o proces podnoszenia kwalifikacji w zakresie współpracy (umiejętności pracy grupowej). </w:t>
      </w:r>
    </w:p>
    <w:p w14:paraId="4F5F03F6" w14:textId="7FBC0627" w:rsidR="000C5F74" w:rsidRPr="00C0746C" w:rsidRDefault="00850E8F" w:rsidP="00895F62">
      <w:pPr>
        <w:pStyle w:val="Akapitzlist"/>
        <w:numPr>
          <w:ilvl w:val="0"/>
          <w:numId w:val="60"/>
        </w:numPr>
        <w:rPr>
          <w:b/>
          <w:color w:val="002060"/>
          <w:lang w:eastAsia="pl-PL"/>
        </w:rPr>
      </w:pPr>
      <w:r w:rsidRPr="00C0746C">
        <w:rPr>
          <w:b/>
          <w:color w:val="002060"/>
          <w:lang w:eastAsia="pl-PL"/>
        </w:rPr>
        <w:t>Potrzeba systemowego wprowadzenia stałych „warsztatów strategicznych” w zespołach składających się z przedstawicieli różnych departamentów, wzbogacających możliwości interakcji w stosunku do dotychczasowych spotkań kierownictwa, a także systemowe szkolenia podnoszące kwalifikacje w zakresie współpracy i pracy zespołowej</w:t>
      </w:r>
    </w:p>
    <w:p w14:paraId="0B27DD0C" w14:textId="77777777" w:rsidR="000C5F74" w:rsidRDefault="00C97370" w:rsidP="00302E55">
      <w:pPr>
        <w:rPr>
          <w:lang w:eastAsia="pl-PL"/>
        </w:rPr>
      </w:pPr>
      <w:r>
        <w:rPr>
          <w:lang w:eastAsia="pl-PL"/>
        </w:rPr>
        <w:t xml:space="preserve">W dobie odkrywania potencjału we współpracy, relacjach sieciowych, synergii oraz mobilizacji zasobów różnych organizacji, szczególnie w takich instytucjach, jakimi są samorządy województw, można przyjmować pozycje „dominatorów” (głównie wynikającą z siły politycznej), ale również pozycje „sieciujących przywódców”. Do tego potrzebne są i decyzje zarządcze i odpowiednie kwalifikacje, których ciągłe podnoszenie powinno być wpisane w „DNA organizacji”.  </w:t>
      </w:r>
    </w:p>
    <w:p w14:paraId="1357BF53" w14:textId="454CBF6A" w:rsidR="008D09B5" w:rsidRPr="00734766" w:rsidRDefault="00850E8F" w:rsidP="00895F62">
      <w:pPr>
        <w:pStyle w:val="Akapitzlist"/>
        <w:numPr>
          <w:ilvl w:val="0"/>
          <w:numId w:val="30"/>
        </w:numPr>
        <w:ind w:left="1134" w:hanging="1145"/>
        <w:rPr>
          <w:b/>
          <w:color w:val="002060"/>
          <w:lang w:eastAsia="pl-PL"/>
        </w:rPr>
      </w:pPr>
      <w:r w:rsidRPr="00850E8F">
        <w:rPr>
          <w:b/>
          <w:color w:val="002060"/>
          <w:lang w:eastAsia="pl-PL"/>
        </w:rPr>
        <w:t>To ludzie są podmiotem polityki rozwoju, zatem aktywność prorozwojowa Samorządu Województwa powinna być ukierunkowana na budowanie jak najszerszej sieci wartościowych relacji</w:t>
      </w:r>
    </w:p>
    <w:p w14:paraId="28537BD7" w14:textId="176BE140" w:rsidR="008D09B5" w:rsidRDefault="00C97370" w:rsidP="00302E55">
      <w:pPr>
        <w:rPr>
          <w:lang w:eastAsia="pl-PL"/>
        </w:rPr>
      </w:pPr>
      <w:r>
        <w:rPr>
          <w:lang w:eastAsia="pl-PL"/>
        </w:rPr>
        <w:t>Zakładając poszerzanie strefy wpływu Samorządu Województwa na coraz więcej procesów realizowanych w regionie i przyczyniających się do jego rozwoju, należy przyjąć również współpracę sieciową (wychodzącą poza relacje dwustronne), jako kluczowy środek osiągania wyższych celów. Wymaga to również odpowiedzi jakie są cele współpracy, zachęceni</w:t>
      </w:r>
      <w:r w:rsidR="00F850AC">
        <w:rPr>
          <w:lang w:eastAsia="pl-PL"/>
        </w:rPr>
        <w:t>a</w:t>
      </w:r>
      <w:r>
        <w:rPr>
          <w:lang w:eastAsia="pl-PL"/>
        </w:rPr>
        <w:t xml:space="preserve"> do niej różn</w:t>
      </w:r>
      <w:r w:rsidR="00F850AC">
        <w:rPr>
          <w:lang w:eastAsia="pl-PL"/>
        </w:rPr>
        <w:t>ych</w:t>
      </w:r>
      <w:r>
        <w:rPr>
          <w:lang w:eastAsia="pl-PL"/>
        </w:rPr>
        <w:t xml:space="preserve"> środowisk, a w </w:t>
      </w:r>
      <w:r>
        <w:rPr>
          <w:lang w:eastAsia="pl-PL"/>
        </w:rPr>
        <w:lastRenderedPageBreak/>
        <w:t>końcu realizowani</w:t>
      </w:r>
      <w:r w:rsidR="00F850AC">
        <w:rPr>
          <w:lang w:eastAsia="pl-PL"/>
        </w:rPr>
        <w:t>a</w:t>
      </w:r>
      <w:r>
        <w:rPr>
          <w:lang w:eastAsia="pl-PL"/>
        </w:rPr>
        <w:t xml:space="preserve"> działań, zgodnie z przyjętymi wspólnie zasadami, by te doświadczenia pozwoliły budować zaufanie i wzmacniać kapitał społeczny.</w:t>
      </w:r>
    </w:p>
    <w:p w14:paraId="25C2B2C9" w14:textId="2C649D3C" w:rsidR="008D09B5" w:rsidRPr="00C0746C" w:rsidRDefault="00895F62" w:rsidP="00895F62">
      <w:pPr>
        <w:pStyle w:val="Akapitzlist"/>
        <w:numPr>
          <w:ilvl w:val="0"/>
          <w:numId w:val="60"/>
        </w:numPr>
        <w:rPr>
          <w:b/>
          <w:color w:val="002060"/>
          <w:lang w:eastAsia="pl-PL"/>
        </w:rPr>
      </w:pPr>
      <w:r>
        <w:rPr>
          <w:b/>
          <w:color w:val="002060"/>
          <w:lang w:eastAsia="pl-PL"/>
        </w:rPr>
        <w:t xml:space="preserve">Kontynuowanie </w:t>
      </w:r>
      <w:r w:rsidR="00850E8F" w:rsidRPr="00C0746C">
        <w:rPr>
          <w:b/>
          <w:color w:val="002060"/>
          <w:lang w:eastAsia="pl-PL"/>
        </w:rPr>
        <w:t>pomysłu Forum Terytorialnego oraz innych form budowania relacji wewnątrzregionalnych opartych na uzyskanych dobrych doświadczeniach, jako stałego elementu wzmacniania potencjału Samorządu Województwa na rzecz rozwoju Wielkopolski</w:t>
      </w:r>
    </w:p>
    <w:p w14:paraId="39518E07" w14:textId="29442EC8" w:rsidR="008D09B5" w:rsidRDefault="00C97370" w:rsidP="00302E55">
      <w:pPr>
        <w:rPr>
          <w:lang w:eastAsia="pl-PL"/>
        </w:rPr>
      </w:pPr>
      <w:r>
        <w:rPr>
          <w:lang w:eastAsia="pl-PL"/>
        </w:rPr>
        <w:t xml:space="preserve">Współpraca nie powinna być traktowana jako narzucany obowiązek, odrywanie od spraw bieżących, z założeniem, </w:t>
      </w:r>
      <w:r w:rsidR="56862DA9" w:rsidRPr="56862DA9">
        <w:rPr>
          <w:lang w:eastAsia="pl-PL"/>
        </w:rPr>
        <w:t>że jej</w:t>
      </w:r>
      <w:r>
        <w:rPr>
          <w:lang w:eastAsia="pl-PL"/>
        </w:rPr>
        <w:t xml:space="preserve"> efekty będą mało istotne. Współpraca sieciowa, przy proaktywnym podejściu partnerów zawsze może wygenerować takie cele, które będą istotne dla wszystkich uczestników sieci. Tu potrzebne jest wspólne zrozumienie czasem odrębnych celów i podjęcie odpowiedzialnej decyzji o nawiązaniu współpracy, </w:t>
      </w:r>
      <w:r w:rsidR="56862DA9" w:rsidRPr="56862DA9">
        <w:rPr>
          <w:lang w:eastAsia="pl-PL"/>
        </w:rPr>
        <w:t xml:space="preserve">a </w:t>
      </w:r>
      <w:r>
        <w:rPr>
          <w:lang w:eastAsia="pl-PL"/>
        </w:rPr>
        <w:t>zatem rzetelnego wywiązywania się z podjętych ustaleń.</w:t>
      </w:r>
      <w:r w:rsidR="00F015D0">
        <w:rPr>
          <w:lang w:eastAsia="pl-PL"/>
        </w:rPr>
        <w:t xml:space="preserve"> Dlatego też w tym kontekście warto podkreślić możliwość „nowego otwarcia” w rozwoju idei Forum Terytorialnego.</w:t>
      </w:r>
      <w:r>
        <w:rPr>
          <w:lang w:eastAsia="pl-PL"/>
        </w:rPr>
        <w:t xml:space="preserve"> </w:t>
      </w:r>
    </w:p>
    <w:p w14:paraId="08C2878D" w14:textId="77777777" w:rsidR="007D39AA" w:rsidRDefault="007D39AA" w:rsidP="007D39AA">
      <w:pPr>
        <w:pStyle w:val="Nagwek2"/>
      </w:pPr>
      <w:bookmarkStart w:id="303" w:name="_Toc5699507"/>
      <w:r>
        <w:t xml:space="preserve">Trzy </w:t>
      </w:r>
      <w:r w:rsidR="00AE7634">
        <w:t xml:space="preserve">problemy </w:t>
      </w:r>
      <w:r>
        <w:t>zarządzania</w:t>
      </w:r>
      <w:r w:rsidR="00AE7634">
        <w:t xml:space="preserve"> strategicznego</w:t>
      </w:r>
      <w:bookmarkEnd w:id="303"/>
    </w:p>
    <w:p w14:paraId="29D6DA01" w14:textId="2D822C70" w:rsidR="007D39AA" w:rsidRDefault="00AE7634" w:rsidP="007D39AA">
      <w:pPr>
        <w:rPr>
          <w:lang w:eastAsia="pl-PL"/>
        </w:rPr>
      </w:pPr>
      <w:r>
        <w:rPr>
          <w:lang w:eastAsia="pl-PL"/>
        </w:rPr>
        <w:t xml:space="preserve">Poniższe trzy wnioski i trzy </w:t>
      </w:r>
      <w:r w:rsidR="000817E6">
        <w:rPr>
          <w:lang w:eastAsia="pl-PL"/>
        </w:rPr>
        <w:t>zalecenia</w:t>
      </w:r>
      <w:r>
        <w:rPr>
          <w:lang w:eastAsia="pl-PL"/>
        </w:rPr>
        <w:t xml:space="preserve"> odnoszą się do sfery zarządzania strategicznego, która pomimo </w:t>
      </w:r>
      <w:r w:rsidR="56862DA9" w:rsidRPr="56862DA9">
        <w:rPr>
          <w:lang w:eastAsia="pl-PL"/>
        </w:rPr>
        <w:t>tego</w:t>
      </w:r>
      <w:r>
        <w:rPr>
          <w:lang w:eastAsia="pl-PL"/>
        </w:rPr>
        <w:t xml:space="preserve">, iż była wyodrębnionym obszarem badawczym w ewaluacji, </w:t>
      </w:r>
      <w:r w:rsidRPr="00AE7634">
        <w:rPr>
          <w:i/>
          <w:lang w:eastAsia="pl-PL"/>
        </w:rPr>
        <w:t>de facto</w:t>
      </w:r>
      <w:r>
        <w:rPr>
          <w:lang w:eastAsia="pl-PL"/>
        </w:rPr>
        <w:t xml:space="preserve"> przenikała wszystkie inne obszary zaprogramowane w dokonywanej ocenie.</w:t>
      </w:r>
    </w:p>
    <w:p w14:paraId="32763187" w14:textId="5CB00ED7" w:rsidR="008D09B5" w:rsidRPr="00734766" w:rsidRDefault="00850E8F" w:rsidP="00895F62">
      <w:pPr>
        <w:pStyle w:val="Akapitzlist"/>
        <w:numPr>
          <w:ilvl w:val="0"/>
          <w:numId w:val="30"/>
        </w:numPr>
        <w:ind w:left="1134" w:hanging="1145"/>
        <w:rPr>
          <w:b/>
          <w:color w:val="002060"/>
          <w:lang w:eastAsia="pl-PL"/>
        </w:rPr>
      </w:pPr>
      <w:r w:rsidRPr="00850E8F">
        <w:rPr>
          <w:b/>
          <w:color w:val="002060"/>
          <w:lang w:eastAsia="pl-PL"/>
        </w:rPr>
        <w:t>Dobrze rozwinięte zarządzanie strategiczne, nawet jeśli obecnie istnieje na poziomie urzędów marszałkowskich, poddane będzie w najbliższym czasie poważnej próbie</w:t>
      </w:r>
    </w:p>
    <w:p w14:paraId="7B56E7B9" w14:textId="67323535" w:rsidR="008D09B5" w:rsidRDefault="00AE7634" w:rsidP="007D39AA">
      <w:pPr>
        <w:rPr>
          <w:lang w:eastAsia="pl-PL"/>
        </w:rPr>
      </w:pPr>
      <w:r>
        <w:rPr>
          <w:lang w:eastAsia="pl-PL"/>
        </w:rPr>
        <w:t xml:space="preserve">Sposób zarządzania wdrażaniem SRWW 2020 można uznać za skuteczny i efektywny, przy pełnej świadomości możliwości wprowadzania poprawek i usprawnień, o których pisano również w niniejszej ewaluacji. Wszystkie te poukładane elementy mogą zostać poddane silnej presji wynikającej ze sposobu wdrażania dokumentu </w:t>
      </w:r>
      <w:r>
        <w:rPr>
          <w:i/>
          <w:lang w:eastAsia="pl-PL"/>
        </w:rPr>
        <w:t>System zarządzania rozwojem Polski</w:t>
      </w:r>
      <w:r>
        <w:rPr>
          <w:lang w:eastAsia="pl-PL"/>
        </w:rPr>
        <w:t>, a także ostatecznego kształtu KSRR (w tym momencie nie wiadomo</w:t>
      </w:r>
      <w:r w:rsidR="56862DA9" w:rsidRPr="56862DA9">
        <w:rPr>
          <w:lang w:eastAsia="pl-PL"/>
        </w:rPr>
        <w:t>,</w:t>
      </w:r>
      <w:r>
        <w:rPr>
          <w:lang w:eastAsia="pl-PL"/>
        </w:rPr>
        <w:t xml:space="preserve"> w jakim stopniu rząd przyjmie uwagi i krytyczne komentarze ze strony środowiska samorządowców). Te dwa proces</w:t>
      </w:r>
      <w:r w:rsidR="00F850AC">
        <w:rPr>
          <w:lang w:eastAsia="pl-PL"/>
        </w:rPr>
        <w:t>y</w:t>
      </w:r>
      <w:r>
        <w:rPr>
          <w:lang w:eastAsia="pl-PL"/>
        </w:rPr>
        <w:t xml:space="preserve"> nakładają się na proces negocjacji nowego budżetu UE.</w:t>
      </w:r>
    </w:p>
    <w:p w14:paraId="5004A2AF" w14:textId="77777777" w:rsidR="008D09B5" w:rsidRPr="00402AF5" w:rsidRDefault="00850E8F" w:rsidP="00895F62">
      <w:pPr>
        <w:pStyle w:val="Akapitzlist"/>
        <w:numPr>
          <w:ilvl w:val="0"/>
          <w:numId w:val="60"/>
        </w:numPr>
        <w:rPr>
          <w:b/>
          <w:color w:val="002060"/>
          <w:lang w:eastAsia="pl-PL"/>
        </w:rPr>
      </w:pPr>
      <w:r w:rsidRPr="00402AF5">
        <w:rPr>
          <w:b/>
          <w:color w:val="002060"/>
          <w:lang w:eastAsia="pl-PL"/>
        </w:rPr>
        <w:t>Podjęcie prac nad pogłębionymi scenariuszami reakcji Samorządu Województwa na różne bodźce zewnętrzne w sposób transparentny, inkluzyjny i zrozumiały dla pracowników wszystkich szczebli.</w:t>
      </w:r>
    </w:p>
    <w:p w14:paraId="5CE204CA" w14:textId="1C436ECB" w:rsidR="008D09B5" w:rsidRDefault="00AE7634" w:rsidP="007D39AA">
      <w:pPr>
        <w:rPr>
          <w:lang w:eastAsia="pl-PL"/>
        </w:rPr>
      </w:pPr>
      <w:r>
        <w:rPr>
          <w:lang w:eastAsia="pl-PL"/>
        </w:rPr>
        <w:t xml:space="preserve">W tym celu należy wykorzystać potencjał, jaki przejawia się w samej aktualnej SRWW 2020 – w dokumencie założono wariantową realizację Strategii i przedstawiono trzy scenariusze. Warto jest stosować metody scenariuszowe również do działań krótkookresowych. Ich wyniki nie tylko uświadamiają wszystkim uczestnikom skalę koniecznych reakcji, ale </w:t>
      </w:r>
      <w:r w:rsidR="003916DF">
        <w:rPr>
          <w:lang w:eastAsia="pl-PL"/>
        </w:rPr>
        <w:t xml:space="preserve">przede wszystkim pozwalają przygotować się </w:t>
      </w:r>
      <w:r w:rsidR="56862DA9" w:rsidRPr="56862DA9">
        <w:rPr>
          <w:lang w:eastAsia="pl-PL"/>
        </w:rPr>
        <w:t xml:space="preserve">na </w:t>
      </w:r>
      <w:r w:rsidR="003916DF">
        <w:rPr>
          <w:lang w:eastAsia="pl-PL"/>
        </w:rPr>
        <w:t>nadchodzące zmiany.</w:t>
      </w:r>
    </w:p>
    <w:p w14:paraId="65DEA4D4" w14:textId="30CB1658" w:rsidR="008D09B5" w:rsidRPr="00734766" w:rsidRDefault="00850E8F" w:rsidP="00895F62">
      <w:pPr>
        <w:pStyle w:val="Akapitzlist"/>
        <w:numPr>
          <w:ilvl w:val="0"/>
          <w:numId w:val="30"/>
        </w:numPr>
        <w:ind w:left="1134" w:hanging="1145"/>
        <w:rPr>
          <w:b/>
          <w:color w:val="002060"/>
          <w:lang w:eastAsia="pl-PL"/>
        </w:rPr>
      </w:pPr>
      <w:r w:rsidRPr="00850E8F">
        <w:rPr>
          <w:b/>
          <w:color w:val="002060"/>
          <w:lang w:eastAsia="pl-PL"/>
        </w:rPr>
        <w:t>Planowanie strategiczne wciąż nie jest procesem „budowania strategii”. Zapomina się, że proces tworzenia dokumentu, z punktu widzenia wzmacniania potencjału ludzkiego i instytucjonalnego dla późniejszej jego realizacji, jest tak samo ważny, jak sama realizacja</w:t>
      </w:r>
      <w:r>
        <w:rPr>
          <w:b/>
          <w:color w:val="002060"/>
          <w:lang w:eastAsia="pl-PL"/>
        </w:rPr>
        <w:t>.</w:t>
      </w:r>
    </w:p>
    <w:p w14:paraId="296644FD" w14:textId="3D850799" w:rsidR="008D09B5" w:rsidRDefault="003916DF" w:rsidP="008D09B5">
      <w:pPr>
        <w:rPr>
          <w:lang w:eastAsia="pl-PL"/>
        </w:rPr>
      </w:pPr>
      <w:r>
        <w:rPr>
          <w:lang w:eastAsia="pl-PL"/>
        </w:rPr>
        <w:t xml:space="preserve">Nawet wówczas, gdy strategię „się pisze”, a następnie jej fragmenty „się wdraża”, cały proces planowania może przynieść finalnie pozytywne efekty, co jest częstym argumentem dla tych, którzy </w:t>
      </w:r>
      <w:r w:rsidR="56862DA9" w:rsidRPr="56862DA9">
        <w:rPr>
          <w:lang w:eastAsia="pl-PL"/>
        </w:rPr>
        <w:t xml:space="preserve">traktują </w:t>
      </w:r>
      <w:r>
        <w:rPr>
          <w:lang w:eastAsia="pl-PL"/>
        </w:rPr>
        <w:t xml:space="preserve">strategię, jako dokument pozwalający pozyskać środki zewnętrzne. Zapomina się w takich </w:t>
      </w:r>
      <w:r>
        <w:rPr>
          <w:lang w:eastAsia="pl-PL"/>
        </w:rPr>
        <w:lastRenderedPageBreak/>
        <w:t>sytuacjach o niewykorzystanych potencjałach synergii, brakuje również odpowiedzi na pytanie, czy nie osiągnęlibyśmy więcej, gdybyśmy realizowali nie krótkowzroczną reakcję na dane impulsy, a rzeczywiste planowanie strategiczne.</w:t>
      </w:r>
    </w:p>
    <w:p w14:paraId="53716DEF" w14:textId="77777777" w:rsidR="008D09B5" w:rsidRPr="00402AF5" w:rsidRDefault="00850E8F" w:rsidP="00895F62">
      <w:pPr>
        <w:pStyle w:val="Akapitzlist"/>
        <w:numPr>
          <w:ilvl w:val="0"/>
          <w:numId w:val="60"/>
        </w:numPr>
        <w:rPr>
          <w:b/>
          <w:color w:val="002060"/>
          <w:lang w:eastAsia="pl-PL"/>
        </w:rPr>
      </w:pPr>
      <w:r w:rsidRPr="00402AF5">
        <w:rPr>
          <w:b/>
          <w:color w:val="002060"/>
          <w:lang w:eastAsia="pl-PL"/>
        </w:rPr>
        <w:t>Uruchomienie procesu „instrumentalizacji Strategii”, którego efektem będzie traktowanie jej jako rdzenia wszelkich inicjatyw strategicznych, w tym sieci współpracy.</w:t>
      </w:r>
    </w:p>
    <w:p w14:paraId="4193435D" w14:textId="14DFD2AC" w:rsidR="003916DF" w:rsidRDefault="003916DF" w:rsidP="008D09B5">
      <w:pPr>
        <w:rPr>
          <w:lang w:eastAsia="pl-PL"/>
        </w:rPr>
      </w:pPr>
      <w:r>
        <w:rPr>
          <w:lang w:eastAsia="pl-PL"/>
        </w:rPr>
        <w:t xml:space="preserve">Zarówno w SOR, jak i w projekcie KSRR znalazły się tzw. „projekty strategiczne”. Samorządy Województw będą nakłaniane również do takich zabiegów, które z punktu widzenia planowania strategicznego i planowania operacyjnego mogą być traktowane jako błąd. Jednak wpisanie do Strategii określonych projektów strategicznych nie stanowi </w:t>
      </w:r>
      <w:r w:rsidR="00F850AC">
        <w:rPr>
          <w:lang w:eastAsia="pl-PL"/>
        </w:rPr>
        <w:t>o</w:t>
      </w:r>
      <w:r>
        <w:rPr>
          <w:lang w:eastAsia="pl-PL"/>
        </w:rPr>
        <w:t xml:space="preserve"> </w:t>
      </w:r>
      <w:r w:rsidR="56862DA9" w:rsidRPr="56862DA9">
        <w:rPr>
          <w:lang w:eastAsia="pl-PL"/>
        </w:rPr>
        <w:t xml:space="preserve">jej </w:t>
      </w:r>
      <w:r>
        <w:rPr>
          <w:lang w:eastAsia="pl-PL"/>
        </w:rPr>
        <w:t xml:space="preserve">użyteczności w sensie planowania strategicznego. By to uczynić, już na etapie tworzenia dokumentu musi powstać wizja nie tylko rozwoju regionu, ale również wizja wykorzystywania SRWW 2020 jako narzędzia sprawnego zarządzania. Zatem w procesie budowania Strategii muszą uczestniczyć w sposób aktywny </w:t>
      </w:r>
      <w:r w:rsidR="56862DA9" w:rsidRPr="56862DA9">
        <w:rPr>
          <w:lang w:eastAsia="pl-PL"/>
        </w:rPr>
        <w:t xml:space="preserve">jej </w:t>
      </w:r>
      <w:r>
        <w:rPr>
          <w:lang w:eastAsia="pl-PL"/>
        </w:rPr>
        <w:t>kluczowi interesariusze</w:t>
      </w:r>
      <w:r w:rsidR="00FA2B76">
        <w:rPr>
          <w:lang w:eastAsia="pl-PL"/>
        </w:rPr>
        <w:t>, którzy p</w:t>
      </w:r>
      <w:r w:rsidR="56862DA9" w:rsidRPr="56862DA9">
        <w:rPr>
          <w:lang w:eastAsia="pl-PL"/>
        </w:rPr>
        <w:t>owinni</w:t>
      </w:r>
      <w:r>
        <w:rPr>
          <w:lang w:eastAsia="pl-PL"/>
        </w:rPr>
        <w:t xml:space="preserve"> mieć świadomość, że od ich postawy i dalszych relacji zewnętrznych zależy, jak wiele osób będzie miało pełną świadomość wdrażania Strategii.</w:t>
      </w:r>
    </w:p>
    <w:p w14:paraId="597C40C8" w14:textId="77777777" w:rsidR="00FA2B76" w:rsidRDefault="003916DF" w:rsidP="003916DF">
      <w:pPr>
        <w:rPr>
          <w:lang w:eastAsia="pl-PL"/>
        </w:rPr>
      </w:pPr>
      <w:r>
        <w:rPr>
          <w:lang w:eastAsia="pl-PL"/>
        </w:rPr>
        <w:t xml:space="preserve">W sferze operacyjnej konieczne jest również opracowanie zasad łączenia zapisów Strategii z programami wdrożeniowymi. Nie wystarczy założenie, że Strategia jest dokumentem ogólnym, a w danym momencie nie wiadomo jakie dokładnie programy będą wdrażane. W procesie tworzenia </w:t>
      </w:r>
      <w:r w:rsidR="56862DA9" w:rsidRPr="56862DA9">
        <w:rPr>
          <w:lang w:eastAsia="pl-PL"/>
        </w:rPr>
        <w:t>Strategii</w:t>
      </w:r>
      <w:r>
        <w:rPr>
          <w:lang w:eastAsia="pl-PL"/>
        </w:rPr>
        <w:t xml:space="preserve"> muszą uczestniczyć „wdrożeniowcy” i </w:t>
      </w:r>
      <w:r w:rsidR="56862DA9" w:rsidRPr="56862DA9">
        <w:rPr>
          <w:lang w:eastAsia="pl-PL"/>
        </w:rPr>
        <w:t>powinny</w:t>
      </w:r>
      <w:r>
        <w:rPr>
          <w:lang w:eastAsia="pl-PL"/>
        </w:rPr>
        <w:t xml:space="preserve"> zapadać decyzje w jaki sposób będzie zorganizowane przełożenie zapisów </w:t>
      </w:r>
      <w:r w:rsidR="56862DA9" w:rsidRPr="56862DA9">
        <w:rPr>
          <w:lang w:eastAsia="pl-PL"/>
        </w:rPr>
        <w:t>Strategii</w:t>
      </w:r>
      <w:r>
        <w:rPr>
          <w:lang w:eastAsia="pl-PL"/>
        </w:rPr>
        <w:t xml:space="preserve"> na programy</w:t>
      </w:r>
      <w:r w:rsidR="00A87968">
        <w:rPr>
          <w:lang w:eastAsia="pl-PL"/>
        </w:rPr>
        <w:t>, a także</w:t>
      </w:r>
      <w:r>
        <w:rPr>
          <w:lang w:eastAsia="pl-PL"/>
        </w:rPr>
        <w:t xml:space="preserve"> jakie będą wymagania wobec programów ze strony Strategii.</w:t>
      </w:r>
      <w:r w:rsidR="00FA2B76">
        <w:rPr>
          <w:lang w:eastAsia="pl-PL"/>
        </w:rPr>
        <w:t xml:space="preserve"> Taka „instrumentalizacja Strategii” mogłaby odbywać się na dwóch poziomach:</w:t>
      </w:r>
    </w:p>
    <w:p w14:paraId="498C22F2" w14:textId="6FB3C96B" w:rsidR="003916DF" w:rsidRDefault="00704230" w:rsidP="00895F62">
      <w:pPr>
        <w:pStyle w:val="Akapitzlist"/>
        <w:numPr>
          <w:ilvl w:val="0"/>
          <w:numId w:val="58"/>
        </w:numPr>
        <w:ind w:left="426"/>
        <w:rPr>
          <w:lang w:eastAsia="pl-PL"/>
        </w:rPr>
      </w:pPr>
      <w:r>
        <w:rPr>
          <w:lang w:eastAsia="pl-PL"/>
        </w:rPr>
        <w:t xml:space="preserve">określenia </w:t>
      </w:r>
      <w:r w:rsidR="00FA2B76">
        <w:rPr>
          <w:lang w:eastAsia="pl-PL"/>
        </w:rPr>
        <w:t xml:space="preserve">wspólnych zasad tworzenia i realizacji dokumentów </w:t>
      </w:r>
      <w:r>
        <w:rPr>
          <w:lang w:eastAsia="pl-PL"/>
        </w:rPr>
        <w:t>–</w:t>
      </w:r>
      <w:r w:rsidR="00FA2B76">
        <w:rPr>
          <w:lang w:eastAsia="pl-PL"/>
        </w:rPr>
        <w:t xml:space="preserve"> </w:t>
      </w:r>
      <w:r>
        <w:rPr>
          <w:lang w:eastAsia="pl-PL"/>
        </w:rPr>
        <w:t>dobrym punktem wyjścia są zasady przyjęte w aktualnej SRWW (solidarność, współuczestnictwo, odpowiedzialność, efektywność ekonomiczna, troska o środowisko, równowaga społeczna, równowaga funkcjonalna). W trakcie prac nad aktualizacją Strategii powinny być przedyskutowane sposoby przełożenia tych (lub innych wypracowanych) zasad na dokumenty wdrożeniowe (np. konieczność tworzenia dokumentów operacyjnych we współpracy z przedstawicielami potencjalnych interesariuszy spoza Samorządu);</w:t>
      </w:r>
    </w:p>
    <w:p w14:paraId="5B7D4458" w14:textId="03AB833B" w:rsidR="00704230" w:rsidRDefault="00704230" w:rsidP="00895F62">
      <w:pPr>
        <w:pStyle w:val="Akapitzlist"/>
        <w:numPr>
          <w:ilvl w:val="0"/>
          <w:numId w:val="58"/>
        </w:numPr>
        <w:ind w:left="426"/>
        <w:rPr>
          <w:lang w:eastAsia="pl-PL"/>
        </w:rPr>
      </w:pPr>
      <w:r>
        <w:rPr>
          <w:lang w:eastAsia="pl-PL"/>
        </w:rPr>
        <w:t xml:space="preserve">określenia konkretnych efektów realizacji różnych programów wdrożeniowych – najlepiej w formie wskaźników, które powinny być obligatoryjne dla tych programów, niezależnie od innych obligatoryjnych wskaźników narzucanych np. przez regulacje prawne. Tego typu podejście zagwarantowałoby rzeczywistą spójność Strategii z realizowanymi w regionie programami. </w:t>
      </w:r>
    </w:p>
    <w:p w14:paraId="202587CA" w14:textId="48BA7324" w:rsidR="008D09B5" w:rsidRDefault="003916DF" w:rsidP="008D09B5">
      <w:pPr>
        <w:rPr>
          <w:lang w:eastAsia="pl-PL"/>
        </w:rPr>
      </w:pPr>
      <w:r>
        <w:rPr>
          <w:lang w:eastAsia="pl-PL"/>
        </w:rPr>
        <w:t xml:space="preserve">„Instrumentalizacja Strategii” wymaga również podjęcia decyzji o częstych i </w:t>
      </w:r>
      <w:r w:rsidR="00FA2B76">
        <w:rPr>
          <w:lang w:eastAsia="pl-PL"/>
        </w:rPr>
        <w:t xml:space="preserve">syntetycznych </w:t>
      </w:r>
      <w:r>
        <w:rPr>
          <w:lang w:eastAsia="pl-PL"/>
        </w:rPr>
        <w:t xml:space="preserve">sprawozdaniach dla </w:t>
      </w:r>
      <w:r w:rsidR="56862DA9" w:rsidRPr="56862DA9">
        <w:rPr>
          <w:lang w:eastAsia="pl-PL"/>
        </w:rPr>
        <w:t>Zarządu</w:t>
      </w:r>
      <w:r>
        <w:rPr>
          <w:lang w:eastAsia="pl-PL"/>
        </w:rPr>
        <w:t xml:space="preserve"> na temat realizacji Strategii. </w:t>
      </w:r>
      <w:r w:rsidR="000C289A">
        <w:rPr>
          <w:lang w:eastAsia="pl-PL"/>
        </w:rPr>
        <w:t>Takie podejście w oczywisty sposób zakłada, iż budując Strategię należy zwrócić większą uwagę na wskaźniki realizacji pochodzące z samej organizacji, czyli Samorządu Województwa, nie zaś ze statystyki publicznej.</w:t>
      </w:r>
    </w:p>
    <w:p w14:paraId="5AD71D1C" w14:textId="2CB74982" w:rsidR="008D09B5" w:rsidRDefault="000C289A" w:rsidP="008D09B5">
      <w:pPr>
        <w:rPr>
          <w:lang w:eastAsia="pl-PL"/>
        </w:rPr>
      </w:pPr>
      <w:r>
        <w:rPr>
          <w:lang w:eastAsia="pl-PL"/>
        </w:rPr>
        <w:t xml:space="preserve">Ostatni postulat związany z </w:t>
      </w:r>
      <w:r w:rsidR="000817E6">
        <w:rPr>
          <w:lang w:eastAsia="pl-PL"/>
        </w:rPr>
        <w:t>tym</w:t>
      </w:r>
      <w:r>
        <w:rPr>
          <w:lang w:eastAsia="pl-PL"/>
        </w:rPr>
        <w:t xml:space="preserve"> </w:t>
      </w:r>
      <w:r w:rsidR="000817E6">
        <w:rPr>
          <w:lang w:eastAsia="pl-PL"/>
        </w:rPr>
        <w:t>zaleceniem</w:t>
      </w:r>
      <w:r>
        <w:rPr>
          <w:lang w:eastAsia="pl-PL"/>
        </w:rPr>
        <w:t xml:space="preserve"> dotyczy p</w:t>
      </w:r>
      <w:r w:rsidR="00C13767">
        <w:rPr>
          <w:lang w:eastAsia="pl-PL"/>
        </w:rPr>
        <w:t>rzyjęci</w:t>
      </w:r>
      <w:r>
        <w:rPr>
          <w:lang w:eastAsia="pl-PL"/>
        </w:rPr>
        <w:t>a</w:t>
      </w:r>
      <w:r w:rsidR="00C13767">
        <w:rPr>
          <w:lang w:eastAsia="pl-PL"/>
        </w:rPr>
        <w:t xml:space="preserve"> zasady, iż </w:t>
      </w:r>
      <w:r w:rsidR="56862DA9" w:rsidRPr="56862DA9">
        <w:rPr>
          <w:lang w:eastAsia="pl-PL"/>
        </w:rPr>
        <w:t>Strategię</w:t>
      </w:r>
      <w:r w:rsidR="00C13767">
        <w:rPr>
          <w:lang w:eastAsia="pl-PL"/>
        </w:rPr>
        <w:t xml:space="preserve"> </w:t>
      </w:r>
      <w:r>
        <w:rPr>
          <w:lang w:eastAsia="pl-PL"/>
        </w:rPr>
        <w:t xml:space="preserve">można, a </w:t>
      </w:r>
      <w:r w:rsidR="56862DA9" w:rsidRPr="56862DA9">
        <w:rPr>
          <w:lang w:eastAsia="pl-PL"/>
        </w:rPr>
        <w:t>wręcz</w:t>
      </w:r>
      <w:r>
        <w:rPr>
          <w:lang w:eastAsia="pl-PL"/>
        </w:rPr>
        <w:t xml:space="preserve"> powinno się, </w:t>
      </w:r>
      <w:r w:rsidR="00C13767">
        <w:rPr>
          <w:lang w:eastAsia="pl-PL"/>
        </w:rPr>
        <w:t>aktualizowa</w:t>
      </w:r>
      <w:r>
        <w:rPr>
          <w:lang w:eastAsia="pl-PL"/>
        </w:rPr>
        <w:t xml:space="preserve">ć wówczas, gdy </w:t>
      </w:r>
      <w:r w:rsidR="56862DA9" w:rsidRPr="56862DA9">
        <w:rPr>
          <w:rFonts w:eastAsia="Calibri"/>
          <w:szCs w:val="22"/>
        </w:rPr>
        <w:t>istnieje</w:t>
      </w:r>
      <w:r w:rsidRPr="56862DA9">
        <w:rPr>
          <w:rFonts w:eastAsia="Calibri"/>
          <w:szCs w:val="22"/>
        </w:rPr>
        <w:t xml:space="preserve"> taka potrzeba </w:t>
      </w:r>
      <w:r w:rsidR="56862DA9" w:rsidRPr="56862DA9">
        <w:rPr>
          <w:rFonts w:eastAsia="Calibri"/>
          <w:szCs w:val="22"/>
        </w:rPr>
        <w:t>wewnątrz</w:t>
      </w:r>
      <w:r w:rsidR="56862DA9" w:rsidRPr="56862DA9">
        <w:rPr>
          <w:lang w:eastAsia="pl-PL"/>
        </w:rPr>
        <w:t xml:space="preserve"> </w:t>
      </w:r>
      <w:r>
        <w:rPr>
          <w:lang w:eastAsia="pl-PL"/>
        </w:rPr>
        <w:t>organizacji.</w:t>
      </w:r>
    </w:p>
    <w:p w14:paraId="09849504" w14:textId="158D53AD" w:rsidR="008D09B5" w:rsidRPr="00734766" w:rsidRDefault="00E231F3" w:rsidP="00895F62">
      <w:pPr>
        <w:pStyle w:val="Akapitzlist"/>
        <w:numPr>
          <w:ilvl w:val="0"/>
          <w:numId w:val="30"/>
        </w:numPr>
        <w:ind w:left="1134" w:hanging="1145"/>
        <w:rPr>
          <w:b/>
          <w:color w:val="002060"/>
          <w:lang w:eastAsia="pl-PL"/>
        </w:rPr>
      </w:pPr>
      <w:r w:rsidRPr="00E231F3">
        <w:rPr>
          <w:b/>
          <w:color w:val="002060"/>
          <w:lang w:eastAsia="pl-PL"/>
        </w:rPr>
        <w:t>Potencjał rozwojowy województwa wielkopolskiego jest na tyle silny, że może ono stosować i wzmacniać model rozwoju endogennego</w:t>
      </w:r>
    </w:p>
    <w:p w14:paraId="3E5565C3" w14:textId="2631C1B4" w:rsidR="008D09B5" w:rsidRDefault="000C289A" w:rsidP="008D09B5">
      <w:pPr>
        <w:rPr>
          <w:lang w:eastAsia="pl-PL"/>
        </w:rPr>
      </w:pPr>
      <w:r>
        <w:rPr>
          <w:lang w:eastAsia="pl-PL"/>
        </w:rPr>
        <w:lastRenderedPageBreak/>
        <w:t>Wszystkie regiony w Polsce korzystają ze środków unijnych i innych form wsparcia międzynarodowego już od pierwszych funduszy przedakcesyjnych. Obecna polityka rządu ukierunkowana jest na obszary problemowe, których w Wielkopolsce jest relatywnie mało (przy zastosowanych rozwiązaniach metodycznych wyznaczania tych obszarów)</w:t>
      </w:r>
      <w:r w:rsidR="008D09B5">
        <w:rPr>
          <w:lang w:eastAsia="pl-PL"/>
        </w:rPr>
        <w:t>.</w:t>
      </w:r>
      <w:r>
        <w:rPr>
          <w:lang w:eastAsia="pl-PL"/>
        </w:rPr>
        <w:t xml:space="preserve"> Nie oznacza to, że w województwie nie ma problemów. </w:t>
      </w:r>
      <w:r w:rsidR="56862DA9" w:rsidRPr="56862DA9">
        <w:rPr>
          <w:lang w:eastAsia="pl-PL"/>
        </w:rPr>
        <w:t>Różnica</w:t>
      </w:r>
      <w:r>
        <w:rPr>
          <w:lang w:eastAsia="pl-PL"/>
        </w:rPr>
        <w:t xml:space="preserve"> między Wielkopolską a regionami peryferyjnymi nie wynika z położenia, ale z faktu, iż Wielkopolska ma silnie wykształcony potencjał endogeniczny (ponownie można sprowadzić go do poczwórnej helisy). Oczywiście, nie chodzi o to, że region powinien „zamknąć się w sobie”, lecz o to, że ów potencjał endogeniczny pozwala regionowi kształtować swoją ścieżkę rozwoju, wykorzystując do tego również pojawiające się na zewnątrz regionu szanse.</w:t>
      </w:r>
    </w:p>
    <w:p w14:paraId="6D2DC33A" w14:textId="77777777" w:rsidR="008D09B5" w:rsidRPr="00402AF5" w:rsidRDefault="00E231F3" w:rsidP="00895F62">
      <w:pPr>
        <w:pStyle w:val="Akapitzlist"/>
        <w:numPr>
          <w:ilvl w:val="0"/>
          <w:numId w:val="60"/>
        </w:numPr>
        <w:rPr>
          <w:b/>
          <w:color w:val="002060"/>
          <w:lang w:eastAsia="pl-PL"/>
        </w:rPr>
      </w:pPr>
      <w:r w:rsidRPr="00402AF5">
        <w:rPr>
          <w:b/>
          <w:color w:val="002060"/>
          <w:lang w:eastAsia="pl-PL"/>
        </w:rPr>
        <w:t>Wypracowanie w ramach procesu aktualizacji Strategii założeń do „programu wzmocnienia instytucjonalnego regionu”, którego celem będzie podniesienie zdolności kooperacyjnych wewnątrz województwa, a także zdolności konkurencyjnych poza jego granicami.</w:t>
      </w:r>
    </w:p>
    <w:p w14:paraId="0FA77CA9" w14:textId="71B10696" w:rsidR="007D39AA" w:rsidRDefault="000C289A" w:rsidP="007D39AA">
      <w:pPr>
        <w:rPr>
          <w:lang w:eastAsia="pl-PL"/>
        </w:rPr>
      </w:pPr>
      <w:r>
        <w:rPr>
          <w:lang w:eastAsia="pl-PL"/>
        </w:rPr>
        <w:t>Jako przykład real</w:t>
      </w:r>
      <w:r w:rsidR="000817E6">
        <w:rPr>
          <w:lang w:eastAsia="pl-PL"/>
        </w:rPr>
        <w:t>izacji idei zawartej w powyższym</w:t>
      </w:r>
      <w:r>
        <w:rPr>
          <w:lang w:eastAsia="pl-PL"/>
        </w:rPr>
        <w:t xml:space="preserve"> </w:t>
      </w:r>
      <w:r w:rsidR="000817E6">
        <w:rPr>
          <w:lang w:eastAsia="pl-PL"/>
        </w:rPr>
        <w:t>zaleceniu</w:t>
      </w:r>
      <w:r>
        <w:rPr>
          <w:lang w:eastAsia="pl-PL"/>
        </w:rPr>
        <w:t xml:space="preserve"> można podać próbę odpowiedzi na pytanie, w jaki sposób Samorząd Województwa może przyczynić się do wzrostu aktywności firm z regionu w wykorzystywaniu środków w ramach Krajowej Inteligentnej Specjalizacji?</w:t>
      </w:r>
    </w:p>
    <w:p w14:paraId="27662B26" w14:textId="77777777" w:rsidR="007D39AA" w:rsidRPr="007D39AA" w:rsidRDefault="007D39AA" w:rsidP="007D39AA">
      <w:pPr>
        <w:pStyle w:val="Nagwek2"/>
      </w:pPr>
      <w:bookmarkStart w:id="304" w:name="_Toc5699508"/>
      <w:r>
        <w:t>Trzy sugestie do aktualizacji Strategii</w:t>
      </w:r>
      <w:bookmarkEnd w:id="304"/>
    </w:p>
    <w:p w14:paraId="15921CC9" w14:textId="609F4EED" w:rsidR="008D09B5" w:rsidRDefault="000C289A" w:rsidP="00302E55">
      <w:pPr>
        <w:rPr>
          <w:lang w:eastAsia="pl-PL"/>
        </w:rPr>
      </w:pPr>
      <w:r>
        <w:rPr>
          <w:lang w:eastAsia="pl-PL"/>
        </w:rPr>
        <w:t>W procesie aktualizacji Strategii będą rozpatrywane różne sugestie i oceny zawarte w niniejszej ewaluacji</w:t>
      </w:r>
      <w:r w:rsidR="00565F6B">
        <w:rPr>
          <w:lang w:eastAsia="pl-PL"/>
        </w:rPr>
        <w:t xml:space="preserve">. Ewaluacja koncentrowała się właśnie na Strategii województwa. Z punktu widzenia ewaluatorów poniższe trzy wnioski i trzy </w:t>
      </w:r>
      <w:r w:rsidR="000817E6">
        <w:rPr>
          <w:lang w:eastAsia="pl-PL"/>
        </w:rPr>
        <w:t>zalecenia</w:t>
      </w:r>
      <w:r w:rsidR="00565F6B">
        <w:rPr>
          <w:lang w:eastAsia="pl-PL"/>
        </w:rPr>
        <w:t xml:space="preserve"> stanowią punkt wyjścia do dyskusji szczegółowych.</w:t>
      </w:r>
    </w:p>
    <w:p w14:paraId="2167058A" w14:textId="77777777" w:rsidR="008D09B5" w:rsidRPr="00734766" w:rsidRDefault="00E231F3" w:rsidP="00895F62">
      <w:pPr>
        <w:pStyle w:val="Akapitzlist"/>
        <w:numPr>
          <w:ilvl w:val="0"/>
          <w:numId w:val="30"/>
        </w:numPr>
        <w:ind w:left="1134" w:hanging="1145"/>
        <w:rPr>
          <w:b/>
          <w:color w:val="002060"/>
          <w:lang w:eastAsia="pl-PL"/>
        </w:rPr>
      </w:pPr>
      <w:r w:rsidRPr="00E231F3">
        <w:rPr>
          <w:b/>
          <w:color w:val="002060"/>
          <w:lang w:eastAsia="pl-PL"/>
        </w:rPr>
        <w:t>Model rozwoju opisany w SRWW 2020 jest odważną i opartą na twardych przesłankach merytorycznych deklaracją podejścia władz regionalnych do przyszłości województwa</w:t>
      </w:r>
      <w:r>
        <w:rPr>
          <w:b/>
          <w:color w:val="002060"/>
          <w:lang w:eastAsia="pl-PL"/>
        </w:rPr>
        <w:t>.</w:t>
      </w:r>
    </w:p>
    <w:p w14:paraId="084C53A8" w14:textId="77777777" w:rsidR="008D09B5" w:rsidRDefault="00565F6B" w:rsidP="008D09B5">
      <w:pPr>
        <w:rPr>
          <w:lang w:eastAsia="pl-PL"/>
        </w:rPr>
      </w:pPr>
      <w:r>
        <w:rPr>
          <w:lang w:eastAsia="pl-PL"/>
        </w:rPr>
        <w:t>Obecnie w dokumentach rządowych krytykowany jest „model polaryzacyjno-dyfuzyjny”, a zastąpić go mają hasła: „rozwój sprawiedliwy”, „rozwój zrównoważony terytorialnie”, przy braku odniesienia do tego, w jaki sposób wizjonerzy rządowi widzą relacje między metropoliami a ich regionami? Z drugiej strony polityki UE ukierunkowane są na szeroko rozumianą innowacyjność, co może sprawiać wrażenie sprzeczności między narracją oferowaną w projekcie KSRR, a tym, co wszystkie województwa będą prawdopodobnie realizowały w przyszłych programach operacyjnych.</w:t>
      </w:r>
    </w:p>
    <w:p w14:paraId="7332034F" w14:textId="77777777" w:rsidR="00565F6B" w:rsidRDefault="00565F6B" w:rsidP="008D09B5">
      <w:pPr>
        <w:rPr>
          <w:lang w:eastAsia="pl-PL"/>
        </w:rPr>
      </w:pPr>
      <w:r>
        <w:rPr>
          <w:lang w:eastAsia="pl-PL"/>
        </w:rPr>
        <w:t>Model dyfuzyjno-absorpcyjny jest, co do zasady, dobrą odpowiedzią również na obecne uwarunkowania zewnętrzne i zachowuje ideę budowania przewagi regionu w oparciu o silne ośrodki wzrostu.</w:t>
      </w:r>
    </w:p>
    <w:p w14:paraId="60B5DF24" w14:textId="77777777" w:rsidR="008D09B5" w:rsidRPr="00402AF5" w:rsidRDefault="00893A47" w:rsidP="00895F62">
      <w:pPr>
        <w:pStyle w:val="Akapitzlist"/>
        <w:numPr>
          <w:ilvl w:val="0"/>
          <w:numId w:val="60"/>
        </w:numPr>
        <w:rPr>
          <w:b/>
          <w:color w:val="002060"/>
          <w:lang w:eastAsia="pl-PL"/>
        </w:rPr>
      </w:pPr>
      <w:r w:rsidRPr="00402AF5">
        <w:rPr>
          <w:b/>
          <w:color w:val="002060"/>
          <w:lang w:eastAsia="pl-PL"/>
        </w:rPr>
        <w:t xml:space="preserve">Zachowanie dotychczasowego modelu rozwoju z rozważeniem zmian w zakresie umiejscowienia </w:t>
      </w:r>
      <w:r w:rsidR="00565F6B" w:rsidRPr="00402AF5">
        <w:rPr>
          <w:b/>
          <w:color w:val="002060"/>
          <w:lang w:eastAsia="pl-PL"/>
        </w:rPr>
        <w:t xml:space="preserve">i kształtu </w:t>
      </w:r>
      <w:r w:rsidRPr="00402AF5">
        <w:rPr>
          <w:b/>
          <w:color w:val="002060"/>
          <w:lang w:eastAsia="pl-PL"/>
        </w:rPr>
        <w:t xml:space="preserve">wizji, </w:t>
      </w:r>
      <w:r w:rsidR="00565F6B" w:rsidRPr="00402AF5">
        <w:rPr>
          <w:b/>
          <w:color w:val="002060"/>
          <w:lang w:eastAsia="pl-PL"/>
        </w:rPr>
        <w:t xml:space="preserve">a także </w:t>
      </w:r>
      <w:r w:rsidRPr="00402AF5">
        <w:rPr>
          <w:b/>
          <w:color w:val="002060"/>
          <w:lang w:eastAsia="pl-PL"/>
        </w:rPr>
        <w:t>roli misji</w:t>
      </w:r>
      <w:r w:rsidR="00565F6B" w:rsidRPr="00402AF5">
        <w:rPr>
          <w:b/>
          <w:color w:val="002060"/>
          <w:lang w:eastAsia="pl-PL"/>
        </w:rPr>
        <w:t xml:space="preserve"> w dokumencie.</w:t>
      </w:r>
      <w:r w:rsidRPr="00402AF5">
        <w:rPr>
          <w:b/>
          <w:color w:val="002060"/>
          <w:lang w:eastAsia="pl-PL"/>
        </w:rPr>
        <w:t xml:space="preserve"> </w:t>
      </w:r>
    </w:p>
    <w:p w14:paraId="3C3E4238" w14:textId="68BEB1C6" w:rsidR="008D09B5" w:rsidRDefault="00565F6B" w:rsidP="008D09B5">
      <w:pPr>
        <w:rPr>
          <w:lang w:eastAsia="pl-PL"/>
        </w:rPr>
      </w:pPr>
      <w:r>
        <w:rPr>
          <w:lang w:eastAsia="pl-PL"/>
        </w:rPr>
        <w:t xml:space="preserve">W szczególności warto zwrócić uwagę na zwiększenie przejrzystości dokumentu dla lepszego i szerszego odbioru. Przekaz strategiczny warto zacząć od sformułowania wizji, której realizacja powinna determinować również kolejne części Strategii. Zasugerowane w ewaluacji uwagi dotyczące misji sprowadzają się do krytyki podejścia traktującego Samorząd Województwa jako podmiot misji. </w:t>
      </w:r>
      <w:r w:rsidR="000817E6">
        <w:rPr>
          <w:lang w:eastAsia="pl-PL"/>
        </w:rPr>
        <w:t>Zalecane</w:t>
      </w:r>
      <w:r>
        <w:rPr>
          <w:lang w:eastAsia="pl-PL"/>
        </w:rPr>
        <w:t xml:space="preserve"> jest rozważenie odpowiedzi w Strategii na pytanie: dlaczego Wielkopolska ma Strategię?</w:t>
      </w:r>
    </w:p>
    <w:p w14:paraId="3B7F2587" w14:textId="1C926045" w:rsidR="00893A47" w:rsidRPr="00734766" w:rsidRDefault="00E231F3" w:rsidP="00895F62">
      <w:pPr>
        <w:pStyle w:val="Akapitzlist"/>
        <w:numPr>
          <w:ilvl w:val="0"/>
          <w:numId w:val="30"/>
        </w:numPr>
        <w:ind w:left="1134" w:hanging="1145"/>
        <w:rPr>
          <w:b/>
          <w:color w:val="002060"/>
          <w:lang w:eastAsia="pl-PL"/>
        </w:rPr>
      </w:pPr>
      <w:r w:rsidRPr="00E231F3">
        <w:rPr>
          <w:b/>
          <w:color w:val="002060"/>
          <w:lang w:eastAsia="pl-PL"/>
        </w:rPr>
        <w:lastRenderedPageBreak/>
        <w:t>Deklarowana jest świadomość istnienia Strategii, która ma określoną wagę, jednak na co dzień wdrażane są programy i zadania bieżące. Po uchwaleniu Strategii staje się ona „własnością” Departamentu Polityki Regionalnej</w:t>
      </w:r>
      <w:r>
        <w:rPr>
          <w:b/>
          <w:color w:val="002060"/>
          <w:lang w:eastAsia="pl-PL"/>
        </w:rPr>
        <w:t>.</w:t>
      </w:r>
    </w:p>
    <w:p w14:paraId="17CF74F3" w14:textId="07583AC1" w:rsidR="00893A47" w:rsidRDefault="00565F6B" w:rsidP="00893A47">
      <w:pPr>
        <w:rPr>
          <w:lang w:eastAsia="pl-PL"/>
        </w:rPr>
      </w:pPr>
      <w:r>
        <w:rPr>
          <w:lang w:eastAsia="pl-PL"/>
        </w:rPr>
        <w:t xml:space="preserve">Powyższy wniosek został sformułowany na skutek rozważań nad źródłami problemów i dużych nakładów pracy, które towarzyszą </w:t>
      </w:r>
      <w:r w:rsidR="56862DA9" w:rsidRPr="56862DA9">
        <w:rPr>
          <w:lang w:eastAsia="pl-PL"/>
        </w:rPr>
        <w:t>pozyskaniu</w:t>
      </w:r>
      <w:r>
        <w:rPr>
          <w:lang w:eastAsia="pl-PL"/>
        </w:rPr>
        <w:t xml:space="preserve"> ważnych informacji do sprawozdań z realizacji Strategii. Zauważalna jest wyraźna różnica między narracją o tym, co robi dany departament w ramach realizacji Strategii, a tym co mógłby zrobić w ramach koordynacji jej wdrażania i monitorowania. </w:t>
      </w:r>
      <w:r w:rsidR="00344D78">
        <w:rPr>
          <w:lang w:eastAsia="pl-PL"/>
        </w:rPr>
        <w:t xml:space="preserve">Formułowany wniosek ma związek z innymi wnioskami zaprezentowanymi powyżej, ponieważ jest w jakimś stopniu pochodną wizji samej </w:t>
      </w:r>
      <w:r w:rsidR="56862DA9" w:rsidRPr="56862DA9">
        <w:rPr>
          <w:lang w:eastAsia="pl-PL"/>
        </w:rPr>
        <w:t>Strategii.</w:t>
      </w:r>
    </w:p>
    <w:p w14:paraId="0CC65E01" w14:textId="77777777" w:rsidR="00893A47" w:rsidRPr="00402AF5" w:rsidRDefault="00E231F3" w:rsidP="0035324E">
      <w:pPr>
        <w:pStyle w:val="Akapitzlist"/>
        <w:numPr>
          <w:ilvl w:val="0"/>
          <w:numId w:val="60"/>
        </w:numPr>
        <w:rPr>
          <w:b/>
          <w:color w:val="002060"/>
          <w:lang w:eastAsia="pl-PL"/>
        </w:rPr>
      </w:pPr>
      <w:r w:rsidRPr="00402AF5">
        <w:rPr>
          <w:b/>
          <w:color w:val="002060"/>
          <w:lang w:eastAsia="pl-PL"/>
        </w:rPr>
        <w:t>Wypracowanie w ramach procesu aktualizacji Strategii założeń systemu komunikacji, wdrażania i monitoringu najważniejszego w województwie dokumentu planistycznego.</w:t>
      </w:r>
    </w:p>
    <w:p w14:paraId="31110A08" w14:textId="7ABB1AED" w:rsidR="00893A47" w:rsidRDefault="000817E6" w:rsidP="00893A47">
      <w:pPr>
        <w:rPr>
          <w:lang w:eastAsia="pl-PL"/>
        </w:rPr>
      </w:pPr>
      <w:r>
        <w:rPr>
          <w:lang w:eastAsia="pl-PL"/>
        </w:rPr>
        <w:t>Zalecane</w:t>
      </w:r>
      <w:r w:rsidR="00344D78">
        <w:rPr>
          <w:lang w:eastAsia="pl-PL"/>
        </w:rPr>
        <w:t xml:space="preserve"> założenia powinny znaleźć się w samej Strategii, a przy jej tworzeniu powinni uczestniczyć pracownicy różnych szczebli z departamentów obecnie wdrażających SRWW 2020. Tego typu podejście pozwoli stworzyć szansę na wprowadzenie działania macierzowego.</w:t>
      </w:r>
    </w:p>
    <w:p w14:paraId="75BA9B30" w14:textId="5003AAF2" w:rsidR="00893A47" w:rsidRPr="00734766" w:rsidRDefault="00850E8F" w:rsidP="0035324E">
      <w:pPr>
        <w:pStyle w:val="Akapitzlist"/>
        <w:numPr>
          <w:ilvl w:val="0"/>
          <w:numId w:val="30"/>
        </w:numPr>
        <w:ind w:left="1134" w:hanging="1145"/>
        <w:rPr>
          <w:b/>
          <w:color w:val="002060"/>
          <w:lang w:eastAsia="pl-PL"/>
        </w:rPr>
      </w:pPr>
      <w:r w:rsidRPr="00850E8F">
        <w:rPr>
          <w:b/>
          <w:color w:val="002060"/>
          <w:lang w:eastAsia="pl-PL"/>
        </w:rPr>
        <w:t>Strategia rozwoju województwa wielkopolskiego wymaga aktualizacji</w:t>
      </w:r>
    </w:p>
    <w:p w14:paraId="12E068D1" w14:textId="77777777" w:rsidR="00893A47" w:rsidRDefault="00344D78" w:rsidP="00893A47">
      <w:pPr>
        <w:rPr>
          <w:lang w:eastAsia="pl-PL"/>
        </w:rPr>
      </w:pPr>
      <w:r>
        <w:rPr>
          <w:lang w:eastAsia="pl-PL"/>
        </w:rPr>
        <w:t xml:space="preserve">Przeprowadzony proces oceny całego dokumentu, uwzględnienie uwarunkowań zewnętrznych, ale i liczne dyskusje w trakcie wywiadów skłaniają do jednoznacznego, choć oczywistego wniosku. Jednak reakcja organizacji na tak sformułowany wniosek nie musi być jednoznaczna. </w:t>
      </w:r>
    </w:p>
    <w:p w14:paraId="7A5AC104" w14:textId="7117A8F4" w:rsidR="00850E8F" w:rsidRPr="00CC64AD" w:rsidRDefault="00850E8F" w:rsidP="0035324E">
      <w:pPr>
        <w:pStyle w:val="Akapitzlist"/>
        <w:numPr>
          <w:ilvl w:val="0"/>
          <w:numId w:val="60"/>
        </w:numPr>
        <w:rPr>
          <w:b/>
          <w:color w:val="002060"/>
          <w:lang w:eastAsia="pl-PL"/>
        </w:rPr>
      </w:pPr>
      <w:r w:rsidRPr="00CC64AD">
        <w:rPr>
          <w:b/>
          <w:color w:val="002060"/>
          <w:lang w:eastAsia="pl-PL"/>
        </w:rPr>
        <w:t>Wykorzystanie czasu na aktualizację Strategii do wzmacniania istniejących i budowania nowych relacji z interesariuszami Strategii</w:t>
      </w:r>
    </w:p>
    <w:p w14:paraId="79AA9521" w14:textId="77777777" w:rsidR="00F46021" w:rsidRDefault="00344D78" w:rsidP="00344D78">
      <w:pPr>
        <w:rPr>
          <w:lang w:eastAsia="pl-PL"/>
        </w:rPr>
      </w:pPr>
      <w:r>
        <w:rPr>
          <w:lang w:eastAsia="pl-PL"/>
        </w:rPr>
        <w:t>Strategia jest dokumentem, ale można opisywać ją jako proces. Skoro SRWW 2020 jest najważniejszym dokumentem w regionie, to taki również powinien być proces jej tworzenia i późniejszej realizacji.</w:t>
      </w:r>
    </w:p>
    <w:p w14:paraId="68CE8D49" w14:textId="77777777" w:rsidR="00FF5F2E" w:rsidRDefault="00FA7F46" w:rsidP="00344D78">
      <w:pPr>
        <w:rPr>
          <w:lang w:eastAsia="pl-PL"/>
        </w:rPr>
        <w:sectPr w:rsidR="00FF5F2E" w:rsidSect="00F776AA">
          <w:headerReference w:type="default" r:id="rId77"/>
          <w:footerReference w:type="default" r:id="rId78"/>
          <w:pgSz w:w="11906" w:h="16838"/>
          <w:pgMar w:top="1123" w:right="1417" w:bottom="1417" w:left="1417" w:header="227" w:footer="415" w:gutter="0"/>
          <w:cols w:space="708"/>
          <w:titlePg/>
          <w:docGrid w:linePitch="360"/>
        </w:sectPr>
      </w:pPr>
      <w:r>
        <w:rPr>
          <w:lang w:eastAsia="pl-PL"/>
        </w:rPr>
        <w:br w:type="page"/>
      </w:r>
    </w:p>
    <w:p w14:paraId="19F9F848" w14:textId="5EC28E00" w:rsidR="00FA7F46" w:rsidRDefault="00FA7F46" w:rsidP="00344D78">
      <w:pPr>
        <w:rPr>
          <w:lang w:eastAsia="pl-PL"/>
        </w:rPr>
      </w:pPr>
    </w:p>
    <w:p w14:paraId="34276E10" w14:textId="3DA54615" w:rsidR="00FF5F2E" w:rsidRDefault="00FF5F2E" w:rsidP="004A3B6E">
      <w:pPr>
        <w:pStyle w:val="Nagwek1"/>
      </w:pPr>
      <w:bookmarkStart w:id="305" w:name="_Toc5699509"/>
      <w:bookmarkStart w:id="306" w:name="_Toc536653176"/>
      <w:bookmarkStart w:id="307" w:name="_Toc1904843"/>
      <w:r>
        <w:t>Rekomendacje</w:t>
      </w:r>
      <w:bookmarkEnd w:id="305"/>
    </w:p>
    <w:p w14:paraId="2D271C5E" w14:textId="0AF6A38C" w:rsidR="00D26F53" w:rsidRPr="00D26F53" w:rsidRDefault="00D26F53" w:rsidP="00D26F53">
      <w:pPr>
        <w:rPr>
          <w:lang w:eastAsia="pl-PL"/>
        </w:rPr>
      </w:pPr>
      <w:r>
        <w:rPr>
          <w:lang w:eastAsia="pl-PL"/>
        </w:rPr>
        <w:t>W tej części Raportu zamieszczono dwie główne rekomendacje odnoszące się do sposobu wdrażania przyszłego Regionalnego Programu Operacyjnego Województwa Wielkopolskiego (</w:t>
      </w:r>
      <w:r>
        <w:rPr>
          <w:lang w:eastAsia="pl-PL"/>
        </w:rPr>
        <w:fldChar w:fldCharType="begin"/>
      </w:r>
      <w:r>
        <w:rPr>
          <w:lang w:eastAsia="pl-PL"/>
        </w:rPr>
        <w:instrText xml:space="preserve"> REF _Ref3837421 \h </w:instrText>
      </w:r>
      <w:r>
        <w:rPr>
          <w:lang w:eastAsia="pl-PL"/>
        </w:rPr>
      </w:r>
      <w:r>
        <w:rPr>
          <w:lang w:eastAsia="pl-PL"/>
        </w:rPr>
        <w:fldChar w:fldCharType="separate"/>
      </w:r>
      <w:r w:rsidR="007F4FA2">
        <w:t xml:space="preserve">Tabela </w:t>
      </w:r>
      <w:r w:rsidR="007F4FA2">
        <w:rPr>
          <w:noProof/>
        </w:rPr>
        <w:t>26</w:t>
      </w:r>
      <w:r>
        <w:rPr>
          <w:lang w:eastAsia="pl-PL"/>
        </w:rPr>
        <w:fldChar w:fldCharType="end"/>
      </w:r>
      <w:r>
        <w:rPr>
          <w:lang w:eastAsia="pl-PL"/>
        </w:rPr>
        <w:t>).</w:t>
      </w:r>
    </w:p>
    <w:p w14:paraId="393D2617" w14:textId="6B868FE3" w:rsidR="00FF5F2E" w:rsidRDefault="00D26F53" w:rsidP="00D26F53">
      <w:pPr>
        <w:pStyle w:val="Legenda"/>
      </w:pPr>
      <w:bookmarkStart w:id="308" w:name="_Ref3837421"/>
      <w:bookmarkStart w:id="309" w:name="_Toc5699559"/>
      <w:r>
        <w:t xml:space="preserve">Tabela </w:t>
      </w:r>
      <w:r w:rsidR="00583549">
        <w:rPr>
          <w:noProof/>
        </w:rPr>
        <w:fldChar w:fldCharType="begin"/>
      </w:r>
      <w:r w:rsidR="00583549">
        <w:rPr>
          <w:noProof/>
        </w:rPr>
        <w:instrText xml:space="preserve"> SEQ Tabela \* ARABIC </w:instrText>
      </w:r>
      <w:r w:rsidR="00583549">
        <w:rPr>
          <w:noProof/>
        </w:rPr>
        <w:fldChar w:fldCharType="separate"/>
      </w:r>
      <w:r w:rsidR="007F4FA2">
        <w:rPr>
          <w:noProof/>
        </w:rPr>
        <w:t>26</w:t>
      </w:r>
      <w:r w:rsidR="00583549">
        <w:rPr>
          <w:noProof/>
        </w:rPr>
        <w:fldChar w:fldCharType="end"/>
      </w:r>
      <w:bookmarkEnd w:id="308"/>
      <w:r>
        <w:t>. Rekomendacje wynikające z Ewaluacji Strategii odnoszące się do przyszłego RPO Województwa Wielkopolskiego</w:t>
      </w:r>
      <w:bookmarkEnd w:id="309"/>
    </w:p>
    <w:tbl>
      <w:tblPr>
        <w:tblStyle w:val="Tabela-Siatka"/>
        <w:tblW w:w="14440" w:type="dxa"/>
        <w:tblBorders>
          <w:top w:val="none" w:sz="0" w:space="0" w:color="auto"/>
          <w:left w:val="none" w:sz="0" w:space="0" w:color="auto"/>
          <w:bottom w:val="single" w:sz="4" w:space="0" w:color="F6BB00"/>
          <w:right w:val="none" w:sz="0" w:space="0" w:color="auto"/>
          <w:insideH w:val="single" w:sz="4" w:space="0" w:color="F6BB00"/>
          <w:insideV w:val="none" w:sz="0" w:space="0" w:color="auto"/>
        </w:tblBorders>
        <w:tblLayout w:type="fixed"/>
        <w:tblLook w:val="04A0" w:firstRow="1" w:lastRow="0" w:firstColumn="1" w:lastColumn="0" w:noHBand="0" w:noVBand="1"/>
      </w:tblPr>
      <w:tblGrid>
        <w:gridCol w:w="284"/>
        <w:gridCol w:w="850"/>
        <w:gridCol w:w="2268"/>
        <w:gridCol w:w="1559"/>
        <w:gridCol w:w="992"/>
        <w:gridCol w:w="2694"/>
        <w:gridCol w:w="992"/>
        <w:gridCol w:w="1020"/>
        <w:gridCol w:w="965"/>
        <w:gridCol w:w="850"/>
        <w:gridCol w:w="851"/>
        <w:gridCol w:w="1115"/>
      </w:tblGrid>
      <w:tr w:rsidR="00370948" w:rsidRPr="004F5607" w14:paraId="0EFBCCEF" w14:textId="77777777" w:rsidTr="0067757E">
        <w:trPr>
          <w:tblHeader/>
        </w:trPr>
        <w:tc>
          <w:tcPr>
            <w:tcW w:w="284" w:type="dxa"/>
            <w:shd w:val="clear" w:color="auto" w:fill="F6BB00"/>
            <w:tcMar>
              <w:left w:w="28" w:type="dxa"/>
              <w:right w:w="28" w:type="dxa"/>
            </w:tcMar>
          </w:tcPr>
          <w:p w14:paraId="2A89D85E" w14:textId="51F06443" w:rsidR="00370948" w:rsidRPr="004F5607" w:rsidRDefault="00370948" w:rsidP="004F5607">
            <w:pPr>
              <w:spacing w:after="0" w:line="240" w:lineRule="auto"/>
              <w:jc w:val="center"/>
              <w:rPr>
                <w:b/>
                <w:color w:val="002060"/>
                <w:sz w:val="16"/>
                <w:szCs w:val="16"/>
                <w:lang w:eastAsia="pl-PL"/>
              </w:rPr>
            </w:pPr>
            <w:r w:rsidRPr="004F5607">
              <w:rPr>
                <w:b/>
                <w:color w:val="002060"/>
                <w:sz w:val="16"/>
                <w:szCs w:val="16"/>
                <w:lang w:eastAsia="pl-PL"/>
              </w:rPr>
              <w:t>Lp.</w:t>
            </w:r>
          </w:p>
        </w:tc>
        <w:tc>
          <w:tcPr>
            <w:tcW w:w="850" w:type="dxa"/>
            <w:shd w:val="clear" w:color="auto" w:fill="F6BB00"/>
            <w:tcMar>
              <w:left w:w="28" w:type="dxa"/>
              <w:right w:w="28" w:type="dxa"/>
            </w:tcMar>
          </w:tcPr>
          <w:p w14:paraId="053E4BE5" w14:textId="0E433A0E" w:rsidR="00370948" w:rsidRPr="004F5607" w:rsidRDefault="00370948" w:rsidP="004F5607">
            <w:pPr>
              <w:spacing w:after="0" w:line="240" w:lineRule="auto"/>
              <w:jc w:val="center"/>
              <w:rPr>
                <w:b/>
                <w:color w:val="002060"/>
                <w:sz w:val="16"/>
                <w:szCs w:val="16"/>
                <w:lang w:eastAsia="pl-PL"/>
              </w:rPr>
            </w:pPr>
            <w:r w:rsidRPr="004F5607">
              <w:rPr>
                <w:b/>
                <w:color w:val="002060"/>
                <w:sz w:val="16"/>
                <w:szCs w:val="16"/>
                <w:lang w:eastAsia="pl-PL"/>
              </w:rPr>
              <w:t>Tytuł badania</w:t>
            </w:r>
          </w:p>
        </w:tc>
        <w:tc>
          <w:tcPr>
            <w:tcW w:w="2268" w:type="dxa"/>
            <w:shd w:val="clear" w:color="auto" w:fill="F6BB00"/>
            <w:tcMar>
              <w:left w:w="28" w:type="dxa"/>
              <w:right w:w="28" w:type="dxa"/>
            </w:tcMar>
          </w:tcPr>
          <w:p w14:paraId="41F23714" w14:textId="5E194840" w:rsidR="00370948" w:rsidRPr="004F5607" w:rsidRDefault="00370948" w:rsidP="004F5607">
            <w:pPr>
              <w:spacing w:after="0" w:line="240" w:lineRule="auto"/>
              <w:jc w:val="center"/>
              <w:rPr>
                <w:b/>
                <w:color w:val="002060"/>
                <w:sz w:val="16"/>
                <w:szCs w:val="16"/>
                <w:lang w:eastAsia="pl-PL"/>
              </w:rPr>
            </w:pPr>
            <w:r w:rsidRPr="004F5607">
              <w:rPr>
                <w:b/>
                <w:color w:val="002060"/>
                <w:sz w:val="16"/>
                <w:szCs w:val="16"/>
                <w:lang w:eastAsia="pl-PL"/>
              </w:rPr>
              <w:t>Treść wniosku</w:t>
            </w:r>
          </w:p>
        </w:tc>
        <w:tc>
          <w:tcPr>
            <w:tcW w:w="1559" w:type="dxa"/>
            <w:shd w:val="clear" w:color="auto" w:fill="F6BB00"/>
            <w:tcMar>
              <w:left w:w="28" w:type="dxa"/>
              <w:right w:w="28" w:type="dxa"/>
            </w:tcMar>
          </w:tcPr>
          <w:p w14:paraId="29C36A06" w14:textId="1BAB8D04" w:rsidR="00370948" w:rsidRPr="004F5607" w:rsidRDefault="00370948" w:rsidP="004F5607">
            <w:pPr>
              <w:spacing w:after="0" w:line="240" w:lineRule="auto"/>
              <w:jc w:val="center"/>
              <w:rPr>
                <w:b/>
                <w:color w:val="002060"/>
                <w:sz w:val="16"/>
                <w:szCs w:val="16"/>
                <w:lang w:eastAsia="pl-PL"/>
              </w:rPr>
            </w:pPr>
            <w:r w:rsidRPr="004F5607">
              <w:rPr>
                <w:b/>
                <w:color w:val="002060"/>
                <w:sz w:val="16"/>
                <w:szCs w:val="16"/>
                <w:lang w:eastAsia="pl-PL"/>
              </w:rPr>
              <w:t>Treść rekomendacji</w:t>
            </w:r>
          </w:p>
        </w:tc>
        <w:tc>
          <w:tcPr>
            <w:tcW w:w="992" w:type="dxa"/>
            <w:shd w:val="clear" w:color="auto" w:fill="F6BB00"/>
            <w:tcMar>
              <w:left w:w="28" w:type="dxa"/>
              <w:right w:w="28" w:type="dxa"/>
            </w:tcMar>
          </w:tcPr>
          <w:p w14:paraId="0437DE86" w14:textId="4A48BB68" w:rsidR="00370948" w:rsidRPr="004F5607" w:rsidRDefault="00370948" w:rsidP="004F5607">
            <w:pPr>
              <w:spacing w:after="0" w:line="240" w:lineRule="auto"/>
              <w:jc w:val="center"/>
              <w:rPr>
                <w:b/>
                <w:color w:val="002060"/>
                <w:sz w:val="16"/>
                <w:szCs w:val="16"/>
                <w:lang w:eastAsia="pl-PL"/>
              </w:rPr>
            </w:pPr>
            <w:r w:rsidRPr="004F5607">
              <w:rPr>
                <w:b/>
                <w:color w:val="002060"/>
                <w:sz w:val="16"/>
                <w:szCs w:val="16"/>
                <w:lang w:eastAsia="pl-PL"/>
              </w:rPr>
              <w:t>Adresat rekomen</w:t>
            </w:r>
            <w:r w:rsidR="004F5607">
              <w:rPr>
                <w:b/>
                <w:color w:val="002060"/>
                <w:sz w:val="16"/>
                <w:szCs w:val="16"/>
                <w:lang w:eastAsia="pl-PL"/>
              </w:rPr>
              <w:t>-</w:t>
            </w:r>
            <w:r w:rsidRPr="004F5607">
              <w:rPr>
                <w:b/>
                <w:color w:val="002060"/>
                <w:sz w:val="16"/>
                <w:szCs w:val="16"/>
                <w:lang w:eastAsia="pl-PL"/>
              </w:rPr>
              <w:t>dacji</w:t>
            </w:r>
          </w:p>
        </w:tc>
        <w:tc>
          <w:tcPr>
            <w:tcW w:w="2694" w:type="dxa"/>
            <w:shd w:val="clear" w:color="auto" w:fill="F6BB00"/>
            <w:tcMar>
              <w:left w:w="28" w:type="dxa"/>
              <w:right w:w="28" w:type="dxa"/>
            </w:tcMar>
          </w:tcPr>
          <w:p w14:paraId="6E606F80" w14:textId="593D0B05" w:rsidR="00370948" w:rsidRPr="004F5607" w:rsidRDefault="00370948" w:rsidP="004F5607">
            <w:pPr>
              <w:spacing w:after="0" w:line="240" w:lineRule="auto"/>
              <w:jc w:val="center"/>
              <w:rPr>
                <w:b/>
                <w:color w:val="002060"/>
                <w:sz w:val="16"/>
                <w:szCs w:val="16"/>
                <w:lang w:eastAsia="pl-PL"/>
              </w:rPr>
            </w:pPr>
            <w:r w:rsidRPr="004F5607">
              <w:rPr>
                <w:b/>
                <w:color w:val="002060"/>
                <w:sz w:val="16"/>
                <w:szCs w:val="16"/>
                <w:lang w:eastAsia="pl-PL"/>
              </w:rPr>
              <w:t>Sposób wdrożenia</w:t>
            </w:r>
          </w:p>
        </w:tc>
        <w:tc>
          <w:tcPr>
            <w:tcW w:w="992" w:type="dxa"/>
            <w:shd w:val="clear" w:color="auto" w:fill="F6BB00"/>
            <w:tcMar>
              <w:left w:w="28" w:type="dxa"/>
              <w:right w:w="28" w:type="dxa"/>
            </w:tcMar>
          </w:tcPr>
          <w:p w14:paraId="04A283E1" w14:textId="15DCB0DC" w:rsidR="00370948" w:rsidRPr="004F5607" w:rsidRDefault="00370948" w:rsidP="004F5607">
            <w:pPr>
              <w:spacing w:after="0" w:line="240" w:lineRule="auto"/>
              <w:jc w:val="center"/>
              <w:rPr>
                <w:b/>
                <w:color w:val="002060"/>
                <w:sz w:val="16"/>
                <w:szCs w:val="16"/>
                <w:lang w:eastAsia="pl-PL"/>
              </w:rPr>
            </w:pPr>
            <w:r w:rsidRPr="004F5607">
              <w:rPr>
                <w:b/>
                <w:color w:val="002060"/>
                <w:sz w:val="16"/>
                <w:szCs w:val="16"/>
                <w:lang w:eastAsia="pl-PL"/>
              </w:rPr>
              <w:t>Termin wdrożenia (kwartał)</w:t>
            </w:r>
          </w:p>
        </w:tc>
        <w:tc>
          <w:tcPr>
            <w:tcW w:w="1020" w:type="dxa"/>
            <w:shd w:val="clear" w:color="auto" w:fill="F6BB00"/>
            <w:tcMar>
              <w:left w:w="28" w:type="dxa"/>
              <w:right w:w="28" w:type="dxa"/>
            </w:tcMar>
          </w:tcPr>
          <w:p w14:paraId="69AA044F" w14:textId="34F0F6F4" w:rsidR="00370948" w:rsidRPr="004F5607" w:rsidRDefault="00370948" w:rsidP="00637EF3">
            <w:pPr>
              <w:spacing w:after="0" w:line="240" w:lineRule="auto"/>
              <w:jc w:val="center"/>
              <w:rPr>
                <w:b/>
                <w:color w:val="002060"/>
                <w:sz w:val="16"/>
                <w:szCs w:val="16"/>
                <w:lang w:eastAsia="pl-PL"/>
              </w:rPr>
            </w:pPr>
            <w:r w:rsidRPr="004F5607">
              <w:rPr>
                <w:b/>
                <w:color w:val="002060"/>
                <w:sz w:val="16"/>
                <w:szCs w:val="16"/>
                <w:lang w:eastAsia="pl-PL"/>
              </w:rPr>
              <w:t>Klasa rekomendacji</w:t>
            </w:r>
          </w:p>
        </w:tc>
        <w:tc>
          <w:tcPr>
            <w:tcW w:w="965" w:type="dxa"/>
            <w:shd w:val="clear" w:color="auto" w:fill="F6BB00"/>
            <w:tcMar>
              <w:left w:w="28" w:type="dxa"/>
              <w:right w:w="28" w:type="dxa"/>
            </w:tcMar>
          </w:tcPr>
          <w:p w14:paraId="3A744608" w14:textId="3A97E70C" w:rsidR="00370948" w:rsidRPr="004F5607" w:rsidRDefault="00370948" w:rsidP="004F5607">
            <w:pPr>
              <w:spacing w:after="0" w:line="240" w:lineRule="auto"/>
              <w:jc w:val="center"/>
              <w:rPr>
                <w:b/>
                <w:color w:val="002060"/>
                <w:sz w:val="16"/>
                <w:szCs w:val="16"/>
                <w:lang w:eastAsia="pl-PL"/>
              </w:rPr>
            </w:pPr>
            <w:r w:rsidRPr="004F5607">
              <w:rPr>
                <w:b/>
                <w:color w:val="002060"/>
                <w:sz w:val="16"/>
                <w:szCs w:val="16"/>
                <w:lang w:eastAsia="pl-PL"/>
              </w:rPr>
              <w:t>Obszar tematyczny</w:t>
            </w:r>
          </w:p>
        </w:tc>
        <w:tc>
          <w:tcPr>
            <w:tcW w:w="850" w:type="dxa"/>
            <w:shd w:val="clear" w:color="auto" w:fill="F6BB00"/>
            <w:tcMar>
              <w:left w:w="28" w:type="dxa"/>
              <w:right w:w="28" w:type="dxa"/>
            </w:tcMar>
          </w:tcPr>
          <w:p w14:paraId="74C54A53" w14:textId="490644FF" w:rsidR="00370948" w:rsidRPr="004F5607" w:rsidRDefault="00370948" w:rsidP="004F5607">
            <w:pPr>
              <w:spacing w:after="0" w:line="240" w:lineRule="auto"/>
              <w:jc w:val="center"/>
              <w:rPr>
                <w:b/>
                <w:color w:val="002060"/>
                <w:sz w:val="16"/>
                <w:szCs w:val="16"/>
                <w:lang w:eastAsia="pl-PL"/>
              </w:rPr>
            </w:pPr>
            <w:r w:rsidRPr="004F5607">
              <w:rPr>
                <w:b/>
                <w:color w:val="002060"/>
                <w:sz w:val="16"/>
                <w:szCs w:val="16"/>
                <w:lang w:eastAsia="pl-PL"/>
              </w:rPr>
              <w:t>Program operacyj</w:t>
            </w:r>
            <w:r w:rsidR="004F5607">
              <w:rPr>
                <w:b/>
                <w:color w:val="002060"/>
                <w:sz w:val="16"/>
                <w:szCs w:val="16"/>
                <w:lang w:eastAsia="pl-PL"/>
              </w:rPr>
              <w:t>-</w:t>
            </w:r>
            <w:r w:rsidRPr="004F5607">
              <w:rPr>
                <w:b/>
                <w:color w:val="002060"/>
                <w:sz w:val="16"/>
                <w:szCs w:val="16"/>
                <w:lang w:eastAsia="pl-PL"/>
              </w:rPr>
              <w:t>ny</w:t>
            </w:r>
          </w:p>
        </w:tc>
        <w:tc>
          <w:tcPr>
            <w:tcW w:w="851" w:type="dxa"/>
            <w:shd w:val="clear" w:color="auto" w:fill="F6BB00"/>
            <w:tcMar>
              <w:left w:w="28" w:type="dxa"/>
              <w:right w:w="28" w:type="dxa"/>
            </w:tcMar>
          </w:tcPr>
          <w:p w14:paraId="19AF7A00" w14:textId="2A9A4B15" w:rsidR="00370948" w:rsidRPr="004F5607" w:rsidRDefault="00370948" w:rsidP="004F5607">
            <w:pPr>
              <w:spacing w:after="0" w:line="240" w:lineRule="auto"/>
              <w:jc w:val="center"/>
              <w:rPr>
                <w:b/>
                <w:color w:val="002060"/>
                <w:sz w:val="16"/>
                <w:szCs w:val="16"/>
                <w:lang w:eastAsia="pl-PL"/>
              </w:rPr>
            </w:pPr>
            <w:r w:rsidRPr="004F5607">
              <w:rPr>
                <w:b/>
                <w:color w:val="002060"/>
                <w:sz w:val="16"/>
                <w:szCs w:val="16"/>
                <w:lang w:eastAsia="pl-PL"/>
              </w:rPr>
              <w:t>Instytucja zlecająca badanie</w:t>
            </w:r>
          </w:p>
        </w:tc>
        <w:tc>
          <w:tcPr>
            <w:tcW w:w="1115" w:type="dxa"/>
            <w:shd w:val="clear" w:color="auto" w:fill="F6BB00"/>
            <w:tcMar>
              <w:left w:w="28" w:type="dxa"/>
              <w:right w:w="28" w:type="dxa"/>
            </w:tcMar>
          </w:tcPr>
          <w:p w14:paraId="7BE80459" w14:textId="73D6E50C" w:rsidR="00370948" w:rsidRPr="004F5607" w:rsidRDefault="00370948" w:rsidP="004F5607">
            <w:pPr>
              <w:spacing w:after="0" w:line="240" w:lineRule="auto"/>
              <w:jc w:val="center"/>
              <w:rPr>
                <w:b/>
                <w:color w:val="002060"/>
                <w:sz w:val="16"/>
                <w:szCs w:val="16"/>
                <w:lang w:eastAsia="pl-PL"/>
              </w:rPr>
            </w:pPr>
            <w:r w:rsidRPr="004F5607">
              <w:rPr>
                <w:b/>
                <w:color w:val="002060"/>
                <w:sz w:val="16"/>
                <w:szCs w:val="16"/>
                <w:lang w:eastAsia="pl-PL"/>
              </w:rPr>
              <w:t>Bazowy status rekomendacji</w:t>
            </w:r>
          </w:p>
        </w:tc>
      </w:tr>
      <w:tr w:rsidR="00370948" w:rsidRPr="006A212D" w14:paraId="428645D0" w14:textId="77777777" w:rsidTr="0067757E">
        <w:tc>
          <w:tcPr>
            <w:tcW w:w="284" w:type="dxa"/>
            <w:tcMar>
              <w:left w:w="28" w:type="dxa"/>
              <w:right w:w="28" w:type="dxa"/>
            </w:tcMar>
          </w:tcPr>
          <w:p w14:paraId="6CF1B760" w14:textId="5AB76FF2" w:rsidR="00370948" w:rsidRPr="004F5607" w:rsidRDefault="004F5607" w:rsidP="00D26F53">
            <w:pPr>
              <w:spacing w:after="0" w:line="240" w:lineRule="auto"/>
              <w:jc w:val="center"/>
              <w:rPr>
                <w:sz w:val="16"/>
                <w:szCs w:val="16"/>
                <w:lang w:eastAsia="pl-PL"/>
              </w:rPr>
            </w:pPr>
            <w:r>
              <w:rPr>
                <w:sz w:val="16"/>
                <w:szCs w:val="16"/>
                <w:lang w:eastAsia="pl-PL"/>
              </w:rPr>
              <w:t>1.</w:t>
            </w:r>
          </w:p>
        </w:tc>
        <w:tc>
          <w:tcPr>
            <w:tcW w:w="850" w:type="dxa"/>
            <w:tcMar>
              <w:left w:w="28" w:type="dxa"/>
              <w:right w:w="28" w:type="dxa"/>
            </w:tcMar>
          </w:tcPr>
          <w:p w14:paraId="1014D3D1" w14:textId="59193666" w:rsidR="00370948" w:rsidRPr="004F5607" w:rsidRDefault="007628FF" w:rsidP="00FF5F2E">
            <w:pPr>
              <w:spacing w:after="0" w:line="240" w:lineRule="auto"/>
              <w:rPr>
                <w:sz w:val="16"/>
                <w:szCs w:val="16"/>
                <w:lang w:eastAsia="pl-PL"/>
              </w:rPr>
            </w:pPr>
            <w:r w:rsidRPr="007628FF">
              <w:rPr>
                <w:sz w:val="16"/>
                <w:szCs w:val="16"/>
                <w:lang w:eastAsia="pl-PL"/>
              </w:rPr>
              <w:t>Ewaluacja „Strategii rozwoju wojewódz</w:t>
            </w:r>
            <w:r w:rsidR="00EE06A6">
              <w:rPr>
                <w:sz w:val="16"/>
                <w:szCs w:val="16"/>
                <w:lang w:eastAsia="pl-PL"/>
              </w:rPr>
              <w:t>-</w:t>
            </w:r>
            <w:r w:rsidRPr="007628FF">
              <w:rPr>
                <w:sz w:val="16"/>
                <w:szCs w:val="16"/>
                <w:lang w:eastAsia="pl-PL"/>
              </w:rPr>
              <w:t>twa wielkopol</w:t>
            </w:r>
            <w:r w:rsidR="00EE06A6">
              <w:rPr>
                <w:sz w:val="16"/>
                <w:szCs w:val="16"/>
                <w:lang w:eastAsia="pl-PL"/>
              </w:rPr>
              <w:t>-</w:t>
            </w:r>
            <w:r w:rsidRPr="007628FF">
              <w:rPr>
                <w:sz w:val="16"/>
                <w:szCs w:val="16"/>
                <w:lang w:eastAsia="pl-PL"/>
              </w:rPr>
              <w:t>skiego do 2020 roku. Wielkopol</w:t>
            </w:r>
            <w:r w:rsidR="00EE06A6">
              <w:rPr>
                <w:sz w:val="16"/>
                <w:szCs w:val="16"/>
                <w:lang w:eastAsia="pl-PL"/>
              </w:rPr>
              <w:t>-</w:t>
            </w:r>
            <w:r w:rsidRPr="007628FF">
              <w:rPr>
                <w:sz w:val="16"/>
                <w:szCs w:val="16"/>
                <w:lang w:eastAsia="pl-PL"/>
              </w:rPr>
              <w:t>ska 2020”</w:t>
            </w:r>
          </w:p>
        </w:tc>
        <w:tc>
          <w:tcPr>
            <w:tcW w:w="2268" w:type="dxa"/>
            <w:tcMar>
              <w:left w:w="28" w:type="dxa"/>
              <w:right w:w="28" w:type="dxa"/>
            </w:tcMar>
          </w:tcPr>
          <w:p w14:paraId="62638EB2" w14:textId="0FF0F038" w:rsidR="0067757E" w:rsidRDefault="0067757E" w:rsidP="0048017B">
            <w:pPr>
              <w:spacing w:after="0" w:line="240" w:lineRule="auto"/>
              <w:jc w:val="left"/>
              <w:rPr>
                <w:rFonts w:asciiTheme="minorHAnsi" w:hAnsiTheme="minorHAnsi"/>
                <w:sz w:val="16"/>
                <w:szCs w:val="16"/>
                <w:lang w:eastAsia="pl-PL"/>
              </w:rPr>
            </w:pPr>
            <w:r>
              <w:rPr>
                <w:rFonts w:asciiTheme="minorHAnsi" w:hAnsiTheme="minorHAnsi"/>
                <w:sz w:val="16"/>
                <w:szCs w:val="16"/>
                <w:lang w:eastAsia="pl-PL"/>
              </w:rPr>
              <w:t>„</w:t>
            </w:r>
            <w:r w:rsidRPr="0067757E">
              <w:rPr>
                <w:rFonts w:asciiTheme="minorHAnsi" w:hAnsiTheme="minorHAnsi"/>
                <w:sz w:val="16"/>
                <w:szCs w:val="16"/>
                <w:lang w:eastAsia="pl-PL"/>
              </w:rPr>
              <w:t>Podejmując wyzwanie opracowania nowej Strategii należy uwzględnić uwarunkowania zewnętrzne i toczącą się dyskusję nad KSRR, ponieważ to właśnie ten dokument narzuca nowym strategiom pewne obowiązkowe rozwiązania. W szczególności wymienić należy: umieszczenie w strategiach regionalnych obszarów strategicznej interwencji oraz wprowadzenie do treści dokumentu projektów strategicznych</w:t>
            </w:r>
            <w:r>
              <w:rPr>
                <w:rFonts w:asciiTheme="minorHAnsi" w:hAnsiTheme="minorHAnsi"/>
                <w:sz w:val="16"/>
                <w:szCs w:val="16"/>
                <w:lang w:eastAsia="pl-PL"/>
              </w:rPr>
              <w:t>” (s. 109)</w:t>
            </w:r>
          </w:p>
          <w:p w14:paraId="0A0EA8CF" w14:textId="68EB168C" w:rsidR="00370948" w:rsidRPr="0067757E" w:rsidRDefault="0048017B" w:rsidP="0067757E">
            <w:pPr>
              <w:spacing w:after="0" w:line="240" w:lineRule="auto"/>
              <w:jc w:val="left"/>
              <w:rPr>
                <w:rFonts w:asciiTheme="minorHAnsi" w:hAnsiTheme="minorHAnsi"/>
                <w:sz w:val="16"/>
                <w:szCs w:val="16"/>
                <w:lang w:eastAsia="pl-PL"/>
              </w:rPr>
            </w:pPr>
            <w:r w:rsidRPr="00514B3E">
              <w:rPr>
                <w:rFonts w:asciiTheme="minorHAnsi" w:hAnsiTheme="minorHAnsi"/>
                <w:sz w:val="16"/>
                <w:szCs w:val="16"/>
                <w:lang w:eastAsia="pl-PL"/>
              </w:rPr>
              <w:t xml:space="preserve">Najprawdopodobniej strategie rozwoju województw czwartej generacji będą posiadały zapisy dotyczące projektów strategicznych, które powinny być szczególnie monitorowane (połączenie wskaźników produktu, rezultatu i oddziaływania). Już na etapie selekcji tych projektów powinny zostać przyjęte kryteria oceny strategicznego wpływu danego projektu na rozwój województwa i późniejszej weryfikacji tego wpływu. </w:t>
            </w:r>
          </w:p>
        </w:tc>
        <w:tc>
          <w:tcPr>
            <w:tcW w:w="1559" w:type="dxa"/>
            <w:tcMar>
              <w:left w:w="28" w:type="dxa"/>
              <w:right w:w="28" w:type="dxa"/>
            </w:tcMar>
          </w:tcPr>
          <w:p w14:paraId="0FD7E597" w14:textId="094CC891" w:rsidR="00370948" w:rsidRPr="006A212D" w:rsidRDefault="007628FF" w:rsidP="00AC3734">
            <w:pPr>
              <w:spacing w:after="0" w:line="240" w:lineRule="auto"/>
              <w:jc w:val="left"/>
              <w:rPr>
                <w:sz w:val="16"/>
                <w:szCs w:val="16"/>
                <w:lang w:eastAsia="pl-PL"/>
              </w:rPr>
            </w:pPr>
            <w:r w:rsidRPr="006A212D">
              <w:rPr>
                <w:rFonts w:asciiTheme="minorHAnsi" w:hAnsiTheme="minorHAnsi"/>
                <w:sz w:val="16"/>
                <w:szCs w:val="16"/>
                <w:lang w:eastAsia="pl-PL"/>
              </w:rPr>
              <w:t>Opracowanie zasad efektywnego monitorowania projektów strategicznych</w:t>
            </w:r>
          </w:p>
        </w:tc>
        <w:tc>
          <w:tcPr>
            <w:tcW w:w="992" w:type="dxa"/>
            <w:tcMar>
              <w:left w:w="28" w:type="dxa"/>
              <w:right w:w="28" w:type="dxa"/>
            </w:tcMar>
          </w:tcPr>
          <w:p w14:paraId="6F6EC34B" w14:textId="138F1F41" w:rsidR="00370948" w:rsidRPr="004F5607" w:rsidRDefault="004F5607" w:rsidP="007628FF">
            <w:pPr>
              <w:spacing w:after="0" w:line="240" w:lineRule="auto"/>
              <w:jc w:val="center"/>
              <w:rPr>
                <w:sz w:val="16"/>
                <w:szCs w:val="16"/>
                <w:lang w:eastAsia="pl-PL"/>
              </w:rPr>
            </w:pPr>
            <w:r>
              <w:rPr>
                <w:sz w:val="16"/>
                <w:szCs w:val="16"/>
                <w:lang w:eastAsia="pl-PL"/>
              </w:rPr>
              <w:t>ZWW</w:t>
            </w:r>
          </w:p>
        </w:tc>
        <w:tc>
          <w:tcPr>
            <w:tcW w:w="2694" w:type="dxa"/>
            <w:tcMar>
              <w:left w:w="28" w:type="dxa"/>
              <w:right w:w="28" w:type="dxa"/>
            </w:tcMar>
          </w:tcPr>
          <w:p w14:paraId="58CCB825" w14:textId="3DC4B08A" w:rsidR="00863076" w:rsidRPr="00514B3E" w:rsidRDefault="00863076" w:rsidP="00AC3734">
            <w:pPr>
              <w:spacing w:after="0" w:line="240" w:lineRule="auto"/>
              <w:jc w:val="left"/>
              <w:rPr>
                <w:rFonts w:asciiTheme="minorHAnsi" w:hAnsiTheme="minorHAnsi"/>
                <w:sz w:val="16"/>
                <w:szCs w:val="16"/>
                <w:lang w:eastAsia="pl-PL"/>
              </w:rPr>
            </w:pPr>
            <w:r w:rsidRPr="00514B3E">
              <w:rPr>
                <w:rFonts w:asciiTheme="minorHAnsi" w:hAnsiTheme="minorHAnsi"/>
                <w:sz w:val="16"/>
                <w:szCs w:val="16"/>
                <w:lang w:eastAsia="pl-PL"/>
              </w:rPr>
              <w:t xml:space="preserve">Opracowanie dokumentu: </w:t>
            </w:r>
            <w:r w:rsidRPr="00514B3E">
              <w:rPr>
                <w:rFonts w:asciiTheme="minorHAnsi" w:hAnsiTheme="minorHAnsi"/>
                <w:b/>
                <w:sz w:val="16"/>
                <w:szCs w:val="16"/>
                <w:lang w:eastAsia="pl-PL"/>
              </w:rPr>
              <w:t>„Monitoring projektów strategicznych w województwie wielkopolskim”</w:t>
            </w:r>
            <w:r w:rsidRPr="00514B3E">
              <w:rPr>
                <w:rFonts w:asciiTheme="minorHAnsi" w:hAnsiTheme="minorHAnsi"/>
                <w:sz w:val="16"/>
                <w:szCs w:val="16"/>
                <w:lang w:eastAsia="pl-PL"/>
              </w:rPr>
              <w:t xml:space="preserve"> </w:t>
            </w:r>
          </w:p>
          <w:p w14:paraId="74302F7E" w14:textId="4D4C5299" w:rsidR="00370948" w:rsidRDefault="00863076" w:rsidP="00AC3734">
            <w:pPr>
              <w:spacing w:after="0" w:line="240" w:lineRule="auto"/>
              <w:jc w:val="left"/>
              <w:rPr>
                <w:rFonts w:asciiTheme="minorHAnsi" w:hAnsiTheme="minorHAnsi"/>
                <w:sz w:val="16"/>
                <w:szCs w:val="16"/>
                <w:lang w:eastAsia="pl-PL"/>
              </w:rPr>
            </w:pPr>
            <w:r w:rsidRPr="00514B3E">
              <w:rPr>
                <w:rFonts w:asciiTheme="minorHAnsi" w:hAnsiTheme="minorHAnsi"/>
                <w:sz w:val="16"/>
                <w:szCs w:val="16"/>
                <w:lang w:eastAsia="pl-PL"/>
              </w:rPr>
              <w:t>Monitoring projektów strategicznych (PS) powinien zawierać w minimalnym zakresie następujące informacje:</w:t>
            </w:r>
          </w:p>
          <w:p w14:paraId="1C6F24FB" w14:textId="77777777" w:rsidR="00863076" w:rsidRDefault="00863076" w:rsidP="00AC3734">
            <w:pPr>
              <w:spacing w:after="0" w:line="240" w:lineRule="auto"/>
              <w:jc w:val="left"/>
              <w:rPr>
                <w:rFonts w:asciiTheme="minorHAnsi" w:hAnsiTheme="minorHAnsi"/>
                <w:sz w:val="16"/>
                <w:szCs w:val="16"/>
                <w:lang w:eastAsia="pl-PL"/>
              </w:rPr>
            </w:pPr>
            <w:r>
              <w:rPr>
                <w:rFonts w:asciiTheme="minorHAnsi" w:hAnsiTheme="minorHAnsi"/>
                <w:sz w:val="16"/>
                <w:szCs w:val="16"/>
                <w:lang w:eastAsia="pl-PL"/>
              </w:rPr>
              <w:t>- wskaźniki celów strategicznych, do realizacji których przyczynia się dany PS, w tym opis wpływu PS na wartości wskaźników;</w:t>
            </w:r>
          </w:p>
          <w:p w14:paraId="3AEF0167" w14:textId="77777777" w:rsidR="00863076" w:rsidRDefault="00514B3E" w:rsidP="00AC3734">
            <w:pPr>
              <w:spacing w:after="0" w:line="240" w:lineRule="auto"/>
              <w:jc w:val="left"/>
              <w:rPr>
                <w:rFonts w:asciiTheme="minorHAnsi" w:hAnsiTheme="minorHAnsi"/>
                <w:sz w:val="16"/>
                <w:szCs w:val="16"/>
                <w:lang w:eastAsia="pl-PL"/>
              </w:rPr>
            </w:pPr>
            <w:r>
              <w:rPr>
                <w:rFonts w:asciiTheme="minorHAnsi" w:hAnsiTheme="minorHAnsi"/>
                <w:sz w:val="16"/>
                <w:szCs w:val="16"/>
                <w:lang w:eastAsia="pl-PL"/>
              </w:rPr>
              <w:t>- wskaźniki rezultatu PS i ich odniesienia do wskaźników celów strategicznych;</w:t>
            </w:r>
          </w:p>
          <w:p w14:paraId="0A422566" w14:textId="77777777" w:rsidR="00514B3E" w:rsidRDefault="00514B3E" w:rsidP="00AC3734">
            <w:pPr>
              <w:spacing w:after="0" w:line="240" w:lineRule="auto"/>
              <w:jc w:val="left"/>
              <w:rPr>
                <w:rFonts w:asciiTheme="minorHAnsi" w:hAnsiTheme="minorHAnsi"/>
                <w:sz w:val="16"/>
                <w:szCs w:val="16"/>
                <w:lang w:eastAsia="pl-PL"/>
              </w:rPr>
            </w:pPr>
            <w:r>
              <w:rPr>
                <w:rFonts w:asciiTheme="minorHAnsi" w:hAnsiTheme="minorHAnsi"/>
                <w:sz w:val="16"/>
                <w:szCs w:val="16"/>
                <w:lang w:eastAsia="pl-PL"/>
              </w:rPr>
              <w:t>- wskaźniki produktu dla PS i ich odniesienia do wskaźników celów strategicznych</w:t>
            </w:r>
          </w:p>
          <w:p w14:paraId="12B6C425" w14:textId="77777777" w:rsidR="00514B3E" w:rsidRDefault="00514B3E" w:rsidP="00AC3734">
            <w:pPr>
              <w:spacing w:after="0" w:line="240" w:lineRule="auto"/>
              <w:jc w:val="left"/>
              <w:rPr>
                <w:rFonts w:asciiTheme="minorHAnsi" w:hAnsiTheme="minorHAnsi"/>
                <w:sz w:val="16"/>
                <w:szCs w:val="16"/>
                <w:lang w:eastAsia="pl-PL"/>
              </w:rPr>
            </w:pPr>
            <w:r>
              <w:rPr>
                <w:rFonts w:asciiTheme="minorHAnsi" w:hAnsiTheme="minorHAnsi"/>
                <w:sz w:val="16"/>
                <w:szCs w:val="16"/>
                <w:lang w:eastAsia="pl-PL"/>
              </w:rPr>
              <w:t>- zakres terytorialny oddziaływania PS na poziomie: produktu, rezultatu i oddziaływania;</w:t>
            </w:r>
          </w:p>
          <w:p w14:paraId="7CF5D2FB" w14:textId="77777777" w:rsidR="00514B3E" w:rsidRDefault="00514B3E" w:rsidP="00AC3734">
            <w:pPr>
              <w:spacing w:after="0" w:line="240" w:lineRule="auto"/>
              <w:jc w:val="left"/>
              <w:rPr>
                <w:rFonts w:asciiTheme="minorHAnsi" w:hAnsiTheme="minorHAnsi"/>
                <w:sz w:val="16"/>
                <w:szCs w:val="16"/>
                <w:lang w:eastAsia="pl-PL"/>
              </w:rPr>
            </w:pPr>
            <w:r>
              <w:rPr>
                <w:rFonts w:asciiTheme="minorHAnsi" w:hAnsiTheme="minorHAnsi"/>
                <w:sz w:val="16"/>
                <w:szCs w:val="16"/>
                <w:lang w:eastAsia="pl-PL"/>
              </w:rPr>
              <w:t>- terminy pozyskiwania informacji na temat realizacji PS – co najmniej raz na miesiąc;</w:t>
            </w:r>
          </w:p>
          <w:p w14:paraId="074719FF" w14:textId="4603DC48" w:rsidR="00514B3E" w:rsidRPr="004F5607" w:rsidRDefault="00514B3E" w:rsidP="00AC3734">
            <w:pPr>
              <w:spacing w:after="0" w:line="240" w:lineRule="auto"/>
              <w:jc w:val="left"/>
              <w:rPr>
                <w:sz w:val="16"/>
                <w:szCs w:val="16"/>
                <w:lang w:eastAsia="pl-PL"/>
              </w:rPr>
            </w:pPr>
            <w:r>
              <w:rPr>
                <w:rFonts w:asciiTheme="minorHAnsi" w:hAnsiTheme="minorHAnsi"/>
                <w:sz w:val="16"/>
                <w:szCs w:val="16"/>
                <w:lang w:eastAsia="pl-PL"/>
              </w:rPr>
              <w:t>- instytucja odpowiedzialna za szczegółowe monitorowanie PS</w:t>
            </w:r>
          </w:p>
        </w:tc>
        <w:tc>
          <w:tcPr>
            <w:tcW w:w="992" w:type="dxa"/>
            <w:tcMar>
              <w:left w:w="28" w:type="dxa"/>
              <w:right w:w="28" w:type="dxa"/>
            </w:tcMar>
          </w:tcPr>
          <w:p w14:paraId="4DBD07F4" w14:textId="2EF01746" w:rsidR="00370948" w:rsidRPr="004F5607" w:rsidRDefault="00AC3734" w:rsidP="00AC3734">
            <w:pPr>
              <w:spacing w:after="0" w:line="240" w:lineRule="auto"/>
              <w:jc w:val="center"/>
              <w:rPr>
                <w:sz w:val="16"/>
                <w:szCs w:val="16"/>
                <w:lang w:eastAsia="pl-PL"/>
              </w:rPr>
            </w:pPr>
            <w:r>
              <w:rPr>
                <w:sz w:val="16"/>
                <w:szCs w:val="16"/>
                <w:lang w:eastAsia="pl-PL"/>
              </w:rPr>
              <w:t>31 marca</w:t>
            </w:r>
            <w:r w:rsidR="00863076">
              <w:rPr>
                <w:sz w:val="16"/>
                <w:szCs w:val="16"/>
                <w:lang w:eastAsia="pl-PL"/>
              </w:rPr>
              <w:t xml:space="preserve"> 2020</w:t>
            </w:r>
          </w:p>
        </w:tc>
        <w:tc>
          <w:tcPr>
            <w:tcW w:w="1020" w:type="dxa"/>
            <w:tcMar>
              <w:left w:w="28" w:type="dxa"/>
              <w:right w:w="28" w:type="dxa"/>
            </w:tcMar>
          </w:tcPr>
          <w:p w14:paraId="67E6FDF2" w14:textId="125C624F" w:rsidR="00370948" w:rsidRPr="006A212D" w:rsidRDefault="006A212D" w:rsidP="00637EF3">
            <w:pPr>
              <w:spacing w:after="0" w:line="240" w:lineRule="auto"/>
              <w:rPr>
                <w:sz w:val="16"/>
                <w:szCs w:val="16"/>
                <w:lang w:eastAsia="pl-PL"/>
              </w:rPr>
            </w:pPr>
            <w:r w:rsidRPr="006A212D">
              <w:rPr>
                <w:rFonts w:asciiTheme="minorHAnsi" w:hAnsiTheme="minorHAnsi" w:cs="Arial"/>
                <w:sz w:val="16"/>
                <w:szCs w:val="16"/>
              </w:rPr>
              <w:t>Rekomendacja</w:t>
            </w:r>
            <w:r w:rsidR="00D54B8F" w:rsidRPr="006A212D">
              <w:rPr>
                <w:rFonts w:asciiTheme="minorHAnsi" w:hAnsiTheme="minorHAnsi" w:cs="Arial"/>
                <w:sz w:val="16"/>
                <w:szCs w:val="16"/>
              </w:rPr>
              <w:t xml:space="preserve"> </w:t>
            </w:r>
            <w:r w:rsidR="00637EF3">
              <w:rPr>
                <w:rFonts w:asciiTheme="minorHAnsi" w:hAnsiTheme="minorHAnsi" w:cs="Arial"/>
                <w:sz w:val="16"/>
                <w:szCs w:val="16"/>
              </w:rPr>
              <w:t>operacyjna</w:t>
            </w:r>
          </w:p>
        </w:tc>
        <w:tc>
          <w:tcPr>
            <w:tcW w:w="965" w:type="dxa"/>
            <w:tcMar>
              <w:left w:w="28" w:type="dxa"/>
              <w:right w:w="28" w:type="dxa"/>
            </w:tcMar>
          </w:tcPr>
          <w:p w14:paraId="23A912BE" w14:textId="6FC8BDB1" w:rsidR="00370948" w:rsidRPr="006A212D" w:rsidRDefault="007628FF" w:rsidP="00AC3734">
            <w:pPr>
              <w:spacing w:after="0" w:line="240" w:lineRule="auto"/>
              <w:jc w:val="left"/>
              <w:rPr>
                <w:sz w:val="16"/>
                <w:szCs w:val="16"/>
                <w:lang w:eastAsia="pl-PL"/>
              </w:rPr>
            </w:pPr>
            <w:r w:rsidRPr="006A212D">
              <w:rPr>
                <w:rFonts w:asciiTheme="minorHAnsi" w:hAnsiTheme="minorHAnsi" w:cs="Arial"/>
                <w:sz w:val="16"/>
                <w:szCs w:val="16"/>
              </w:rPr>
              <w:t xml:space="preserve">Rozwój regionalny i lokalny </w:t>
            </w:r>
          </w:p>
        </w:tc>
        <w:tc>
          <w:tcPr>
            <w:tcW w:w="850" w:type="dxa"/>
            <w:tcMar>
              <w:left w:w="28" w:type="dxa"/>
              <w:right w:w="28" w:type="dxa"/>
            </w:tcMar>
          </w:tcPr>
          <w:p w14:paraId="7F26B0C9" w14:textId="7FEDB77D" w:rsidR="00370948" w:rsidRPr="006A212D" w:rsidRDefault="007628FF" w:rsidP="007628FF">
            <w:pPr>
              <w:spacing w:after="0" w:line="240" w:lineRule="auto"/>
              <w:jc w:val="center"/>
              <w:rPr>
                <w:sz w:val="16"/>
                <w:szCs w:val="16"/>
                <w:lang w:eastAsia="pl-PL"/>
              </w:rPr>
            </w:pPr>
            <w:r w:rsidRPr="006A212D">
              <w:rPr>
                <w:sz w:val="16"/>
                <w:szCs w:val="16"/>
                <w:lang w:eastAsia="pl-PL"/>
              </w:rPr>
              <w:t>W</w:t>
            </w:r>
            <w:r w:rsidR="004F5607" w:rsidRPr="006A212D">
              <w:rPr>
                <w:sz w:val="16"/>
                <w:szCs w:val="16"/>
                <w:lang w:eastAsia="pl-PL"/>
              </w:rPr>
              <w:t>RPO</w:t>
            </w:r>
            <w:r w:rsidRPr="006A212D">
              <w:rPr>
                <w:sz w:val="16"/>
                <w:szCs w:val="16"/>
                <w:lang w:eastAsia="pl-PL"/>
              </w:rPr>
              <w:t xml:space="preserve"> 2014-2020</w:t>
            </w:r>
          </w:p>
        </w:tc>
        <w:tc>
          <w:tcPr>
            <w:tcW w:w="851" w:type="dxa"/>
            <w:tcMar>
              <w:left w:w="28" w:type="dxa"/>
              <w:right w:w="28" w:type="dxa"/>
            </w:tcMar>
          </w:tcPr>
          <w:p w14:paraId="2840D718" w14:textId="1B8D61EC" w:rsidR="00370948" w:rsidRPr="006A212D" w:rsidRDefault="00D54B8F" w:rsidP="00D54B8F">
            <w:pPr>
              <w:spacing w:after="0" w:line="240" w:lineRule="auto"/>
              <w:jc w:val="center"/>
              <w:rPr>
                <w:sz w:val="16"/>
                <w:szCs w:val="16"/>
                <w:lang w:eastAsia="pl-PL"/>
              </w:rPr>
            </w:pPr>
            <w:r w:rsidRPr="006A212D">
              <w:rPr>
                <w:sz w:val="16"/>
                <w:szCs w:val="16"/>
                <w:lang w:eastAsia="pl-PL"/>
              </w:rPr>
              <w:t>SWW</w:t>
            </w:r>
          </w:p>
        </w:tc>
        <w:tc>
          <w:tcPr>
            <w:tcW w:w="1115" w:type="dxa"/>
            <w:tcMar>
              <w:left w:w="28" w:type="dxa"/>
              <w:right w:w="28" w:type="dxa"/>
            </w:tcMar>
          </w:tcPr>
          <w:p w14:paraId="5A8885EA" w14:textId="29AFF3B7" w:rsidR="00370948" w:rsidRPr="00C10694" w:rsidRDefault="006A212D" w:rsidP="00FF5F2E">
            <w:pPr>
              <w:spacing w:after="0" w:line="240" w:lineRule="auto"/>
              <w:rPr>
                <w:sz w:val="16"/>
                <w:szCs w:val="16"/>
                <w:lang w:eastAsia="pl-PL"/>
              </w:rPr>
            </w:pPr>
            <w:r w:rsidRPr="00C10694">
              <w:rPr>
                <w:rFonts w:asciiTheme="minorHAnsi" w:hAnsiTheme="minorHAnsi" w:cs="Arial"/>
                <w:sz w:val="16"/>
                <w:szCs w:val="16"/>
              </w:rPr>
              <w:t>Rekomendacja zatwierdzona w całości</w:t>
            </w:r>
          </w:p>
        </w:tc>
      </w:tr>
      <w:tr w:rsidR="00370948" w:rsidRPr="006A212D" w14:paraId="0ED532A7" w14:textId="77777777" w:rsidTr="0067757E">
        <w:tc>
          <w:tcPr>
            <w:tcW w:w="284" w:type="dxa"/>
            <w:tcMar>
              <w:left w:w="28" w:type="dxa"/>
              <w:right w:w="28" w:type="dxa"/>
            </w:tcMar>
          </w:tcPr>
          <w:p w14:paraId="3431144E" w14:textId="08D2B282" w:rsidR="00370948" w:rsidRPr="004F5607" w:rsidRDefault="004F5607" w:rsidP="00D26F53">
            <w:pPr>
              <w:spacing w:after="0" w:line="240" w:lineRule="auto"/>
              <w:jc w:val="center"/>
              <w:rPr>
                <w:sz w:val="16"/>
                <w:szCs w:val="16"/>
                <w:lang w:eastAsia="pl-PL"/>
              </w:rPr>
            </w:pPr>
            <w:r>
              <w:rPr>
                <w:sz w:val="16"/>
                <w:szCs w:val="16"/>
                <w:lang w:eastAsia="pl-PL"/>
              </w:rPr>
              <w:lastRenderedPageBreak/>
              <w:t>2.</w:t>
            </w:r>
          </w:p>
        </w:tc>
        <w:tc>
          <w:tcPr>
            <w:tcW w:w="850" w:type="dxa"/>
            <w:tcMar>
              <w:left w:w="28" w:type="dxa"/>
              <w:right w:w="28" w:type="dxa"/>
            </w:tcMar>
          </w:tcPr>
          <w:p w14:paraId="59E4C2B6" w14:textId="1E42AB92" w:rsidR="00370948" w:rsidRPr="004F5607" w:rsidRDefault="007628FF" w:rsidP="00FF5F2E">
            <w:pPr>
              <w:spacing w:after="0" w:line="240" w:lineRule="auto"/>
              <w:rPr>
                <w:sz w:val="16"/>
                <w:szCs w:val="16"/>
                <w:lang w:eastAsia="pl-PL"/>
              </w:rPr>
            </w:pPr>
            <w:r w:rsidRPr="007628FF">
              <w:rPr>
                <w:sz w:val="16"/>
                <w:szCs w:val="16"/>
                <w:lang w:eastAsia="pl-PL"/>
              </w:rPr>
              <w:t>Ewaluacja „Strategii rozwoju wojewódz</w:t>
            </w:r>
            <w:r w:rsidR="0048017B">
              <w:rPr>
                <w:sz w:val="16"/>
                <w:szCs w:val="16"/>
                <w:lang w:eastAsia="pl-PL"/>
              </w:rPr>
              <w:t>-</w:t>
            </w:r>
            <w:r w:rsidRPr="007628FF">
              <w:rPr>
                <w:sz w:val="16"/>
                <w:szCs w:val="16"/>
                <w:lang w:eastAsia="pl-PL"/>
              </w:rPr>
              <w:t>twa wielkopol</w:t>
            </w:r>
            <w:r w:rsidR="0048017B">
              <w:rPr>
                <w:sz w:val="16"/>
                <w:szCs w:val="16"/>
                <w:lang w:eastAsia="pl-PL"/>
              </w:rPr>
              <w:t>-</w:t>
            </w:r>
            <w:r w:rsidRPr="007628FF">
              <w:rPr>
                <w:sz w:val="16"/>
                <w:szCs w:val="16"/>
                <w:lang w:eastAsia="pl-PL"/>
              </w:rPr>
              <w:t>skiego do 2020 roku. Wielkopol</w:t>
            </w:r>
            <w:r w:rsidR="0048017B">
              <w:rPr>
                <w:sz w:val="16"/>
                <w:szCs w:val="16"/>
                <w:lang w:eastAsia="pl-PL"/>
              </w:rPr>
              <w:t>-</w:t>
            </w:r>
            <w:r w:rsidRPr="007628FF">
              <w:rPr>
                <w:sz w:val="16"/>
                <w:szCs w:val="16"/>
                <w:lang w:eastAsia="pl-PL"/>
              </w:rPr>
              <w:t>ska 2020”</w:t>
            </w:r>
          </w:p>
        </w:tc>
        <w:tc>
          <w:tcPr>
            <w:tcW w:w="2268" w:type="dxa"/>
            <w:tcMar>
              <w:left w:w="28" w:type="dxa"/>
              <w:right w:w="28" w:type="dxa"/>
            </w:tcMar>
          </w:tcPr>
          <w:p w14:paraId="46ED7068" w14:textId="1E3BC1AA" w:rsidR="0067757E" w:rsidRDefault="0067757E" w:rsidP="0048017B">
            <w:pPr>
              <w:spacing w:after="0" w:line="240" w:lineRule="auto"/>
              <w:jc w:val="left"/>
              <w:rPr>
                <w:rFonts w:asciiTheme="minorHAnsi" w:hAnsiTheme="minorHAnsi"/>
                <w:sz w:val="16"/>
                <w:szCs w:val="16"/>
                <w:lang w:eastAsia="pl-PL"/>
              </w:rPr>
            </w:pPr>
            <w:r>
              <w:rPr>
                <w:rFonts w:asciiTheme="minorHAnsi" w:hAnsiTheme="minorHAnsi"/>
                <w:sz w:val="16"/>
                <w:szCs w:val="16"/>
                <w:lang w:eastAsia="pl-PL"/>
              </w:rPr>
              <w:t>„</w:t>
            </w:r>
            <w:r w:rsidRPr="0067757E">
              <w:rPr>
                <w:rFonts w:asciiTheme="minorHAnsi" w:hAnsiTheme="minorHAnsi"/>
                <w:sz w:val="16"/>
                <w:szCs w:val="16"/>
                <w:lang w:eastAsia="pl-PL"/>
              </w:rPr>
              <w:t>Nie wszystkie cele SRWW 2020 są adresowane terytorialne. Część z nich obejmuje zasięgiem cały region. Są to tzw. cele horyzontalne. Adresowane terytorialnie cele mają dwa wymiary. Pierwszy z nich to cele, które dotyczą de facto działań na obszarze całego województwa, jednak wskazane są w ramach nich preferencje dla zdelimitowanych obszarów. Drugi wymiar dotyczy celów, które realizowane są stricte na wyznaczonych obszarach interwencji</w:t>
            </w:r>
            <w:r>
              <w:rPr>
                <w:rFonts w:asciiTheme="minorHAnsi" w:hAnsiTheme="minorHAnsi"/>
                <w:sz w:val="16"/>
                <w:szCs w:val="16"/>
                <w:lang w:eastAsia="pl-PL"/>
              </w:rPr>
              <w:t>” (s. 71)</w:t>
            </w:r>
          </w:p>
          <w:p w14:paraId="380E99CF" w14:textId="75816774" w:rsidR="00370948" w:rsidRPr="004F5607" w:rsidRDefault="0048017B" w:rsidP="0067757E">
            <w:pPr>
              <w:spacing w:after="0" w:line="240" w:lineRule="auto"/>
              <w:jc w:val="left"/>
              <w:rPr>
                <w:sz w:val="16"/>
                <w:szCs w:val="16"/>
                <w:lang w:eastAsia="pl-PL"/>
              </w:rPr>
            </w:pPr>
            <w:r w:rsidRPr="00AC3734">
              <w:rPr>
                <w:rFonts w:asciiTheme="minorHAnsi" w:hAnsiTheme="minorHAnsi"/>
                <w:sz w:val="16"/>
                <w:szCs w:val="16"/>
                <w:lang w:eastAsia="pl-PL"/>
              </w:rPr>
              <w:t>Należy dążyć do terytorialnej integracji w zakresie planowanych działań finansowanych z różnych funduszy europejskich (głównie: EFRR, EFS, EFRROW). Tego typu integracja pozwoli zintensyfikować oddziaływanie polityki rozwoju w konkretnych subregionach, a przede wszystkim powinna zmniejszyć liczbę interwencji, które już na etapie konstrukcji programów zakładają „cały obszar województwa”.</w:t>
            </w:r>
          </w:p>
        </w:tc>
        <w:tc>
          <w:tcPr>
            <w:tcW w:w="1559" w:type="dxa"/>
            <w:tcMar>
              <w:left w:w="28" w:type="dxa"/>
              <w:right w:w="28" w:type="dxa"/>
            </w:tcMar>
          </w:tcPr>
          <w:p w14:paraId="64B51DE4" w14:textId="737B884E" w:rsidR="00370948" w:rsidRPr="006A212D" w:rsidRDefault="007628FF" w:rsidP="00AC3734">
            <w:pPr>
              <w:spacing w:after="0" w:line="240" w:lineRule="auto"/>
              <w:jc w:val="left"/>
              <w:rPr>
                <w:sz w:val="16"/>
                <w:szCs w:val="16"/>
                <w:lang w:eastAsia="pl-PL"/>
              </w:rPr>
            </w:pPr>
            <w:r w:rsidRPr="006A212D">
              <w:rPr>
                <w:rFonts w:asciiTheme="minorHAnsi" w:hAnsiTheme="minorHAnsi"/>
                <w:sz w:val="16"/>
                <w:szCs w:val="16"/>
                <w:lang w:eastAsia="pl-PL"/>
              </w:rPr>
              <w:t>Zwiększenie spójności terytorializacji polityki rozwoju w wymiarze strategicznym i operacyjnym</w:t>
            </w:r>
          </w:p>
        </w:tc>
        <w:tc>
          <w:tcPr>
            <w:tcW w:w="992" w:type="dxa"/>
            <w:tcMar>
              <w:left w:w="28" w:type="dxa"/>
              <w:right w:w="28" w:type="dxa"/>
            </w:tcMar>
          </w:tcPr>
          <w:p w14:paraId="232F5DF0" w14:textId="3AC43128" w:rsidR="00370948" w:rsidRPr="004F5607" w:rsidRDefault="004F5607" w:rsidP="007628FF">
            <w:pPr>
              <w:spacing w:after="0" w:line="240" w:lineRule="auto"/>
              <w:jc w:val="center"/>
              <w:rPr>
                <w:sz w:val="16"/>
                <w:szCs w:val="16"/>
                <w:lang w:eastAsia="pl-PL"/>
              </w:rPr>
            </w:pPr>
            <w:r>
              <w:rPr>
                <w:sz w:val="16"/>
                <w:szCs w:val="16"/>
                <w:lang w:eastAsia="pl-PL"/>
              </w:rPr>
              <w:t>ZWW</w:t>
            </w:r>
          </w:p>
        </w:tc>
        <w:tc>
          <w:tcPr>
            <w:tcW w:w="2694" w:type="dxa"/>
            <w:tcMar>
              <w:left w:w="28" w:type="dxa"/>
              <w:right w:w="28" w:type="dxa"/>
            </w:tcMar>
          </w:tcPr>
          <w:p w14:paraId="625252D0" w14:textId="77777777" w:rsidR="00AC3734" w:rsidRDefault="00AC3734" w:rsidP="0048017B">
            <w:pPr>
              <w:spacing w:after="0" w:line="240" w:lineRule="auto"/>
              <w:jc w:val="left"/>
              <w:rPr>
                <w:rFonts w:asciiTheme="minorHAnsi" w:hAnsiTheme="minorHAnsi"/>
                <w:sz w:val="16"/>
                <w:szCs w:val="16"/>
                <w:lang w:eastAsia="pl-PL"/>
              </w:rPr>
            </w:pPr>
            <w:r>
              <w:rPr>
                <w:rFonts w:asciiTheme="minorHAnsi" w:hAnsiTheme="minorHAnsi"/>
                <w:sz w:val="16"/>
                <w:szCs w:val="16"/>
                <w:lang w:eastAsia="pl-PL"/>
              </w:rPr>
              <w:t>Powołanie grupy roboczej (głównie pracownicy DPR, EFS, PROW), której zadaniem będzie diagnoza, ocena i zaprojektowanie terytorialnego wymiaru stosowanych różnych instrumentów wdrażających polityki UE oraz polityki krajowe na terenie województwa wielkopolskiego.</w:t>
            </w:r>
          </w:p>
          <w:p w14:paraId="6B337B74" w14:textId="403EE6E4" w:rsidR="00AC3734" w:rsidRPr="004F5607" w:rsidRDefault="00AC3734" w:rsidP="0048017B">
            <w:pPr>
              <w:spacing w:after="0" w:line="240" w:lineRule="auto"/>
              <w:jc w:val="left"/>
              <w:rPr>
                <w:sz w:val="16"/>
                <w:szCs w:val="16"/>
                <w:lang w:eastAsia="pl-PL"/>
              </w:rPr>
            </w:pPr>
            <w:r>
              <w:rPr>
                <w:rFonts w:asciiTheme="minorHAnsi" w:hAnsiTheme="minorHAnsi"/>
                <w:sz w:val="16"/>
                <w:szCs w:val="16"/>
                <w:lang w:eastAsia="pl-PL"/>
              </w:rPr>
              <w:t xml:space="preserve">Celem działania grupy powinien być dokument pt. </w:t>
            </w:r>
            <w:r w:rsidRPr="003B7264">
              <w:rPr>
                <w:rFonts w:asciiTheme="minorHAnsi" w:hAnsiTheme="minorHAnsi"/>
                <w:b/>
                <w:sz w:val="16"/>
                <w:szCs w:val="16"/>
                <w:lang w:eastAsia="pl-PL"/>
              </w:rPr>
              <w:t>„Terytorialny wymiar interwencji w latach 2021-2027”</w:t>
            </w:r>
            <w:r>
              <w:rPr>
                <w:rFonts w:asciiTheme="minorHAnsi" w:hAnsiTheme="minorHAnsi"/>
                <w:sz w:val="16"/>
                <w:szCs w:val="16"/>
                <w:lang w:eastAsia="pl-PL"/>
              </w:rPr>
              <w:t>, uszczegóławiający terytorialny wymiar Strategii rozwoju województwa. W ramach współpracy różnych departamentów doprecyzowane będą zakresy interwencji i same obszary interwencji w taki sposób, by zachować precyzję i spójność działań prowadzonych i finansowanych z różn</w:t>
            </w:r>
            <w:r w:rsidR="003B7264">
              <w:rPr>
                <w:rFonts w:asciiTheme="minorHAnsi" w:hAnsiTheme="minorHAnsi"/>
                <w:sz w:val="16"/>
                <w:szCs w:val="16"/>
                <w:lang w:eastAsia="pl-PL"/>
              </w:rPr>
              <w:t>ych źródeł.</w:t>
            </w:r>
            <w:r>
              <w:rPr>
                <w:rFonts w:asciiTheme="minorHAnsi" w:hAnsiTheme="minorHAnsi"/>
                <w:sz w:val="16"/>
                <w:szCs w:val="16"/>
                <w:lang w:eastAsia="pl-PL"/>
              </w:rPr>
              <w:t xml:space="preserve">   </w:t>
            </w:r>
          </w:p>
        </w:tc>
        <w:tc>
          <w:tcPr>
            <w:tcW w:w="992" w:type="dxa"/>
            <w:shd w:val="clear" w:color="auto" w:fill="auto"/>
            <w:tcMar>
              <w:left w:w="28" w:type="dxa"/>
              <w:right w:w="28" w:type="dxa"/>
            </w:tcMar>
          </w:tcPr>
          <w:p w14:paraId="311404FB" w14:textId="7F6796B8" w:rsidR="00370948" w:rsidRPr="004F5607" w:rsidRDefault="00AC3734" w:rsidP="00AC3734">
            <w:pPr>
              <w:spacing w:after="0" w:line="240" w:lineRule="auto"/>
              <w:jc w:val="center"/>
              <w:rPr>
                <w:sz w:val="16"/>
                <w:szCs w:val="16"/>
                <w:lang w:eastAsia="pl-PL"/>
              </w:rPr>
            </w:pPr>
            <w:r>
              <w:rPr>
                <w:sz w:val="16"/>
                <w:szCs w:val="16"/>
                <w:lang w:eastAsia="pl-PL"/>
              </w:rPr>
              <w:t xml:space="preserve">31 marca </w:t>
            </w:r>
            <w:r w:rsidR="00863076" w:rsidRPr="00863076">
              <w:rPr>
                <w:sz w:val="16"/>
                <w:szCs w:val="16"/>
                <w:lang w:eastAsia="pl-PL"/>
              </w:rPr>
              <w:t>2020</w:t>
            </w:r>
          </w:p>
        </w:tc>
        <w:tc>
          <w:tcPr>
            <w:tcW w:w="1020" w:type="dxa"/>
            <w:tcMar>
              <w:left w:w="28" w:type="dxa"/>
              <w:right w:w="28" w:type="dxa"/>
            </w:tcMar>
          </w:tcPr>
          <w:p w14:paraId="7C6C1569" w14:textId="3C57A474" w:rsidR="00370948" w:rsidRPr="006A212D" w:rsidRDefault="006A212D" w:rsidP="42AB9F0F">
            <w:pPr>
              <w:spacing w:after="0" w:line="240" w:lineRule="auto"/>
              <w:rPr>
                <w:sz w:val="16"/>
                <w:szCs w:val="16"/>
                <w:lang w:eastAsia="pl-PL"/>
              </w:rPr>
            </w:pPr>
            <w:r w:rsidRPr="006A212D">
              <w:rPr>
                <w:rFonts w:asciiTheme="minorHAnsi" w:hAnsiTheme="minorHAnsi" w:cs="Arial"/>
                <w:sz w:val="16"/>
                <w:szCs w:val="16"/>
              </w:rPr>
              <w:t>Rekomendacja</w:t>
            </w:r>
            <w:r w:rsidR="00D54B8F" w:rsidRPr="006A212D">
              <w:rPr>
                <w:rFonts w:asciiTheme="minorHAnsi" w:hAnsiTheme="minorHAnsi" w:cs="Arial"/>
                <w:sz w:val="16"/>
                <w:szCs w:val="16"/>
              </w:rPr>
              <w:t xml:space="preserve"> </w:t>
            </w:r>
            <w:r w:rsidR="00637EF3">
              <w:rPr>
                <w:rFonts w:asciiTheme="minorHAnsi" w:hAnsiTheme="minorHAnsi" w:cs="Arial"/>
                <w:sz w:val="16"/>
                <w:szCs w:val="16"/>
              </w:rPr>
              <w:t>operacyjna</w:t>
            </w:r>
          </w:p>
          <w:p w14:paraId="680FE421" w14:textId="0915010C" w:rsidR="00370948" w:rsidRPr="006A212D" w:rsidRDefault="00370948" w:rsidP="00FF5F2E">
            <w:pPr>
              <w:spacing w:after="0" w:line="240" w:lineRule="auto"/>
              <w:rPr>
                <w:rFonts w:asciiTheme="minorHAnsi" w:hAnsiTheme="minorHAnsi" w:cs="Arial"/>
                <w:sz w:val="16"/>
                <w:szCs w:val="16"/>
              </w:rPr>
            </w:pPr>
          </w:p>
        </w:tc>
        <w:tc>
          <w:tcPr>
            <w:tcW w:w="965" w:type="dxa"/>
            <w:tcMar>
              <w:left w:w="28" w:type="dxa"/>
              <w:right w:w="28" w:type="dxa"/>
            </w:tcMar>
          </w:tcPr>
          <w:p w14:paraId="44AFA2C0" w14:textId="4DC804C0" w:rsidR="00370948" w:rsidRPr="006A212D" w:rsidRDefault="007628FF" w:rsidP="00AC3734">
            <w:pPr>
              <w:spacing w:after="0" w:line="240" w:lineRule="auto"/>
              <w:jc w:val="left"/>
              <w:rPr>
                <w:sz w:val="16"/>
                <w:szCs w:val="16"/>
                <w:lang w:eastAsia="pl-PL"/>
              </w:rPr>
            </w:pPr>
            <w:r w:rsidRPr="006A212D">
              <w:rPr>
                <w:rFonts w:asciiTheme="minorHAnsi" w:hAnsiTheme="minorHAnsi" w:cs="Arial"/>
                <w:sz w:val="16"/>
                <w:szCs w:val="16"/>
              </w:rPr>
              <w:t xml:space="preserve">Rozwój regionalny i lokalny </w:t>
            </w:r>
          </w:p>
        </w:tc>
        <w:tc>
          <w:tcPr>
            <w:tcW w:w="850" w:type="dxa"/>
            <w:tcMar>
              <w:left w:w="28" w:type="dxa"/>
              <w:right w:w="28" w:type="dxa"/>
            </w:tcMar>
          </w:tcPr>
          <w:p w14:paraId="4BE51F1B" w14:textId="5DA53B08" w:rsidR="00370948" w:rsidRPr="006A212D" w:rsidRDefault="007628FF" w:rsidP="007628FF">
            <w:pPr>
              <w:spacing w:after="0" w:line="240" w:lineRule="auto"/>
              <w:jc w:val="center"/>
              <w:rPr>
                <w:sz w:val="16"/>
                <w:szCs w:val="16"/>
                <w:lang w:eastAsia="pl-PL"/>
              </w:rPr>
            </w:pPr>
            <w:r w:rsidRPr="006A212D">
              <w:rPr>
                <w:sz w:val="16"/>
                <w:szCs w:val="16"/>
                <w:lang w:eastAsia="pl-PL"/>
              </w:rPr>
              <w:t>W</w:t>
            </w:r>
            <w:r w:rsidR="004F5607" w:rsidRPr="006A212D">
              <w:rPr>
                <w:sz w:val="16"/>
                <w:szCs w:val="16"/>
                <w:lang w:eastAsia="pl-PL"/>
              </w:rPr>
              <w:t>RPO</w:t>
            </w:r>
            <w:r w:rsidRPr="006A212D">
              <w:rPr>
                <w:sz w:val="16"/>
                <w:szCs w:val="16"/>
                <w:lang w:eastAsia="pl-PL"/>
              </w:rPr>
              <w:t xml:space="preserve"> 2014-2020</w:t>
            </w:r>
          </w:p>
        </w:tc>
        <w:tc>
          <w:tcPr>
            <w:tcW w:w="851" w:type="dxa"/>
            <w:tcMar>
              <w:left w:w="28" w:type="dxa"/>
              <w:right w:w="28" w:type="dxa"/>
            </w:tcMar>
          </w:tcPr>
          <w:p w14:paraId="210374A5" w14:textId="57534CAA" w:rsidR="00370948" w:rsidRPr="006A212D" w:rsidRDefault="00D54B8F" w:rsidP="00D54B8F">
            <w:pPr>
              <w:spacing w:after="0" w:line="240" w:lineRule="auto"/>
              <w:jc w:val="center"/>
              <w:rPr>
                <w:sz w:val="16"/>
                <w:szCs w:val="16"/>
                <w:lang w:eastAsia="pl-PL"/>
              </w:rPr>
            </w:pPr>
            <w:r w:rsidRPr="006A212D">
              <w:rPr>
                <w:sz w:val="16"/>
                <w:szCs w:val="16"/>
                <w:lang w:eastAsia="pl-PL"/>
              </w:rPr>
              <w:t>SWW</w:t>
            </w:r>
          </w:p>
        </w:tc>
        <w:tc>
          <w:tcPr>
            <w:tcW w:w="1115" w:type="dxa"/>
            <w:tcMar>
              <w:left w:w="28" w:type="dxa"/>
              <w:right w:w="28" w:type="dxa"/>
            </w:tcMar>
          </w:tcPr>
          <w:p w14:paraId="1C9EB011" w14:textId="614C78BA" w:rsidR="00370948" w:rsidRPr="00C10694" w:rsidRDefault="006A212D" w:rsidP="00FF5F2E">
            <w:pPr>
              <w:spacing w:after="0" w:line="240" w:lineRule="auto"/>
              <w:rPr>
                <w:sz w:val="16"/>
                <w:szCs w:val="16"/>
                <w:lang w:eastAsia="pl-PL"/>
              </w:rPr>
            </w:pPr>
            <w:r w:rsidRPr="00C10694">
              <w:rPr>
                <w:rFonts w:asciiTheme="minorHAnsi" w:hAnsiTheme="minorHAnsi" w:cs="Arial"/>
                <w:sz w:val="16"/>
                <w:szCs w:val="16"/>
              </w:rPr>
              <w:t>Rekomendacja zatwierdzona w całości</w:t>
            </w:r>
          </w:p>
        </w:tc>
      </w:tr>
    </w:tbl>
    <w:p w14:paraId="63212D00" w14:textId="77777777" w:rsidR="00AC3734" w:rsidRDefault="00AC3734">
      <w:pPr>
        <w:spacing w:after="0" w:line="240" w:lineRule="auto"/>
        <w:jc w:val="left"/>
        <w:rPr>
          <w:sz w:val="16"/>
          <w:szCs w:val="16"/>
          <w:lang w:eastAsia="pl-PL"/>
        </w:rPr>
      </w:pPr>
      <w:r>
        <w:rPr>
          <w:sz w:val="16"/>
          <w:szCs w:val="16"/>
          <w:lang w:eastAsia="pl-PL"/>
        </w:rPr>
        <w:t xml:space="preserve">Skróty: </w:t>
      </w:r>
    </w:p>
    <w:p w14:paraId="35C19C24" w14:textId="0AC84A38" w:rsidR="00D54B8F" w:rsidRDefault="00D54B8F">
      <w:pPr>
        <w:spacing w:after="0" w:line="240" w:lineRule="auto"/>
        <w:jc w:val="left"/>
        <w:rPr>
          <w:sz w:val="16"/>
          <w:szCs w:val="16"/>
          <w:lang w:eastAsia="pl-PL"/>
        </w:rPr>
      </w:pPr>
      <w:r>
        <w:rPr>
          <w:sz w:val="16"/>
          <w:szCs w:val="16"/>
          <w:lang w:eastAsia="pl-PL"/>
        </w:rPr>
        <w:t xml:space="preserve">SWW – Samorząd </w:t>
      </w:r>
      <w:r w:rsidRPr="00D26F53">
        <w:rPr>
          <w:sz w:val="16"/>
          <w:szCs w:val="16"/>
          <w:lang w:eastAsia="pl-PL"/>
        </w:rPr>
        <w:t>Województwa Wielkopolskiego</w:t>
      </w:r>
    </w:p>
    <w:p w14:paraId="03D67B6F" w14:textId="30210CE4" w:rsidR="00D54B8F" w:rsidRDefault="00D54B8F">
      <w:pPr>
        <w:spacing w:after="0" w:line="240" w:lineRule="auto"/>
        <w:jc w:val="left"/>
        <w:rPr>
          <w:sz w:val="16"/>
          <w:szCs w:val="16"/>
          <w:lang w:eastAsia="pl-PL"/>
        </w:rPr>
      </w:pPr>
      <w:r>
        <w:rPr>
          <w:sz w:val="16"/>
          <w:szCs w:val="16"/>
          <w:lang w:eastAsia="pl-PL"/>
        </w:rPr>
        <w:t xml:space="preserve">WRPO 2014-2020 – </w:t>
      </w:r>
      <w:r w:rsidRPr="00D54B8F">
        <w:rPr>
          <w:sz w:val="16"/>
          <w:szCs w:val="16"/>
          <w:lang w:eastAsia="pl-PL"/>
        </w:rPr>
        <w:t>Wielkopolski Regionalny Program Operacyjny na lata 2014-2020</w:t>
      </w:r>
    </w:p>
    <w:p w14:paraId="4DF64E8C" w14:textId="76EC5260" w:rsidR="00CC64AD" w:rsidRPr="00D26F53" w:rsidRDefault="004F5607">
      <w:pPr>
        <w:spacing w:after="0" w:line="240" w:lineRule="auto"/>
        <w:jc w:val="left"/>
        <w:rPr>
          <w:sz w:val="16"/>
          <w:szCs w:val="16"/>
          <w:lang w:eastAsia="pl-PL"/>
        </w:rPr>
        <w:sectPr w:rsidR="00CC64AD" w:rsidRPr="00D26F53" w:rsidSect="00FF5F2E">
          <w:headerReference w:type="default" r:id="rId79"/>
          <w:footerReference w:type="default" r:id="rId80"/>
          <w:pgSz w:w="16838" w:h="11906" w:orient="landscape"/>
          <w:pgMar w:top="1417" w:right="1417" w:bottom="1417" w:left="1123" w:header="227" w:footer="415" w:gutter="0"/>
          <w:cols w:space="708"/>
          <w:docGrid w:linePitch="360"/>
        </w:sectPr>
      </w:pPr>
      <w:r w:rsidRPr="00D26F53">
        <w:rPr>
          <w:sz w:val="16"/>
          <w:szCs w:val="16"/>
          <w:lang w:eastAsia="pl-PL"/>
        </w:rPr>
        <w:t>ZWW – Zarząd Województwa Wielkopolskiego</w:t>
      </w:r>
    </w:p>
    <w:p w14:paraId="25B6A837" w14:textId="77777777" w:rsidR="004A3B6E" w:rsidRDefault="004A3B6E" w:rsidP="004A3B6E">
      <w:pPr>
        <w:pStyle w:val="Nagwek1"/>
      </w:pPr>
      <w:bookmarkStart w:id="310" w:name="_Toc5699510"/>
      <w:r>
        <w:lastRenderedPageBreak/>
        <w:t>Bibliografia</w:t>
      </w:r>
      <w:bookmarkEnd w:id="306"/>
      <w:bookmarkEnd w:id="307"/>
      <w:bookmarkEnd w:id="310"/>
    </w:p>
    <w:p w14:paraId="6B601973" w14:textId="77777777" w:rsidR="00EE79EE" w:rsidRPr="00EE79EE" w:rsidRDefault="00EE79EE" w:rsidP="009F1BBA">
      <w:pPr>
        <w:spacing w:line="240" w:lineRule="auto"/>
        <w:ind w:left="69"/>
        <w:rPr>
          <w:rFonts w:cs="Times New Roman"/>
          <w:sz w:val="20"/>
          <w:lang w:val="en-GB" w:eastAsia="pl-PL"/>
        </w:rPr>
      </w:pPr>
      <w:bookmarkStart w:id="311" w:name="RANGE!A3"/>
      <w:r w:rsidRPr="00EE79EE">
        <w:rPr>
          <w:rFonts w:cs="Times New Roman"/>
          <w:sz w:val="20"/>
          <w:lang w:val="en-GB" w:eastAsia="pl-PL"/>
        </w:rPr>
        <w:t xml:space="preserve">Adair J., 2009, </w:t>
      </w:r>
      <w:r w:rsidRPr="00EE79EE">
        <w:rPr>
          <w:rFonts w:cs="Times New Roman"/>
          <w:i/>
          <w:sz w:val="20"/>
          <w:lang w:val="en-GB" w:eastAsia="pl-PL"/>
        </w:rPr>
        <w:t>Effective Leadership</w:t>
      </w:r>
      <w:r w:rsidRPr="00EE79EE">
        <w:rPr>
          <w:rFonts w:cs="Times New Roman"/>
          <w:sz w:val="20"/>
          <w:lang w:val="en-GB" w:eastAsia="pl-PL"/>
        </w:rPr>
        <w:t xml:space="preserve">, Pan Books, London. </w:t>
      </w:r>
    </w:p>
    <w:p w14:paraId="60BD37F4" w14:textId="77777777" w:rsidR="00EE79EE" w:rsidRPr="004E4C2E" w:rsidRDefault="00EE79EE" w:rsidP="009F1BBA">
      <w:pPr>
        <w:spacing w:line="240" w:lineRule="auto"/>
        <w:ind w:left="69"/>
        <w:rPr>
          <w:rFonts w:cs="Times New Roman"/>
          <w:sz w:val="20"/>
          <w:lang w:eastAsia="pl-PL"/>
        </w:rPr>
      </w:pPr>
      <w:r w:rsidRPr="2CD63631">
        <w:rPr>
          <w:rFonts w:cs="Times New Roman"/>
          <w:i/>
          <w:sz w:val="20"/>
          <w:lang w:eastAsia="pl-PL"/>
        </w:rPr>
        <w:t>Analiza zróżnicowania wewnątrzregionalnego 2017</w:t>
      </w:r>
      <w:r w:rsidRPr="2CD63631">
        <w:rPr>
          <w:rFonts w:cs="Times New Roman"/>
          <w:sz w:val="20"/>
          <w:lang w:eastAsia="pl-PL"/>
        </w:rPr>
        <w:t>, 2018, Urząd Marszałkowski Województwa Wielkopolskiego, Poznań</w:t>
      </w:r>
      <w:bookmarkEnd w:id="311"/>
      <w:r w:rsidRPr="2CD63631">
        <w:rPr>
          <w:rFonts w:cs="Times New Roman"/>
          <w:sz w:val="20"/>
          <w:lang w:eastAsia="pl-PL"/>
        </w:rPr>
        <w:t>.</w:t>
      </w:r>
    </w:p>
    <w:p w14:paraId="56186A20" w14:textId="77777777" w:rsidR="00EE79EE" w:rsidRDefault="00EE79EE" w:rsidP="009F1BBA">
      <w:pPr>
        <w:spacing w:line="240" w:lineRule="auto"/>
        <w:ind w:left="69"/>
        <w:rPr>
          <w:rFonts w:cs="Times New Roman"/>
          <w:sz w:val="20"/>
          <w:lang w:eastAsia="pl-PL"/>
        </w:rPr>
      </w:pPr>
      <w:r w:rsidRPr="004E4C2E">
        <w:rPr>
          <w:rFonts w:cs="Times New Roman"/>
          <w:sz w:val="20"/>
          <w:lang w:eastAsia="pl-PL"/>
        </w:rPr>
        <w:t xml:space="preserve">Bitner M., 2016, </w:t>
      </w:r>
      <w:r w:rsidRPr="00470A3E">
        <w:rPr>
          <w:rFonts w:cs="Times New Roman"/>
          <w:i/>
          <w:sz w:val="20"/>
          <w:lang w:eastAsia="pl-PL"/>
        </w:rPr>
        <w:t>Opracowanie metody klasyfikacji wydatków rozwojowych w oparciu o system klasyfikacji budżetowej</w:t>
      </w:r>
      <w:r w:rsidRPr="004E4C2E">
        <w:rPr>
          <w:rFonts w:cs="Times New Roman"/>
          <w:sz w:val="20"/>
          <w:lang w:eastAsia="pl-PL"/>
        </w:rPr>
        <w:t>, Ministerstwo Rozwoju, Warszawa</w:t>
      </w:r>
      <w:r>
        <w:rPr>
          <w:rFonts w:cs="Times New Roman"/>
          <w:sz w:val="20"/>
          <w:lang w:eastAsia="pl-PL"/>
        </w:rPr>
        <w:t>.</w:t>
      </w:r>
    </w:p>
    <w:p w14:paraId="01AC2957" w14:textId="77777777" w:rsidR="00EE79EE" w:rsidRPr="00B7629F" w:rsidRDefault="00EE79EE" w:rsidP="009F1BBA">
      <w:pPr>
        <w:spacing w:line="240" w:lineRule="auto"/>
        <w:ind w:left="69"/>
        <w:rPr>
          <w:rFonts w:cs="Times New Roman"/>
          <w:sz w:val="20"/>
          <w:lang w:eastAsia="pl-PL"/>
        </w:rPr>
      </w:pPr>
      <w:r>
        <w:rPr>
          <w:rFonts w:cs="Times New Roman"/>
          <w:sz w:val="20"/>
          <w:lang w:eastAsia="pl-PL"/>
        </w:rPr>
        <w:t xml:space="preserve">Borkowska I., 2018, </w:t>
      </w:r>
      <w:r w:rsidRPr="006228E7">
        <w:rPr>
          <w:rFonts w:cs="Times New Roman"/>
          <w:i/>
          <w:sz w:val="20"/>
          <w:lang w:eastAsia="pl-PL"/>
        </w:rPr>
        <w:t>Mocne i słabe strony Wielkopolski – analiza zawartości lokalnych dokumentów strategicznych</w:t>
      </w:r>
      <w:r>
        <w:rPr>
          <w:rFonts w:cs="Times New Roman"/>
          <w:sz w:val="20"/>
          <w:lang w:eastAsia="pl-PL"/>
        </w:rPr>
        <w:t xml:space="preserve">, </w:t>
      </w:r>
      <w:r w:rsidRPr="006228E7">
        <w:rPr>
          <w:rFonts w:cs="Times New Roman"/>
          <w:sz w:val="20"/>
          <w:lang w:eastAsia="pl-PL"/>
        </w:rPr>
        <w:t>Biuletyn Wielkopolskiego Regionalnego Ob</w:t>
      </w:r>
      <w:r>
        <w:rPr>
          <w:rFonts w:cs="Times New Roman"/>
          <w:sz w:val="20"/>
          <w:lang w:eastAsia="pl-PL"/>
        </w:rPr>
        <w:t>serwatorium Terytorialnego, nr 10, s. 24-27.</w:t>
      </w:r>
    </w:p>
    <w:p w14:paraId="44BAAEAB" w14:textId="12DCC126" w:rsidR="00EE79EE" w:rsidRPr="00882E0F" w:rsidRDefault="00EE79EE" w:rsidP="009F1BBA">
      <w:pPr>
        <w:spacing w:line="240" w:lineRule="auto"/>
        <w:ind w:left="69"/>
        <w:rPr>
          <w:bCs/>
          <w:sz w:val="20"/>
        </w:rPr>
      </w:pPr>
      <w:r>
        <w:rPr>
          <w:rFonts w:cs="Times New Roman"/>
          <w:sz w:val="20"/>
          <w:lang w:eastAsia="pl-PL"/>
        </w:rPr>
        <w:t>Chrisidu-Budnik A., Korczak J., 2013</w:t>
      </w:r>
      <w:r w:rsidR="008F4A96">
        <w:rPr>
          <w:rFonts w:cs="Times New Roman"/>
          <w:sz w:val="20"/>
          <w:lang w:eastAsia="pl-PL"/>
        </w:rPr>
        <w:t>,</w:t>
      </w:r>
      <w:r w:rsidRPr="004269F2">
        <w:rPr>
          <w:rFonts w:cs="Times New Roman"/>
          <w:sz w:val="20"/>
          <w:lang w:eastAsia="pl-PL"/>
        </w:rPr>
        <w:t xml:space="preserve"> </w:t>
      </w:r>
      <w:r w:rsidRPr="004269F2">
        <w:rPr>
          <w:rFonts w:cs="Times New Roman"/>
          <w:i/>
          <w:iCs/>
          <w:sz w:val="20"/>
          <w:lang w:eastAsia="pl-PL"/>
        </w:rPr>
        <w:t>Województwo jako kreator rozwoju regionalnego</w:t>
      </w:r>
      <w:r w:rsidRPr="004269F2">
        <w:rPr>
          <w:rFonts w:cs="Times New Roman"/>
          <w:sz w:val="20"/>
          <w:lang w:eastAsia="pl-PL"/>
        </w:rPr>
        <w:t>, Uniwersytet Wrocławski, Wrocław</w:t>
      </w:r>
      <w:r>
        <w:rPr>
          <w:rFonts w:cs="Times New Roman"/>
          <w:sz w:val="20"/>
          <w:lang w:eastAsia="pl-PL"/>
        </w:rPr>
        <w:t>.</w:t>
      </w:r>
    </w:p>
    <w:p w14:paraId="48CBBB93" w14:textId="77777777" w:rsidR="00EE79EE" w:rsidRPr="004269F2" w:rsidRDefault="00EE79EE" w:rsidP="009F1BBA">
      <w:pPr>
        <w:spacing w:line="240" w:lineRule="auto"/>
        <w:ind w:left="66"/>
        <w:rPr>
          <w:bCs/>
          <w:sz w:val="20"/>
        </w:rPr>
      </w:pPr>
      <w:r w:rsidRPr="00882E0F">
        <w:rPr>
          <w:bCs/>
          <w:sz w:val="20"/>
        </w:rPr>
        <w:t xml:space="preserve">Churski P., Herodowicz T., Konecka-Szydłowska B. Perdał R., 2018, </w:t>
      </w:r>
      <w:r w:rsidRPr="00882E0F">
        <w:rPr>
          <w:bCs/>
          <w:i/>
          <w:sz w:val="20"/>
        </w:rPr>
        <w:t>Identyfikacja możliwości wskaźnikowania zjawisk społeczno-gospodarczych na poziomie krajowym i regionalnym w państwach UE</w:t>
      </w:r>
      <w:r>
        <w:rPr>
          <w:bCs/>
          <w:sz w:val="20"/>
        </w:rPr>
        <w:t>,</w:t>
      </w:r>
      <w:r w:rsidRPr="00882E0F">
        <w:rPr>
          <w:bCs/>
          <w:sz w:val="20"/>
        </w:rPr>
        <w:t xml:space="preserve"> 03/2018 - Working Paper of FORSED Proj</w:t>
      </w:r>
      <w:r>
        <w:rPr>
          <w:bCs/>
          <w:sz w:val="20"/>
        </w:rPr>
        <w:t>ect. Zakład Analizy Regionalnej,</w:t>
      </w:r>
      <w:r w:rsidRPr="00882E0F">
        <w:rPr>
          <w:bCs/>
          <w:sz w:val="20"/>
        </w:rPr>
        <w:t xml:space="preserve"> Instytutu Geografii Społeczno - Ekonomicznej i Gospodarki Przestrzennej UAM, Poznań</w:t>
      </w:r>
      <w:r>
        <w:rPr>
          <w:bCs/>
          <w:sz w:val="20"/>
        </w:rPr>
        <w:t>.</w:t>
      </w:r>
    </w:p>
    <w:p w14:paraId="4AE7E4FF" w14:textId="41F5F18A" w:rsidR="00EE79EE" w:rsidRPr="008F4A96" w:rsidRDefault="00EE79EE" w:rsidP="009F1BBA">
      <w:pPr>
        <w:spacing w:line="240" w:lineRule="auto"/>
        <w:ind w:left="69"/>
        <w:rPr>
          <w:rFonts w:cs="Times New Roman"/>
          <w:sz w:val="20"/>
          <w:lang w:eastAsia="pl-PL"/>
        </w:rPr>
      </w:pPr>
      <w:r w:rsidRPr="008F4A96">
        <w:rPr>
          <w:rFonts w:cs="Times New Roman"/>
          <w:sz w:val="20"/>
          <w:lang w:eastAsia="pl-PL"/>
        </w:rPr>
        <w:t>Dahlke P., 2017</w:t>
      </w:r>
      <w:r w:rsidR="008F4A96">
        <w:rPr>
          <w:rFonts w:cs="Times New Roman"/>
          <w:sz w:val="20"/>
          <w:lang w:eastAsia="pl-PL"/>
        </w:rPr>
        <w:t>,</w:t>
      </w:r>
      <w:r w:rsidRPr="008F4A96">
        <w:rPr>
          <w:rFonts w:cs="Times New Roman"/>
          <w:sz w:val="20"/>
          <w:lang w:eastAsia="pl-PL"/>
        </w:rPr>
        <w:t xml:space="preserve"> </w:t>
      </w:r>
      <w:r w:rsidRPr="008F4A96">
        <w:rPr>
          <w:rFonts w:cs="Times New Roman"/>
          <w:i/>
          <w:sz w:val="20"/>
          <w:lang w:eastAsia="pl-PL"/>
        </w:rPr>
        <w:t>Samorząd terytorialny w procesie kształtowania rozwoju gospodarczego regionu na przykładzie województwa wielkopolskiego</w:t>
      </w:r>
      <w:r w:rsidRPr="008F4A96">
        <w:rPr>
          <w:rFonts w:cs="Times New Roman"/>
          <w:sz w:val="20"/>
          <w:lang w:eastAsia="pl-PL"/>
        </w:rPr>
        <w:t>, PWSZ w Pile, Piła.</w:t>
      </w:r>
    </w:p>
    <w:p w14:paraId="3D48E85F" w14:textId="77777777" w:rsidR="00EE79EE" w:rsidRPr="00032C43" w:rsidRDefault="00EE79EE" w:rsidP="009F1BBA">
      <w:pPr>
        <w:spacing w:line="240" w:lineRule="auto"/>
        <w:ind w:left="66"/>
        <w:rPr>
          <w:rFonts w:cs="Times New Roman"/>
          <w:sz w:val="20"/>
          <w:lang w:val="en-GB" w:eastAsia="pl-PL"/>
        </w:rPr>
      </w:pPr>
      <w:r w:rsidRPr="00032C43">
        <w:rPr>
          <w:rFonts w:cs="Times New Roman"/>
          <w:sz w:val="20"/>
          <w:lang w:val="en-GB" w:eastAsia="pl-PL"/>
        </w:rPr>
        <w:t xml:space="preserve">Dziemianowicz W., Laskowska A., Peszat K., 2017, </w:t>
      </w:r>
      <w:r w:rsidRPr="00032C43">
        <w:rPr>
          <w:rFonts w:cs="Times New Roman"/>
          <w:i/>
          <w:sz w:val="20"/>
          <w:lang w:val="en-GB" w:eastAsia="pl-PL"/>
        </w:rPr>
        <w:t>Local innovation systems in Poland – the beginning of the road</w:t>
      </w:r>
      <w:r>
        <w:rPr>
          <w:rFonts w:cs="Times New Roman"/>
          <w:sz w:val="20"/>
          <w:lang w:val="en-GB" w:eastAsia="pl-PL"/>
        </w:rPr>
        <w:t>,</w:t>
      </w:r>
      <w:r w:rsidRPr="00032C43">
        <w:rPr>
          <w:rFonts w:cs="Times New Roman"/>
          <w:sz w:val="20"/>
          <w:lang w:val="en-GB" w:eastAsia="pl-PL"/>
        </w:rPr>
        <w:t xml:space="preserve"> Miscellanea Geographica – Regional Studies on Development, 21(2)</w:t>
      </w:r>
      <w:r>
        <w:rPr>
          <w:rFonts w:cs="Times New Roman"/>
          <w:sz w:val="20"/>
          <w:lang w:val="en-GB" w:eastAsia="pl-PL"/>
        </w:rPr>
        <w:t>.</w:t>
      </w:r>
    </w:p>
    <w:p w14:paraId="31076745" w14:textId="6308D5FC" w:rsidR="00EE79EE" w:rsidRDefault="00EE79EE" w:rsidP="009F1BBA">
      <w:pPr>
        <w:spacing w:line="240" w:lineRule="auto"/>
        <w:ind w:left="69"/>
        <w:rPr>
          <w:rFonts w:cs="Times New Roman"/>
          <w:sz w:val="20"/>
          <w:lang w:eastAsia="pl-PL"/>
        </w:rPr>
      </w:pPr>
      <w:r w:rsidRPr="00024587">
        <w:rPr>
          <w:rFonts w:cs="Times New Roman"/>
          <w:sz w:val="20"/>
          <w:lang w:eastAsia="pl-PL"/>
        </w:rPr>
        <w:t>Dziemianowicz W., Szmigiel-Rawska K., Nowicka P., Dąbrowska A.</w:t>
      </w:r>
      <w:r>
        <w:rPr>
          <w:rFonts w:cs="Times New Roman"/>
          <w:sz w:val="20"/>
          <w:lang w:eastAsia="pl-PL"/>
        </w:rPr>
        <w:t>,</w:t>
      </w:r>
      <w:r w:rsidRPr="00024587">
        <w:rPr>
          <w:rFonts w:cs="Times New Roman"/>
          <w:sz w:val="20"/>
          <w:lang w:eastAsia="pl-PL"/>
        </w:rPr>
        <w:t xml:space="preserve"> 2012, </w:t>
      </w:r>
      <w:r w:rsidRPr="00024587">
        <w:rPr>
          <w:rFonts w:cs="Times New Roman"/>
          <w:i/>
          <w:iCs/>
          <w:sz w:val="20"/>
          <w:lang w:eastAsia="pl-PL"/>
        </w:rPr>
        <w:t>Planowanie strategiczne. Poradnik dla pracowników administracji publicznej</w:t>
      </w:r>
      <w:r w:rsidRPr="00024587">
        <w:rPr>
          <w:rFonts w:cs="Times New Roman"/>
          <w:sz w:val="20"/>
          <w:lang w:eastAsia="pl-PL"/>
        </w:rPr>
        <w:t>, Ministerstwo Rozwoju Regionalnego, Warszawa.</w:t>
      </w:r>
    </w:p>
    <w:p w14:paraId="6F03A5FD" w14:textId="791BB166" w:rsidR="003934B0" w:rsidRPr="003934B0" w:rsidRDefault="00335B05" w:rsidP="009F1BBA">
      <w:pPr>
        <w:spacing w:line="240" w:lineRule="auto"/>
        <w:ind w:left="66"/>
        <w:rPr>
          <w:rFonts w:cs="Times New Roman"/>
          <w:i/>
          <w:sz w:val="20"/>
          <w:lang w:eastAsia="pl-PL"/>
        </w:rPr>
      </w:pPr>
      <w:r w:rsidRPr="00335B05">
        <w:rPr>
          <w:rFonts w:cs="Times New Roman"/>
          <w:i/>
          <w:sz w:val="20"/>
          <w:lang w:eastAsia="pl-PL"/>
        </w:rPr>
        <w:t>Długookresowa strategia rozwoju kraju. Polska 2030. Trzecia fala nowoczesności</w:t>
      </w:r>
      <w:r w:rsidR="00990F3F">
        <w:rPr>
          <w:rFonts w:cs="Times New Roman"/>
          <w:i/>
          <w:sz w:val="20"/>
          <w:lang w:eastAsia="pl-PL"/>
        </w:rPr>
        <w:t>,</w:t>
      </w:r>
      <w:r w:rsidRPr="00335B05">
        <w:rPr>
          <w:rFonts w:cs="Times New Roman"/>
          <w:i/>
          <w:sz w:val="20"/>
          <w:lang w:eastAsia="pl-PL"/>
        </w:rPr>
        <w:t xml:space="preserve"> </w:t>
      </w:r>
      <w:r w:rsidRPr="00990F3F">
        <w:rPr>
          <w:rFonts w:cs="Times New Roman"/>
          <w:sz w:val="20"/>
          <w:lang w:eastAsia="pl-PL"/>
        </w:rPr>
        <w:t>2013</w:t>
      </w:r>
      <w:r w:rsidRPr="00335B05">
        <w:rPr>
          <w:rFonts w:cs="Times New Roman"/>
          <w:i/>
          <w:sz w:val="20"/>
          <w:lang w:eastAsia="pl-PL"/>
        </w:rPr>
        <w:t xml:space="preserve">, </w:t>
      </w:r>
      <w:r w:rsidRPr="003934B0">
        <w:rPr>
          <w:rFonts w:cs="Times New Roman"/>
          <w:sz w:val="20"/>
          <w:lang w:eastAsia="pl-PL"/>
        </w:rPr>
        <w:t>Ministerstwo Administracji i Cyfryzacji, Warszawa.</w:t>
      </w:r>
      <w:r w:rsidR="003934B0" w:rsidRPr="003934B0">
        <w:rPr>
          <w:rFonts w:cs="Times New Roman"/>
          <w:sz w:val="20"/>
          <w:lang w:eastAsia="pl-PL"/>
        </w:rPr>
        <w:t xml:space="preserve"> </w:t>
      </w:r>
      <w:r w:rsidR="003934B0">
        <w:rPr>
          <w:rFonts w:cs="Times New Roman"/>
          <w:sz w:val="20"/>
          <w:lang w:eastAsia="pl-PL"/>
        </w:rPr>
        <w:t xml:space="preserve">   </w:t>
      </w:r>
    </w:p>
    <w:p w14:paraId="36717EE1" w14:textId="77777777" w:rsidR="003934B0" w:rsidRPr="003934B0" w:rsidRDefault="003934B0" w:rsidP="003934B0">
      <w:pPr>
        <w:pStyle w:val="Akapitzlist"/>
        <w:numPr>
          <w:ilvl w:val="0"/>
          <w:numId w:val="0"/>
        </w:numPr>
        <w:spacing w:line="240" w:lineRule="auto"/>
        <w:ind w:left="426"/>
        <w:rPr>
          <w:rFonts w:cs="Times New Roman"/>
          <w:i/>
          <w:sz w:val="8"/>
          <w:szCs w:val="8"/>
          <w:lang w:eastAsia="pl-PL"/>
        </w:rPr>
      </w:pPr>
    </w:p>
    <w:p w14:paraId="48A605EE" w14:textId="4185FB41" w:rsidR="003934B0" w:rsidRDefault="003934B0" w:rsidP="009F1BBA">
      <w:pPr>
        <w:spacing w:after="0" w:line="240" w:lineRule="auto"/>
        <w:ind w:left="66"/>
        <w:rPr>
          <w:rFonts w:cs="Times New Roman"/>
          <w:i/>
          <w:sz w:val="20"/>
          <w:lang w:val="en-GB" w:eastAsia="pl-PL"/>
        </w:rPr>
      </w:pPr>
      <w:r w:rsidRPr="003934B0">
        <w:rPr>
          <w:rFonts w:cs="Times New Roman"/>
          <w:i/>
          <w:sz w:val="20"/>
          <w:lang w:val="en-GB" w:eastAsia="pl-PL"/>
        </w:rPr>
        <w:t xml:space="preserve">Economic Survey of Poland, </w:t>
      </w:r>
      <w:r w:rsidRPr="003934B0">
        <w:rPr>
          <w:rFonts w:cs="Times New Roman"/>
          <w:sz w:val="20"/>
          <w:lang w:val="en-GB" w:eastAsia="pl-PL"/>
        </w:rPr>
        <w:t>2018, OECD</w:t>
      </w:r>
      <w:r w:rsidRPr="003934B0">
        <w:rPr>
          <w:rFonts w:cs="Times New Roman"/>
          <w:i/>
          <w:sz w:val="20"/>
          <w:lang w:val="en-GB" w:eastAsia="pl-PL"/>
        </w:rPr>
        <w:t>.</w:t>
      </w:r>
    </w:p>
    <w:p w14:paraId="4C04C6C0" w14:textId="77777777" w:rsidR="003934B0" w:rsidRPr="003934B0" w:rsidRDefault="003934B0" w:rsidP="003934B0">
      <w:pPr>
        <w:pStyle w:val="Akapitzlist"/>
        <w:numPr>
          <w:ilvl w:val="0"/>
          <w:numId w:val="0"/>
        </w:numPr>
        <w:spacing w:after="0" w:line="240" w:lineRule="auto"/>
        <w:ind w:left="426"/>
        <w:rPr>
          <w:rFonts w:cs="Times New Roman"/>
          <w:i/>
          <w:sz w:val="8"/>
          <w:szCs w:val="8"/>
          <w:lang w:val="en-GB" w:eastAsia="pl-PL"/>
        </w:rPr>
      </w:pPr>
    </w:p>
    <w:p w14:paraId="041184FB" w14:textId="77777777" w:rsidR="00EE79EE" w:rsidRPr="007F571F" w:rsidRDefault="00EE79EE" w:rsidP="009F1BBA">
      <w:pPr>
        <w:spacing w:line="240" w:lineRule="auto"/>
        <w:ind w:left="66"/>
        <w:rPr>
          <w:rFonts w:cs="Times New Roman"/>
          <w:sz w:val="20"/>
          <w:lang w:val="en-GB" w:eastAsia="pl-PL"/>
        </w:rPr>
      </w:pPr>
      <w:r w:rsidRPr="00456534">
        <w:rPr>
          <w:rFonts w:cs="Times New Roman"/>
          <w:i/>
          <w:sz w:val="20"/>
          <w:lang w:eastAsia="pl-PL"/>
        </w:rPr>
        <w:t xml:space="preserve">Ewaluacja ex post realizacji Wielkopolskiego Regionalnego Programu Operacyjnego na lata 2007-2013. </w:t>
      </w:r>
      <w:r w:rsidRPr="007F571F">
        <w:rPr>
          <w:rFonts w:cs="Times New Roman"/>
          <w:i/>
          <w:sz w:val="20"/>
          <w:lang w:val="en-GB" w:eastAsia="pl-PL"/>
        </w:rPr>
        <w:t>Raport końcowy</w:t>
      </w:r>
      <w:r w:rsidRPr="007F571F">
        <w:rPr>
          <w:rFonts w:cs="Times New Roman"/>
          <w:sz w:val="20"/>
          <w:lang w:val="en-GB" w:eastAsia="pl-PL"/>
        </w:rPr>
        <w:t>, 2017, Samorząd Województwa Wielkopolskiego, Poznań.</w:t>
      </w:r>
    </w:p>
    <w:p w14:paraId="2F274C87" w14:textId="36396137" w:rsidR="00EE79EE" w:rsidRPr="008F4A96" w:rsidRDefault="00EE79EE" w:rsidP="009F1BBA">
      <w:pPr>
        <w:spacing w:line="240" w:lineRule="auto"/>
        <w:ind w:left="66"/>
        <w:rPr>
          <w:rFonts w:cs="Times New Roman"/>
          <w:sz w:val="20"/>
          <w:lang w:val="en-GB" w:eastAsia="pl-PL"/>
        </w:rPr>
      </w:pPr>
      <w:r w:rsidRPr="0032356D">
        <w:rPr>
          <w:sz w:val="20"/>
          <w:lang w:val="en-GB"/>
        </w:rPr>
        <w:t>Ferretti, M., &amp; Parmentola, A.</w:t>
      </w:r>
      <w:r w:rsidR="008F4A96">
        <w:rPr>
          <w:sz w:val="20"/>
          <w:lang w:val="en-GB"/>
        </w:rPr>
        <w:t>,</w:t>
      </w:r>
      <w:r w:rsidRPr="0032356D">
        <w:rPr>
          <w:sz w:val="20"/>
          <w:lang w:val="en-GB"/>
        </w:rPr>
        <w:t xml:space="preserve"> 2015</w:t>
      </w:r>
      <w:r w:rsidR="008F4A96">
        <w:rPr>
          <w:sz w:val="20"/>
          <w:lang w:val="en-GB"/>
        </w:rPr>
        <w:t>,</w:t>
      </w:r>
      <w:r w:rsidRPr="0032356D">
        <w:rPr>
          <w:sz w:val="20"/>
          <w:lang w:val="en-GB"/>
        </w:rPr>
        <w:t xml:space="preserve"> </w:t>
      </w:r>
      <w:r w:rsidRPr="008F4A96">
        <w:rPr>
          <w:i/>
          <w:sz w:val="20"/>
          <w:lang w:val="en-GB"/>
        </w:rPr>
        <w:t>The Creation of Local Innovation Systems in Emerging Countries</w:t>
      </w:r>
      <w:r w:rsidR="008F4A96">
        <w:rPr>
          <w:sz w:val="20"/>
          <w:lang w:val="en-GB"/>
        </w:rPr>
        <w:t>,</w:t>
      </w:r>
      <w:r w:rsidRPr="0032356D">
        <w:rPr>
          <w:sz w:val="20"/>
          <w:lang w:val="en-GB"/>
        </w:rPr>
        <w:t xml:space="preserve"> SpringerBriefs in Regional Science</w:t>
      </w:r>
      <w:r w:rsidR="56862DA9" w:rsidRPr="56862DA9">
        <w:rPr>
          <w:sz w:val="20"/>
          <w:lang w:val="en-GB"/>
        </w:rPr>
        <w:t>.</w:t>
      </w:r>
    </w:p>
    <w:p w14:paraId="11AFAB7E" w14:textId="77777777" w:rsidR="00EE79EE" w:rsidRDefault="00EE79EE" w:rsidP="009F1BBA">
      <w:pPr>
        <w:spacing w:line="240" w:lineRule="auto"/>
        <w:ind w:left="66"/>
        <w:rPr>
          <w:rFonts w:cs="Times New Roman"/>
          <w:sz w:val="20"/>
          <w:lang w:eastAsia="pl-PL"/>
        </w:rPr>
      </w:pPr>
      <w:r w:rsidRPr="00A15449">
        <w:rPr>
          <w:rFonts w:cs="Times New Roman"/>
          <w:sz w:val="20"/>
          <w:lang w:eastAsia="pl-PL"/>
        </w:rPr>
        <w:t xml:space="preserve">Fulara J., 2016, </w:t>
      </w:r>
      <w:r w:rsidRPr="00A15449">
        <w:rPr>
          <w:rFonts w:cs="Times New Roman"/>
          <w:i/>
          <w:sz w:val="20"/>
          <w:lang w:eastAsia="pl-PL"/>
        </w:rPr>
        <w:t>Rola instytucji finansowych w unijnej perspektywie finansowej 2014-2020</w:t>
      </w:r>
      <w:r w:rsidRPr="00A15449">
        <w:rPr>
          <w:rFonts w:cs="Times New Roman"/>
          <w:sz w:val="20"/>
          <w:lang w:eastAsia="pl-PL"/>
        </w:rPr>
        <w:t>, Bank Pekao SA, Warszawa</w:t>
      </w:r>
      <w:r>
        <w:rPr>
          <w:rFonts w:cs="Times New Roman"/>
          <w:sz w:val="20"/>
          <w:lang w:eastAsia="pl-PL"/>
        </w:rPr>
        <w:t>.</w:t>
      </w:r>
    </w:p>
    <w:p w14:paraId="1B52A916" w14:textId="77777777" w:rsidR="00EE79EE" w:rsidRDefault="00EE79EE" w:rsidP="009F1BBA">
      <w:pPr>
        <w:spacing w:line="240" w:lineRule="auto"/>
        <w:ind w:left="66"/>
        <w:rPr>
          <w:rFonts w:cs="Times New Roman"/>
          <w:sz w:val="20"/>
          <w:lang w:eastAsia="pl-PL"/>
        </w:rPr>
      </w:pPr>
      <w:r>
        <w:rPr>
          <w:rFonts w:cs="Times New Roman"/>
          <w:sz w:val="20"/>
          <w:lang w:eastAsia="pl-PL"/>
        </w:rPr>
        <w:t xml:space="preserve">Herbst J., Swianiewicz P., 2008, </w:t>
      </w:r>
      <w:r w:rsidRPr="00B32641">
        <w:rPr>
          <w:rFonts w:cs="Times New Roman"/>
          <w:i/>
          <w:sz w:val="20"/>
          <w:lang w:eastAsia="pl-PL"/>
        </w:rPr>
        <w:t>Kapitał społeczny Dolnego Śląska i Małopolski na tle ogólnopolskiego zróżnicowania regionalnego</w:t>
      </w:r>
      <w:r w:rsidRPr="00B32641">
        <w:rPr>
          <w:rFonts w:cs="Times New Roman"/>
          <w:sz w:val="20"/>
          <w:lang w:eastAsia="pl-PL"/>
        </w:rPr>
        <w:t>, (w:) P. Swianiewicz et al. (red.) Szafarze darów europejskich. Kapitał społeczny a realizacja polityki regionalnej w polskich województwach, Warszawa: Wydawnictwo Naukowe Scholar, s. 54-124.</w:t>
      </w:r>
    </w:p>
    <w:p w14:paraId="57ADF7D7" w14:textId="1D7C28B7" w:rsidR="00B675C3" w:rsidRPr="00B675C3" w:rsidRDefault="00B675C3" w:rsidP="009F1BBA">
      <w:pPr>
        <w:spacing w:line="240" w:lineRule="auto"/>
        <w:ind w:left="66"/>
        <w:rPr>
          <w:rFonts w:cs="Times New Roman"/>
          <w:i/>
          <w:iCs/>
          <w:sz w:val="20"/>
          <w:lang w:val="en-GB" w:eastAsia="pl-PL"/>
        </w:rPr>
      </w:pPr>
      <w:r w:rsidRPr="00B675C3">
        <w:rPr>
          <w:rFonts w:cs="Times New Roman"/>
          <w:i/>
          <w:iCs/>
          <w:sz w:val="20"/>
          <w:lang w:val="en-GB" w:eastAsia="pl-PL"/>
        </w:rPr>
        <w:t>Key challenges and opportunities for Cities and Regions and MFF post 2020</w:t>
      </w:r>
      <w:r w:rsidR="00B677B5">
        <w:rPr>
          <w:rFonts w:cs="Times New Roman"/>
          <w:sz w:val="20"/>
          <w:lang w:val="en-GB" w:eastAsia="pl-PL"/>
        </w:rPr>
        <w:t xml:space="preserve">, </w:t>
      </w:r>
      <w:r w:rsidRPr="00B675C3">
        <w:rPr>
          <w:rFonts w:cs="Times New Roman"/>
          <w:sz w:val="20"/>
          <w:lang w:val="en-GB" w:eastAsia="pl-PL"/>
        </w:rPr>
        <w:t>2017, Europejski Komitet Regionów, Bruksela</w:t>
      </w:r>
      <w:r>
        <w:rPr>
          <w:rFonts w:cs="Times New Roman"/>
          <w:sz w:val="20"/>
          <w:lang w:val="en-GB" w:eastAsia="pl-PL"/>
        </w:rPr>
        <w:t xml:space="preserve">. </w:t>
      </w:r>
    </w:p>
    <w:p w14:paraId="4D2D8031" w14:textId="2C8CE023" w:rsidR="00EE79EE" w:rsidRPr="00142347" w:rsidRDefault="00EE79EE" w:rsidP="009F1BBA">
      <w:pPr>
        <w:spacing w:before="240" w:line="240" w:lineRule="auto"/>
        <w:ind w:left="66"/>
        <w:rPr>
          <w:rFonts w:cs="Times New Roman"/>
          <w:sz w:val="20"/>
          <w:lang w:eastAsia="pl-PL"/>
        </w:rPr>
      </w:pPr>
      <w:r>
        <w:rPr>
          <w:rFonts w:cs="Times New Roman"/>
          <w:sz w:val="20"/>
          <w:lang w:eastAsia="pl-PL"/>
        </w:rPr>
        <w:t>Komornicki T., Rosik P., Stępniak M.</w:t>
      </w:r>
      <w:r w:rsidRPr="00142347">
        <w:rPr>
          <w:rFonts w:cs="Times New Roman"/>
          <w:sz w:val="20"/>
          <w:lang w:eastAsia="pl-PL"/>
        </w:rPr>
        <w:t>, Goliszek S.,</w:t>
      </w:r>
      <w:r>
        <w:rPr>
          <w:rFonts w:cs="Times New Roman"/>
          <w:sz w:val="20"/>
          <w:lang w:eastAsia="pl-PL"/>
        </w:rPr>
        <w:t xml:space="preserve"> Kowalczyk K., 2017, </w:t>
      </w:r>
      <w:r w:rsidRPr="00142347">
        <w:rPr>
          <w:rFonts w:cs="Times New Roman"/>
          <w:i/>
          <w:sz w:val="20"/>
          <w:lang w:eastAsia="pl-PL"/>
        </w:rPr>
        <w:t>Oszacowanie oczekiwanych rezultatów interwencji za pomocą miar dostępności transportowej dostosowanych do potrzeb dokumentów strategicznych i operacyjnych dot. perspektywy finansowej 2014-2020 (aktualizacja)</w:t>
      </w:r>
      <w:r>
        <w:rPr>
          <w:rFonts w:cs="Times New Roman"/>
          <w:i/>
          <w:sz w:val="20"/>
          <w:lang w:eastAsia="pl-PL"/>
        </w:rPr>
        <w:t xml:space="preserve">, </w:t>
      </w:r>
      <w:r w:rsidRPr="00142347">
        <w:rPr>
          <w:rFonts w:cs="Times New Roman"/>
          <w:sz w:val="20"/>
          <w:lang w:eastAsia="pl-PL"/>
        </w:rPr>
        <w:t>Instytut Geografii i Przestrzennego Zagospodarowania PAN,</w:t>
      </w:r>
      <w:r>
        <w:rPr>
          <w:rFonts w:cs="Times New Roman"/>
          <w:i/>
          <w:sz w:val="20"/>
          <w:lang w:eastAsia="pl-PL"/>
        </w:rPr>
        <w:t xml:space="preserve"> </w:t>
      </w:r>
      <w:r>
        <w:rPr>
          <w:rFonts w:cs="Times New Roman"/>
          <w:sz w:val="20"/>
          <w:lang w:eastAsia="pl-PL"/>
        </w:rPr>
        <w:t>Warszawa</w:t>
      </w:r>
      <w:r w:rsidR="56862DA9" w:rsidRPr="56862DA9">
        <w:rPr>
          <w:rFonts w:cs="Times New Roman"/>
          <w:sz w:val="20"/>
          <w:lang w:eastAsia="pl-PL"/>
        </w:rPr>
        <w:t>.</w:t>
      </w:r>
    </w:p>
    <w:p w14:paraId="659BB16A" w14:textId="77777777" w:rsidR="00EE79EE" w:rsidRDefault="00EE79EE" w:rsidP="009F1BBA">
      <w:pPr>
        <w:spacing w:line="240" w:lineRule="auto"/>
        <w:ind w:left="69"/>
        <w:rPr>
          <w:rFonts w:cs="Times New Roman"/>
          <w:sz w:val="20"/>
          <w:lang w:eastAsia="pl-PL"/>
        </w:rPr>
      </w:pPr>
      <w:r w:rsidRPr="004269F2">
        <w:rPr>
          <w:rFonts w:cs="Times New Roman"/>
          <w:i/>
          <w:iCs/>
          <w:sz w:val="20"/>
          <w:lang w:eastAsia="pl-PL"/>
        </w:rPr>
        <w:t>Koncepcja Przestrzenn</w:t>
      </w:r>
      <w:r>
        <w:rPr>
          <w:rFonts w:cs="Times New Roman"/>
          <w:i/>
          <w:iCs/>
          <w:sz w:val="20"/>
          <w:lang w:eastAsia="pl-PL"/>
        </w:rPr>
        <w:t xml:space="preserve">ego Zagospodarowania Kraju 2030, </w:t>
      </w:r>
      <w:r>
        <w:rPr>
          <w:rFonts w:cs="Times New Roman"/>
          <w:sz w:val="20"/>
          <w:lang w:eastAsia="pl-PL"/>
        </w:rPr>
        <w:t>2012</w:t>
      </w:r>
      <w:r w:rsidRPr="004269F2">
        <w:rPr>
          <w:rFonts w:cs="Times New Roman"/>
          <w:sz w:val="20"/>
          <w:lang w:eastAsia="pl-PL"/>
        </w:rPr>
        <w:t>, Ministerstwo Rozwoju Regionalnego, Warszawa</w:t>
      </w:r>
      <w:r>
        <w:rPr>
          <w:rFonts w:cs="Times New Roman"/>
          <w:sz w:val="20"/>
          <w:lang w:eastAsia="pl-PL"/>
        </w:rPr>
        <w:t>.</w:t>
      </w:r>
    </w:p>
    <w:p w14:paraId="20F212A4" w14:textId="77777777" w:rsidR="00EE79EE" w:rsidRPr="004269F2" w:rsidRDefault="00EE79EE" w:rsidP="009F1BBA">
      <w:pPr>
        <w:spacing w:line="240" w:lineRule="auto"/>
        <w:ind w:left="66"/>
        <w:rPr>
          <w:rFonts w:cs="Times New Roman"/>
          <w:sz w:val="20"/>
          <w:lang w:eastAsia="pl-PL"/>
        </w:rPr>
      </w:pPr>
      <w:r>
        <w:rPr>
          <w:rFonts w:cs="Times New Roman"/>
          <w:sz w:val="20"/>
          <w:lang w:eastAsia="pl-PL"/>
        </w:rPr>
        <w:t>Kopańska A., Kula G., Siwińska-Gorzelak J., Bukowska G., Młochowska M., 2018</w:t>
      </w:r>
      <w:r w:rsidRPr="00F52A02">
        <w:rPr>
          <w:rFonts w:cs="Times New Roman"/>
          <w:i/>
          <w:sz w:val="20"/>
          <w:lang w:eastAsia="pl-PL"/>
        </w:rPr>
        <w:t>, Autonomia fiskalna i jej wpływ na działania samorządów</w:t>
      </w:r>
      <w:r>
        <w:rPr>
          <w:rFonts w:cs="Times New Roman"/>
          <w:sz w:val="20"/>
          <w:lang w:eastAsia="pl-PL"/>
        </w:rPr>
        <w:t>, Wydawnictwo Naukowe Scholar, Warszawa.</w:t>
      </w:r>
    </w:p>
    <w:p w14:paraId="01C1DCF9" w14:textId="77777777" w:rsidR="00EE79EE" w:rsidRPr="008F4A96" w:rsidRDefault="00EE79EE" w:rsidP="009F1BBA">
      <w:pPr>
        <w:spacing w:line="240" w:lineRule="auto"/>
        <w:ind w:left="66"/>
        <w:rPr>
          <w:rFonts w:cs="Times New Roman"/>
          <w:sz w:val="20"/>
          <w:lang w:eastAsia="pl-PL"/>
        </w:rPr>
      </w:pPr>
      <w:r w:rsidRPr="008F4A96">
        <w:rPr>
          <w:rFonts w:cs="Times New Roman"/>
          <w:i/>
          <w:sz w:val="20"/>
          <w:lang w:eastAsia="pl-PL"/>
        </w:rPr>
        <w:t>Krajowa Strategia Rozwoju Regionalnego 2030 – projekt</w:t>
      </w:r>
      <w:r w:rsidRPr="008F4A96">
        <w:rPr>
          <w:rFonts w:cs="Times New Roman"/>
          <w:sz w:val="20"/>
          <w:lang w:eastAsia="pl-PL"/>
        </w:rPr>
        <w:t>, 2018, Ministerstwo Inwestycji i Rozwoju, Warszawa.</w:t>
      </w:r>
    </w:p>
    <w:p w14:paraId="0546E333" w14:textId="201D65FA" w:rsidR="00EE79EE" w:rsidRDefault="00EE79EE" w:rsidP="009F1BBA">
      <w:pPr>
        <w:spacing w:line="240" w:lineRule="auto"/>
        <w:ind w:left="66"/>
        <w:rPr>
          <w:rFonts w:cs="Times New Roman"/>
          <w:sz w:val="20"/>
          <w:lang w:eastAsia="pl-PL"/>
        </w:rPr>
      </w:pPr>
      <w:r w:rsidRPr="008F4A96">
        <w:rPr>
          <w:rFonts w:cs="Times New Roman"/>
          <w:sz w:val="20"/>
          <w:lang w:eastAsia="pl-PL"/>
        </w:rPr>
        <w:lastRenderedPageBreak/>
        <w:t xml:space="preserve">Moździerz A., 2016, </w:t>
      </w:r>
      <w:r w:rsidRPr="008F4A96">
        <w:rPr>
          <w:rFonts w:cs="Times New Roman"/>
          <w:i/>
          <w:sz w:val="20"/>
          <w:lang w:eastAsia="pl-PL"/>
        </w:rPr>
        <w:t>Koncepcje wydatków rozwojowych w Polsce</w:t>
      </w:r>
      <w:r w:rsidRPr="008F4A96">
        <w:rPr>
          <w:rFonts w:cs="Times New Roman"/>
          <w:sz w:val="20"/>
          <w:lang w:eastAsia="pl-PL"/>
        </w:rPr>
        <w:t xml:space="preserve">, Problemy Zarządzania, </w:t>
      </w:r>
      <w:r w:rsidR="008F4A96">
        <w:rPr>
          <w:rFonts w:cs="Times New Roman"/>
          <w:sz w:val="20"/>
          <w:lang w:eastAsia="pl-PL"/>
        </w:rPr>
        <w:t>n</w:t>
      </w:r>
      <w:r w:rsidRPr="008F4A96">
        <w:rPr>
          <w:rFonts w:cs="Times New Roman"/>
          <w:sz w:val="20"/>
          <w:lang w:eastAsia="pl-PL"/>
        </w:rPr>
        <w:t>r 2 (67) ), s. 35 – 50, Warszawa.</w:t>
      </w:r>
    </w:p>
    <w:p w14:paraId="22DDEA49" w14:textId="7FE6842D" w:rsidR="00CA1228" w:rsidRPr="00CA1228" w:rsidRDefault="00CA1228" w:rsidP="009F1BBA">
      <w:pPr>
        <w:spacing w:line="240" w:lineRule="auto"/>
        <w:ind w:left="66"/>
        <w:jc w:val="left"/>
        <w:rPr>
          <w:rFonts w:cs="Times New Roman"/>
          <w:sz w:val="20"/>
          <w:lang w:eastAsia="pl-PL"/>
        </w:rPr>
      </w:pPr>
      <w:r w:rsidRPr="00CA1228">
        <w:rPr>
          <w:rFonts w:cs="Times New Roman"/>
          <w:sz w:val="20"/>
          <w:lang w:eastAsia="pl-PL"/>
        </w:rPr>
        <w:t>Nowakowska A.</w:t>
      </w:r>
      <w:r>
        <w:rPr>
          <w:rFonts w:cs="Times New Roman"/>
          <w:sz w:val="20"/>
          <w:lang w:eastAsia="pl-PL"/>
        </w:rPr>
        <w:t xml:space="preserve">, </w:t>
      </w:r>
      <w:r w:rsidRPr="00CA1228">
        <w:rPr>
          <w:rFonts w:cs="Times New Roman"/>
          <w:sz w:val="20"/>
          <w:lang w:eastAsia="pl-PL"/>
        </w:rPr>
        <w:t xml:space="preserve">2015, </w:t>
      </w:r>
      <w:r w:rsidRPr="00CA1228">
        <w:rPr>
          <w:rFonts w:cs="Times New Roman"/>
          <w:i/>
          <w:iCs/>
          <w:sz w:val="20"/>
          <w:lang w:eastAsia="pl-PL"/>
        </w:rPr>
        <w:t>Zintegrowane plany rozwoju – w stronę terytorialno-funkcjonalnego podejścia do rozwoju jednostki terytorialnej</w:t>
      </w:r>
      <w:r w:rsidRPr="00CA1228">
        <w:rPr>
          <w:rFonts w:cs="Times New Roman"/>
          <w:sz w:val="20"/>
          <w:lang w:eastAsia="pl-PL"/>
        </w:rPr>
        <w:t xml:space="preserve"> w: </w:t>
      </w:r>
      <w:r w:rsidRPr="00CA1228">
        <w:rPr>
          <w:rFonts w:cs="Times New Roman"/>
          <w:i/>
          <w:sz w:val="20"/>
          <w:lang w:eastAsia="pl-PL"/>
        </w:rPr>
        <w:t>Nowoczesne metody i narzędzia zarządzania rozwojem lokalnym i regionalnym</w:t>
      </w:r>
      <w:r w:rsidRPr="00CA1228">
        <w:rPr>
          <w:rFonts w:cs="Times New Roman"/>
          <w:sz w:val="20"/>
          <w:lang w:eastAsia="pl-PL"/>
        </w:rPr>
        <w:t>, Wydawnictwo Uniwersytetu Łódzkiego, str. 11-37, Łódź</w:t>
      </w:r>
      <w:r>
        <w:rPr>
          <w:rFonts w:cs="Times New Roman"/>
          <w:sz w:val="20"/>
          <w:lang w:eastAsia="pl-PL"/>
        </w:rPr>
        <w:t>.</w:t>
      </w:r>
    </w:p>
    <w:p w14:paraId="0B86CB7D" w14:textId="52534ED3" w:rsidR="00EE79EE" w:rsidRPr="009539AE" w:rsidRDefault="00EE79EE" w:rsidP="009F1BBA">
      <w:pPr>
        <w:spacing w:before="240" w:line="240" w:lineRule="auto"/>
        <w:ind w:left="66"/>
        <w:rPr>
          <w:rFonts w:cs="Times New Roman"/>
          <w:sz w:val="20"/>
          <w:lang w:eastAsia="pl-PL"/>
        </w:rPr>
      </w:pPr>
      <w:r w:rsidRPr="009539AE">
        <w:rPr>
          <w:sz w:val="20"/>
        </w:rPr>
        <w:t xml:space="preserve">Obłój K., 2001, </w:t>
      </w:r>
      <w:r w:rsidRPr="009539AE">
        <w:rPr>
          <w:rStyle w:val="Uwydatnienie"/>
          <w:sz w:val="20"/>
        </w:rPr>
        <w:t>Strategia organizacji</w:t>
      </w:r>
      <w:r w:rsidRPr="009539AE">
        <w:rPr>
          <w:sz w:val="20"/>
        </w:rPr>
        <w:t>. W poszukiwaniu trwałej przewagi konkurencyjnej, Warszawa: Polskie Wydawnictwo Ekonomiczne, Warszawa.</w:t>
      </w:r>
    </w:p>
    <w:p w14:paraId="4D39281B" w14:textId="77777777" w:rsidR="00EE79EE" w:rsidRPr="009539AE" w:rsidRDefault="00EE79EE" w:rsidP="009F1BBA">
      <w:pPr>
        <w:spacing w:line="240" w:lineRule="auto"/>
        <w:ind w:left="66"/>
        <w:rPr>
          <w:rFonts w:cs="Times New Roman"/>
          <w:sz w:val="20"/>
          <w:lang w:eastAsia="pl-PL"/>
        </w:rPr>
      </w:pPr>
      <w:r w:rsidRPr="00EE79EE">
        <w:rPr>
          <w:i/>
          <w:sz w:val="20"/>
          <w:lang w:eastAsia="pl-PL"/>
        </w:rPr>
        <w:t>Regionalna Strategia Innowacji dla Wielkopolski na lata 2015-2020</w:t>
      </w:r>
      <w:r w:rsidRPr="0032356D">
        <w:rPr>
          <w:sz w:val="20"/>
          <w:lang w:eastAsia="pl-PL"/>
        </w:rPr>
        <w:t>.</w:t>
      </w:r>
    </w:p>
    <w:p w14:paraId="24C47D1D" w14:textId="77777777" w:rsidR="00EE79EE" w:rsidRDefault="00EE79EE" w:rsidP="009F1BBA">
      <w:pPr>
        <w:spacing w:line="240" w:lineRule="auto"/>
        <w:ind w:left="66"/>
        <w:rPr>
          <w:rFonts w:cs="Times New Roman"/>
          <w:sz w:val="20"/>
          <w:lang w:eastAsia="pl-PL"/>
        </w:rPr>
      </w:pPr>
      <w:r w:rsidRPr="00032C43">
        <w:rPr>
          <w:rFonts w:cs="Times New Roman"/>
          <w:i/>
          <w:sz w:val="20"/>
          <w:lang w:eastAsia="pl-PL"/>
        </w:rPr>
        <w:t>Rozporządzenie Parlamentu Europejskiego i Rady ustanawiające wspólne przepisy dotyczące Europejskiego Funduszu Rozwoju i Europejskiego Funduszu Morskiego i Rybackiego, a także przepisy finansowe na potrzeby tych funduszy oraz na potrzeby Funduszu Azylu i Migracji, Funduszu Bezpieczeństwa Wewnętrznego i Instrumentu na Rzecz Zarządzania Granicami i Wiz</w:t>
      </w:r>
      <w:r>
        <w:rPr>
          <w:rFonts w:cs="Times New Roman"/>
          <w:sz w:val="20"/>
          <w:lang w:eastAsia="pl-PL"/>
        </w:rPr>
        <w:t>, 2018, Komisja Europejska, Strasbourg.</w:t>
      </w:r>
    </w:p>
    <w:p w14:paraId="2100844C" w14:textId="77777777" w:rsidR="00EE79EE" w:rsidRPr="004269F2" w:rsidRDefault="00EE79EE" w:rsidP="009F1BBA">
      <w:pPr>
        <w:ind w:left="66"/>
        <w:rPr>
          <w:sz w:val="20"/>
        </w:rPr>
      </w:pPr>
      <w:r w:rsidRPr="004269F2">
        <w:rPr>
          <w:rFonts w:cs="Times New Roman"/>
          <w:i/>
          <w:iCs/>
          <w:sz w:val="20"/>
          <w:lang w:eastAsia="pl-PL"/>
        </w:rPr>
        <w:t>Sprawozdanie z realizacji Strategii Rozwoju Województwa Wielkopolskiego do 2020 roku w latach 2015 – 2016</w:t>
      </w:r>
      <w:r>
        <w:rPr>
          <w:rFonts w:cs="Times New Roman"/>
          <w:i/>
          <w:iCs/>
          <w:sz w:val="20"/>
          <w:lang w:eastAsia="pl-PL"/>
        </w:rPr>
        <w:t>,</w:t>
      </w:r>
      <w:r>
        <w:rPr>
          <w:rFonts w:cs="Times New Roman"/>
          <w:sz w:val="20"/>
          <w:lang w:eastAsia="pl-PL"/>
        </w:rPr>
        <w:t xml:space="preserve"> 2017</w:t>
      </w:r>
      <w:r w:rsidRPr="004269F2">
        <w:rPr>
          <w:rFonts w:cs="Times New Roman"/>
          <w:sz w:val="20"/>
          <w:lang w:eastAsia="pl-PL"/>
        </w:rPr>
        <w:t>, Urząd Marszałkowski Województwa Wielkopolskiego, Poznań</w:t>
      </w:r>
      <w:r>
        <w:rPr>
          <w:rFonts w:cs="Times New Roman"/>
          <w:sz w:val="20"/>
          <w:lang w:eastAsia="pl-PL"/>
        </w:rPr>
        <w:t>.</w:t>
      </w:r>
    </w:p>
    <w:p w14:paraId="2BE02B61" w14:textId="77777777" w:rsidR="00EE79EE" w:rsidRPr="008F4A96" w:rsidRDefault="00EE79EE" w:rsidP="009F1BBA">
      <w:pPr>
        <w:spacing w:line="240" w:lineRule="auto"/>
        <w:ind w:left="66"/>
        <w:rPr>
          <w:rFonts w:cs="Times New Roman"/>
          <w:sz w:val="20"/>
          <w:lang w:eastAsia="pl-PL"/>
        </w:rPr>
      </w:pPr>
      <w:r w:rsidRPr="008F4A96">
        <w:rPr>
          <w:rFonts w:cs="Times New Roman"/>
          <w:i/>
          <w:sz w:val="20"/>
          <w:lang w:eastAsia="pl-PL"/>
        </w:rPr>
        <w:t>Strategia na rzecz Odpowiedzialnego Rozwoju do roku 2020 (z perspektywą do 2030 r.)</w:t>
      </w:r>
      <w:r w:rsidRPr="008F4A96">
        <w:rPr>
          <w:rFonts w:cs="Times New Roman"/>
          <w:sz w:val="20"/>
          <w:lang w:eastAsia="pl-PL"/>
        </w:rPr>
        <w:t>, 2017, Ministerstwo Rozwoju, Warszawa.</w:t>
      </w:r>
    </w:p>
    <w:p w14:paraId="51ED04EC" w14:textId="77777777" w:rsidR="00EE79EE" w:rsidRDefault="00EE79EE" w:rsidP="009F1BBA">
      <w:pPr>
        <w:spacing w:line="240" w:lineRule="auto"/>
        <w:ind w:left="69"/>
        <w:rPr>
          <w:rFonts w:cs="Times New Roman"/>
          <w:sz w:val="20"/>
          <w:lang w:eastAsia="pl-PL"/>
        </w:rPr>
      </w:pPr>
      <w:r w:rsidRPr="00EE79EE">
        <w:rPr>
          <w:rFonts w:cs="Times New Roman"/>
          <w:i/>
          <w:sz w:val="20"/>
          <w:lang w:eastAsia="pl-PL"/>
        </w:rPr>
        <w:t>Strategia Rozwoju Polski Zachodniej</w:t>
      </w:r>
      <w:r w:rsidRPr="00032C43">
        <w:rPr>
          <w:rFonts w:cs="Times New Roman"/>
          <w:sz w:val="20"/>
          <w:lang w:eastAsia="pl-PL"/>
        </w:rPr>
        <w:t>, 2014, przyjęta przez Radę Ministrów w 30.04.2014 r., Warszawa.</w:t>
      </w:r>
    </w:p>
    <w:p w14:paraId="5886348D" w14:textId="0773389B" w:rsidR="00704230" w:rsidRDefault="00704230" w:rsidP="009F1BBA">
      <w:pPr>
        <w:spacing w:line="240" w:lineRule="auto"/>
        <w:ind w:left="69"/>
        <w:rPr>
          <w:rFonts w:cs="Times New Roman"/>
          <w:sz w:val="20"/>
          <w:lang w:eastAsia="pl-PL"/>
        </w:rPr>
      </w:pPr>
      <w:r w:rsidRPr="00704230">
        <w:rPr>
          <w:rFonts w:cs="Times New Roman"/>
          <w:i/>
          <w:sz w:val="20"/>
          <w:lang w:eastAsia="pl-PL"/>
        </w:rPr>
        <w:t>St</w:t>
      </w:r>
      <w:r w:rsidR="00371F7D">
        <w:rPr>
          <w:rFonts w:cs="Times New Roman"/>
          <w:i/>
          <w:sz w:val="20"/>
          <w:lang w:eastAsia="pl-PL"/>
        </w:rPr>
        <w:t>ra</w:t>
      </w:r>
      <w:r w:rsidRPr="00704230">
        <w:rPr>
          <w:rFonts w:cs="Times New Roman"/>
          <w:i/>
          <w:sz w:val="20"/>
          <w:lang w:eastAsia="pl-PL"/>
        </w:rPr>
        <w:t>tegia rozwoju województwa wielkopolskiego do 2020 roku. Wielkopolska 2020</w:t>
      </w:r>
      <w:r>
        <w:rPr>
          <w:rFonts w:cs="Times New Roman"/>
          <w:sz w:val="20"/>
          <w:lang w:eastAsia="pl-PL"/>
        </w:rPr>
        <w:t>, dokument uchwalony przez Sejmik Województwa Wielkopolskiego w dn. 17.12.2012 r., Poznań.</w:t>
      </w:r>
    </w:p>
    <w:p w14:paraId="0CE2C607" w14:textId="77777777" w:rsidR="00EE79EE" w:rsidRDefault="00EE79EE" w:rsidP="009F1BBA">
      <w:pPr>
        <w:spacing w:line="240" w:lineRule="auto"/>
        <w:ind w:left="69"/>
        <w:rPr>
          <w:rFonts w:cs="Times New Roman"/>
          <w:sz w:val="20"/>
          <w:lang w:eastAsia="pl-PL"/>
        </w:rPr>
      </w:pPr>
      <w:r w:rsidRPr="004269F2">
        <w:rPr>
          <w:rFonts w:cs="Times New Roman"/>
          <w:i/>
          <w:iCs/>
          <w:sz w:val="20"/>
          <w:lang w:eastAsia="pl-PL"/>
        </w:rPr>
        <w:t>Syst</w:t>
      </w:r>
      <w:r>
        <w:rPr>
          <w:rFonts w:cs="Times New Roman"/>
          <w:i/>
          <w:iCs/>
          <w:sz w:val="20"/>
          <w:lang w:eastAsia="pl-PL"/>
        </w:rPr>
        <w:t xml:space="preserve">em Zarządzania Rozwojem Polski, </w:t>
      </w:r>
      <w:r>
        <w:rPr>
          <w:rFonts w:cs="Times New Roman"/>
          <w:sz w:val="20"/>
          <w:lang w:eastAsia="pl-PL"/>
        </w:rPr>
        <w:t>2018</w:t>
      </w:r>
      <w:r w:rsidRPr="004269F2">
        <w:rPr>
          <w:rFonts w:cs="Times New Roman"/>
          <w:sz w:val="20"/>
          <w:lang w:eastAsia="pl-PL"/>
        </w:rPr>
        <w:t xml:space="preserve">, Ministerstwo </w:t>
      </w:r>
      <w:r>
        <w:rPr>
          <w:rFonts w:cs="Times New Roman"/>
          <w:sz w:val="20"/>
          <w:lang w:eastAsia="pl-PL"/>
        </w:rPr>
        <w:t xml:space="preserve">Inwestycji i </w:t>
      </w:r>
      <w:r w:rsidRPr="004269F2">
        <w:rPr>
          <w:rFonts w:cs="Times New Roman"/>
          <w:sz w:val="20"/>
          <w:lang w:eastAsia="pl-PL"/>
        </w:rPr>
        <w:t>Rozwoju, Warszawa.</w:t>
      </w:r>
    </w:p>
    <w:p w14:paraId="72D3AA6B" w14:textId="77777777" w:rsidR="00EE79EE" w:rsidRDefault="00EE79EE" w:rsidP="009F1BBA">
      <w:pPr>
        <w:spacing w:line="240" w:lineRule="auto"/>
        <w:ind w:left="69"/>
        <w:rPr>
          <w:rFonts w:cs="Times New Roman"/>
          <w:sz w:val="20"/>
          <w:lang w:eastAsia="pl-PL"/>
        </w:rPr>
      </w:pPr>
      <w:r w:rsidRPr="00CF1B4B">
        <w:rPr>
          <w:rFonts w:cs="Times New Roman"/>
          <w:sz w:val="20"/>
          <w:lang w:eastAsia="pl-PL"/>
        </w:rPr>
        <w:t xml:space="preserve">Szczucki M., Czauderna K., Gajewski M., Kubajek R., Regulski A., Zawistowski J., 2015, </w:t>
      </w:r>
      <w:r w:rsidRPr="00CF1B4B">
        <w:rPr>
          <w:rFonts w:cs="Times New Roman"/>
          <w:i/>
          <w:sz w:val="20"/>
          <w:lang w:eastAsia="pl-PL"/>
        </w:rPr>
        <w:t>Analiza ex-ante w zakresie możliwości zastosowania instrumentów finansowych w ramach Wielkopolskiego Regionalnego Programu Operacyjnego na lata 2014-2020</w:t>
      </w:r>
      <w:r w:rsidRPr="00CF1B4B">
        <w:rPr>
          <w:rFonts w:cs="Times New Roman"/>
          <w:sz w:val="20"/>
          <w:lang w:eastAsia="pl-PL"/>
        </w:rPr>
        <w:t>, Warszawa</w:t>
      </w:r>
      <w:r>
        <w:rPr>
          <w:rFonts w:cs="Times New Roman"/>
          <w:sz w:val="20"/>
          <w:lang w:eastAsia="pl-PL"/>
        </w:rPr>
        <w:t>.</w:t>
      </w:r>
    </w:p>
    <w:p w14:paraId="3D3DCDB2" w14:textId="77777777" w:rsidR="00EE79EE" w:rsidRPr="00032C43" w:rsidRDefault="00EE79EE" w:rsidP="009F1BBA">
      <w:pPr>
        <w:spacing w:line="240" w:lineRule="auto"/>
        <w:ind w:left="69"/>
        <w:rPr>
          <w:rFonts w:cs="Times New Roman"/>
          <w:sz w:val="20"/>
          <w:lang w:eastAsia="pl-PL"/>
        </w:rPr>
      </w:pPr>
      <w:r w:rsidRPr="00032C43">
        <w:rPr>
          <w:rFonts w:cs="Times New Roman"/>
          <w:sz w:val="20"/>
          <w:lang w:eastAsia="pl-PL"/>
        </w:rPr>
        <w:t xml:space="preserve">Szlachta J., 2013, </w:t>
      </w:r>
      <w:r w:rsidRPr="00EE79EE">
        <w:rPr>
          <w:rFonts w:cs="Times New Roman"/>
          <w:i/>
          <w:sz w:val="20"/>
          <w:lang w:eastAsia="pl-PL"/>
        </w:rPr>
        <w:t>Europejskie uwarunkowania trzeciej generacji strategii rozwoju regionalnego w Polsce</w:t>
      </w:r>
      <w:r>
        <w:rPr>
          <w:rFonts w:cs="Times New Roman"/>
          <w:i/>
          <w:sz w:val="20"/>
          <w:lang w:eastAsia="pl-PL"/>
        </w:rPr>
        <w:t xml:space="preserve"> </w:t>
      </w:r>
      <w:r w:rsidRPr="00EE79EE">
        <w:rPr>
          <w:rFonts w:cs="Times New Roman"/>
          <w:i/>
          <w:sz w:val="20"/>
          <w:lang w:eastAsia="pl-PL"/>
        </w:rPr>
        <w:t>–</w:t>
      </w:r>
      <w:r>
        <w:rPr>
          <w:rFonts w:cs="Times New Roman"/>
          <w:i/>
          <w:sz w:val="20"/>
          <w:lang w:eastAsia="pl-PL"/>
        </w:rPr>
        <w:t xml:space="preserve"> </w:t>
      </w:r>
      <w:r w:rsidRPr="00EE79EE">
        <w:rPr>
          <w:rFonts w:cs="Times New Roman"/>
          <w:i/>
          <w:sz w:val="20"/>
          <w:lang w:eastAsia="pl-PL"/>
        </w:rPr>
        <w:t>poziom województw</w:t>
      </w:r>
      <w:r w:rsidRPr="00032C43">
        <w:rPr>
          <w:rFonts w:cs="Times New Roman"/>
          <w:sz w:val="20"/>
          <w:lang w:eastAsia="pl-PL"/>
        </w:rPr>
        <w:t>, KPZK PAN, Studia 155</w:t>
      </w:r>
      <w:r>
        <w:rPr>
          <w:rFonts w:cs="Times New Roman"/>
          <w:sz w:val="20"/>
          <w:lang w:eastAsia="pl-PL"/>
        </w:rPr>
        <w:t>.</w:t>
      </w:r>
    </w:p>
    <w:p w14:paraId="07090534" w14:textId="77777777" w:rsidR="00EE79EE" w:rsidRPr="00032C43" w:rsidRDefault="00EE79EE" w:rsidP="009F1BBA">
      <w:pPr>
        <w:spacing w:line="240" w:lineRule="auto"/>
        <w:ind w:left="69"/>
        <w:rPr>
          <w:rFonts w:cs="Times New Roman"/>
          <w:sz w:val="20"/>
          <w:lang w:eastAsia="pl-PL"/>
        </w:rPr>
      </w:pPr>
      <w:r w:rsidRPr="00032C43">
        <w:rPr>
          <w:rFonts w:cs="Times New Roman"/>
          <w:sz w:val="20"/>
          <w:lang w:eastAsia="pl-PL"/>
        </w:rPr>
        <w:t xml:space="preserve">Sztando A., 1999, </w:t>
      </w:r>
      <w:r w:rsidRPr="00EE79EE">
        <w:rPr>
          <w:rFonts w:cs="Times New Roman"/>
          <w:i/>
          <w:sz w:val="20"/>
          <w:lang w:eastAsia="pl-PL"/>
        </w:rPr>
        <w:t>Gminne instrumenty kształtowania rozwoju lokalnych podmiotów gospodarczych</w:t>
      </w:r>
      <w:r w:rsidRPr="00032C43">
        <w:rPr>
          <w:rFonts w:cs="Times New Roman"/>
          <w:sz w:val="20"/>
          <w:lang w:eastAsia="pl-PL"/>
        </w:rPr>
        <w:t>, Samorząd Terytorialny Nr 7-8, Warszawa.</w:t>
      </w:r>
    </w:p>
    <w:p w14:paraId="00193FB6" w14:textId="77777777" w:rsidR="00EE79EE" w:rsidRPr="009539AE" w:rsidRDefault="00EE79EE" w:rsidP="009F1BBA">
      <w:pPr>
        <w:spacing w:line="240" w:lineRule="auto"/>
        <w:ind w:left="66"/>
        <w:rPr>
          <w:rFonts w:cs="Times New Roman"/>
          <w:sz w:val="20"/>
          <w:lang w:eastAsia="pl-PL"/>
        </w:rPr>
      </w:pPr>
      <w:r w:rsidRPr="009539AE">
        <w:rPr>
          <w:rStyle w:val="highlight"/>
          <w:sz w:val="20"/>
        </w:rPr>
        <w:t>Sztando</w:t>
      </w:r>
      <w:r w:rsidRPr="009539AE">
        <w:rPr>
          <w:sz w:val="20"/>
        </w:rPr>
        <w:t xml:space="preserve"> A., 2006, </w:t>
      </w:r>
      <w:r w:rsidRPr="00EE79EE">
        <w:rPr>
          <w:i/>
          <w:sz w:val="20"/>
        </w:rPr>
        <w:t>Analiza strategiczna jednostek samorządu terytorialnego</w:t>
      </w:r>
      <w:r w:rsidRPr="009539AE">
        <w:rPr>
          <w:sz w:val="20"/>
        </w:rPr>
        <w:t xml:space="preserve">, (w): D. Strahl D., </w:t>
      </w:r>
      <w:r w:rsidRPr="00EE79EE">
        <w:rPr>
          <w:i/>
          <w:sz w:val="20"/>
        </w:rPr>
        <w:t>Metody oceny rozwoju regionalnego</w:t>
      </w:r>
      <w:r w:rsidRPr="009539AE">
        <w:rPr>
          <w:sz w:val="20"/>
        </w:rPr>
        <w:t>, Wydawnictwo Akademii Ekonomicznej im. Oskara Langego we Wrocławiu, Wrocław.</w:t>
      </w:r>
    </w:p>
    <w:p w14:paraId="5030645B" w14:textId="7A516032" w:rsidR="00704230" w:rsidRPr="00B711BF" w:rsidRDefault="00704230" w:rsidP="009F1BBA">
      <w:pPr>
        <w:spacing w:line="240" w:lineRule="auto"/>
        <w:ind w:left="66"/>
        <w:rPr>
          <w:rFonts w:cs="Times New Roman"/>
          <w:i/>
          <w:sz w:val="20"/>
          <w:lang w:eastAsia="pl-PL"/>
        </w:rPr>
      </w:pPr>
      <w:r>
        <w:rPr>
          <w:rFonts w:cs="Times New Roman"/>
          <w:i/>
          <w:sz w:val="20"/>
          <w:lang w:eastAsia="pl-PL"/>
        </w:rPr>
        <w:t>Wielkopolski Regionalny Program Operacyjny na lata 2014-2020</w:t>
      </w:r>
      <w:r>
        <w:rPr>
          <w:rFonts w:cs="Times New Roman"/>
          <w:sz w:val="20"/>
          <w:lang w:eastAsia="pl-PL"/>
        </w:rPr>
        <w:t xml:space="preserve">, </w:t>
      </w:r>
      <w:r w:rsidR="00052AE5">
        <w:rPr>
          <w:rFonts w:cs="Times New Roman"/>
          <w:sz w:val="20"/>
          <w:lang w:eastAsia="pl-PL"/>
        </w:rPr>
        <w:t>dokument przyjęty przez Zarząd Województwa Wielkopolskiego w dn. 12.12.2014 r., Poznań.</w:t>
      </w:r>
    </w:p>
    <w:p w14:paraId="1EF1D089" w14:textId="77777777" w:rsidR="00EE79EE" w:rsidRPr="00FA7F46" w:rsidRDefault="00EE79EE" w:rsidP="009F1BBA">
      <w:pPr>
        <w:spacing w:line="240" w:lineRule="auto"/>
        <w:ind w:left="69"/>
        <w:rPr>
          <w:rFonts w:cs="Times New Roman"/>
          <w:sz w:val="20"/>
          <w:lang w:eastAsia="pl-PL"/>
        </w:rPr>
      </w:pPr>
      <w:r w:rsidRPr="00EE79EE">
        <w:rPr>
          <w:rFonts w:cs="Times New Roman"/>
          <w:i/>
          <w:sz w:val="20"/>
          <w:lang w:eastAsia="pl-PL"/>
        </w:rPr>
        <w:t>Zasady i kryteria wyznaczania obszarów funkcjonalnych w województwie Wielkopolskim</w:t>
      </w:r>
      <w:r w:rsidRPr="00032C43">
        <w:rPr>
          <w:rFonts w:cs="Times New Roman"/>
          <w:sz w:val="20"/>
          <w:lang w:eastAsia="pl-PL"/>
        </w:rPr>
        <w:t>, 2015, Wielkopolskie Biuro Planowania Przestrzennego, Poznań.</w:t>
      </w:r>
      <w:r>
        <w:rPr>
          <w:lang w:eastAsia="pl-PL"/>
        </w:rPr>
        <w:br w:type="page"/>
      </w:r>
    </w:p>
    <w:p w14:paraId="3DD9CBB2" w14:textId="77777777" w:rsidR="004A3B6E" w:rsidRDefault="004A3B6E" w:rsidP="004A3B6E">
      <w:pPr>
        <w:pStyle w:val="Nagwek1"/>
      </w:pPr>
      <w:bookmarkStart w:id="312" w:name="_Toc1904844"/>
      <w:bookmarkStart w:id="313" w:name="_Toc5699511"/>
      <w:r>
        <w:lastRenderedPageBreak/>
        <w:t>Spisy</w:t>
      </w:r>
      <w:bookmarkEnd w:id="312"/>
      <w:bookmarkEnd w:id="313"/>
    </w:p>
    <w:p w14:paraId="676840C8" w14:textId="77777777" w:rsidR="00EE79EE" w:rsidRPr="00EE79EE" w:rsidRDefault="00EE79EE" w:rsidP="00EE79EE">
      <w:pPr>
        <w:spacing w:before="360"/>
        <w:rPr>
          <w:b/>
          <w:lang w:eastAsia="pl-PL"/>
        </w:rPr>
      </w:pPr>
      <w:r w:rsidRPr="00EE79EE">
        <w:rPr>
          <w:b/>
          <w:lang w:eastAsia="pl-PL"/>
        </w:rPr>
        <w:t>Wykresy:</w:t>
      </w:r>
    </w:p>
    <w:p w14:paraId="5411A418" w14:textId="77777777" w:rsidR="007F4FA2" w:rsidRDefault="004A3B6E">
      <w:pPr>
        <w:pStyle w:val="Spisilustracji"/>
        <w:tabs>
          <w:tab w:val="right" w:leader="dot" w:pos="9062"/>
        </w:tabs>
        <w:rPr>
          <w:rFonts w:eastAsiaTheme="minorEastAsia" w:cstheme="minorBidi"/>
          <w:smallCaps w:val="0"/>
          <w:noProof/>
          <w:color w:val="auto"/>
          <w:sz w:val="22"/>
          <w:szCs w:val="22"/>
          <w:lang w:eastAsia="pl-PL"/>
        </w:rPr>
      </w:pPr>
      <w:r>
        <w:rPr>
          <w:lang w:eastAsia="pl-PL"/>
        </w:rPr>
        <w:fldChar w:fldCharType="begin"/>
      </w:r>
      <w:r>
        <w:rPr>
          <w:lang w:eastAsia="pl-PL"/>
        </w:rPr>
        <w:instrText xml:space="preserve"> TOC \h \z \c "Wykres" </w:instrText>
      </w:r>
      <w:r>
        <w:rPr>
          <w:lang w:eastAsia="pl-PL"/>
        </w:rPr>
        <w:fldChar w:fldCharType="separate"/>
      </w:r>
      <w:hyperlink w:anchor="_Toc5699512" w:history="1">
        <w:r w:rsidR="007F4FA2" w:rsidRPr="00E4192F">
          <w:rPr>
            <w:rStyle w:val="Hipercze"/>
            <w:noProof/>
          </w:rPr>
          <w:t>Wykres 1. Przegląd analiz SWOT w strategiach rozwoju województw Polski*</w:t>
        </w:r>
        <w:r w:rsidR="007F4FA2">
          <w:rPr>
            <w:noProof/>
            <w:webHidden/>
          </w:rPr>
          <w:tab/>
        </w:r>
        <w:r w:rsidR="007F4FA2">
          <w:rPr>
            <w:noProof/>
            <w:webHidden/>
          </w:rPr>
          <w:fldChar w:fldCharType="begin"/>
        </w:r>
        <w:r w:rsidR="007F4FA2">
          <w:rPr>
            <w:noProof/>
            <w:webHidden/>
          </w:rPr>
          <w:instrText xml:space="preserve"> PAGEREF _Toc5699512 \h </w:instrText>
        </w:r>
        <w:r w:rsidR="007F4FA2">
          <w:rPr>
            <w:noProof/>
            <w:webHidden/>
          </w:rPr>
        </w:r>
        <w:r w:rsidR="007F4FA2">
          <w:rPr>
            <w:noProof/>
            <w:webHidden/>
          </w:rPr>
          <w:fldChar w:fldCharType="separate"/>
        </w:r>
        <w:r w:rsidR="007F4FA2">
          <w:rPr>
            <w:noProof/>
            <w:webHidden/>
          </w:rPr>
          <w:t>30</w:t>
        </w:r>
        <w:r w:rsidR="007F4FA2">
          <w:rPr>
            <w:noProof/>
            <w:webHidden/>
          </w:rPr>
          <w:fldChar w:fldCharType="end"/>
        </w:r>
      </w:hyperlink>
    </w:p>
    <w:p w14:paraId="43D11DC9"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13" w:history="1">
        <w:r w:rsidR="007F4FA2" w:rsidRPr="00E4192F">
          <w:rPr>
            <w:rStyle w:val="Hipercze"/>
            <w:noProof/>
          </w:rPr>
          <w:t>Wykres 2. Porównanie analizy SWOT w SRWW 2020 i w nowej propozycji</w:t>
        </w:r>
        <w:r w:rsidR="007F4FA2">
          <w:rPr>
            <w:noProof/>
            <w:webHidden/>
          </w:rPr>
          <w:tab/>
        </w:r>
        <w:r w:rsidR="007F4FA2">
          <w:rPr>
            <w:noProof/>
            <w:webHidden/>
          </w:rPr>
          <w:fldChar w:fldCharType="begin"/>
        </w:r>
        <w:r w:rsidR="007F4FA2">
          <w:rPr>
            <w:noProof/>
            <w:webHidden/>
          </w:rPr>
          <w:instrText xml:space="preserve"> PAGEREF _Toc5699513 \h </w:instrText>
        </w:r>
        <w:r w:rsidR="007F4FA2">
          <w:rPr>
            <w:noProof/>
            <w:webHidden/>
          </w:rPr>
        </w:r>
        <w:r w:rsidR="007F4FA2">
          <w:rPr>
            <w:noProof/>
            <w:webHidden/>
          </w:rPr>
          <w:fldChar w:fldCharType="separate"/>
        </w:r>
        <w:r w:rsidR="007F4FA2">
          <w:rPr>
            <w:noProof/>
            <w:webHidden/>
          </w:rPr>
          <w:t>38</w:t>
        </w:r>
        <w:r w:rsidR="007F4FA2">
          <w:rPr>
            <w:noProof/>
            <w:webHidden/>
          </w:rPr>
          <w:fldChar w:fldCharType="end"/>
        </w:r>
      </w:hyperlink>
    </w:p>
    <w:p w14:paraId="48708588"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14" w:history="1">
        <w:r w:rsidR="007F4FA2" w:rsidRPr="00E4192F">
          <w:rPr>
            <w:rStyle w:val="Hipercze"/>
            <w:noProof/>
          </w:rPr>
          <w:t>Wykres 3. Czynniki wewnętrzne vs. zewnętrzne i czynniki pozytywne vs. negatywne w analizie SWOT SRWW 2020 oraz nowej propozycji</w:t>
        </w:r>
        <w:r w:rsidR="007F4FA2">
          <w:rPr>
            <w:noProof/>
            <w:webHidden/>
          </w:rPr>
          <w:tab/>
        </w:r>
        <w:r w:rsidR="007F4FA2">
          <w:rPr>
            <w:noProof/>
            <w:webHidden/>
          </w:rPr>
          <w:fldChar w:fldCharType="begin"/>
        </w:r>
        <w:r w:rsidR="007F4FA2">
          <w:rPr>
            <w:noProof/>
            <w:webHidden/>
          </w:rPr>
          <w:instrText xml:space="preserve"> PAGEREF _Toc5699514 \h </w:instrText>
        </w:r>
        <w:r w:rsidR="007F4FA2">
          <w:rPr>
            <w:noProof/>
            <w:webHidden/>
          </w:rPr>
        </w:r>
        <w:r w:rsidR="007F4FA2">
          <w:rPr>
            <w:noProof/>
            <w:webHidden/>
          </w:rPr>
          <w:fldChar w:fldCharType="separate"/>
        </w:r>
        <w:r w:rsidR="007F4FA2">
          <w:rPr>
            <w:noProof/>
            <w:webHidden/>
          </w:rPr>
          <w:t>39</w:t>
        </w:r>
        <w:r w:rsidR="007F4FA2">
          <w:rPr>
            <w:noProof/>
            <w:webHidden/>
          </w:rPr>
          <w:fldChar w:fldCharType="end"/>
        </w:r>
      </w:hyperlink>
    </w:p>
    <w:p w14:paraId="1FBF8042"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15" w:history="1">
        <w:r w:rsidR="007F4FA2" w:rsidRPr="00E4192F">
          <w:rPr>
            <w:rStyle w:val="Hipercze"/>
            <w:noProof/>
          </w:rPr>
          <w:t>Wykres 4. Elementy strategiczne analizy SWOT*</w:t>
        </w:r>
        <w:r w:rsidR="007F4FA2">
          <w:rPr>
            <w:noProof/>
            <w:webHidden/>
          </w:rPr>
          <w:tab/>
        </w:r>
        <w:r w:rsidR="007F4FA2">
          <w:rPr>
            <w:noProof/>
            <w:webHidden/>
          </w:rPr>
          <w:fldChar w:fldCharType="begin"/>
        </w:r>
        <w:r w:rsidR="007F4FA2">
          <w:rPr>
            <w:noProof/>
            <w:webHidden/>
          </w:rPr>
          <w:instrText xml:space="preserve"> PAGEREF _Toc5699515 \h </w:instrText>
        </w:r>
        <w:r w:rsidR="007F4FA2">
          <w:rPr>
            <w:noProof/>
            <w:webHidden/>
          </w:rPr>
        </w:r>
        <w:r w:rsidR="007F4FA2">
          <w:rPr>
            <w:noProof/>
            <w:webHidden/>
          </w:rPr>
          <w:fldChar w:fldCharType="separate"/>
        </w:r>
        <w:r w:rsidR="007F4FA2">
          <w:rPr>
            <w:noProof/>
            <w:webHidden/>
          </w:rPr>
          <w:t>42</w:t>
        </w:r>
        <w:r w:rsidR="007F4FA2">
          <w:rPr>
            <w:noProof/>
            <w:webHidden/>
          </w:rPr>
          <w:fldChar w:fldCharType="end"/>
        </w:r>
      </w:hyperlink>
    </w:p>
    <w:p w14:paraId="10A83341"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16" w:history="1">
        <w:r w:rsidR="007F4FA2" w:rsidRPr="00E4192F">
          <w:rPr>
            <w:rStyle w:val="Hipercze"/>
            <w:noProof/>
          </w:rPr>
          <w:t>Wykres 5. Struktura wydatków rozwojowych z budżetu Województwa Wielkopolskiego (suma z lat 2013-2017)</w:t>
        </w:r>
        <w:r w:rsidR="007F4FA2">
          <w:rPr>
            <w:noProof/>
            <w:webHidden/>
          </w:rPr>
          <w:tab/>
        </w:r>
        <w:r w:rsidR="007F4FA2">
          <w:rPr>
            <w:noProof/>
            <w:webHidden/>
          </w:rPr>
          <w:fldChar w:fldCharType="begin"/>
        </w:r>
        <w:r w:rsidR="007F4FA2">
          <w:rPr>
            <w:noProof/>
            <w:webHidden/>
          </w:rPr>
          <w:instrText xml:space="preserve"> PAGEREF _Toc5699516 \h </w:instrText>
        </w:r>
        <w:r w:rsidR="007F4FA2">
          <w:rPr>
            <w:noProof/>
            <w:webHidden/>
          </w:rPr>
        </w:r>
        <w:r w:rsidR="007F4FA2">
          <w:rPr>
            <w:noProof/>
            <w:webHidden/>
          </w:rPr>
          <w:fldChar w:fldCharType="separate"/>
        </w:r>
        <w:r w:rsidR="007F4FA2">
          <w:rPr>
            <w:noProof/>
            <w:webHidden/>
          </w:rPr>
          <w:t>53</w:t>
        </w:r>
        <w:r w:rsidR="007F4FA2">
          <w:rPr>
            <w:noProof/>
            <w:webHidden/>
          </w:rPr>
          <w:fldChar w:fldCharType="end"/>
        </w:r>
      </w:hyperlink>
    </w:p>
    <w:p w14:paraId="1FC2FED6"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17" w:history="1">
        <w:r w:rsidR="007F4FA2" w:rsidRPr="00E4192F">
          <w:rPr>
            <w:rStyle w:val="Hipercze"/>
            <w:noProof/>
          </w:rPr>
          <w:t>Wykres 6. Struktura dochodów budżetu Województwa Wielkopolskiego (suma z lat 2013-2017)</w:t>
        </w:r>
        <w:r w:rsidR="007F4FA2">
          <w:rPr>
            <w:noProof/>
            <w:webHidden/>
          </w:rPr>
          <w:tab/>
        </w:r>
        <w:r w:rsidR="007F4FA2">
          <w:rPr>
            <w:noProof/>
            <w:webHidden/>
          </w:rPr>
          <w:fldChar w:fldCharType="begin"/>
        </w:r>
        <w:r w:rsidR="007F4FA2">
          <w:rPr>
            <w:noProof/>
            <w:webHidden/>
          </w:rPr>
          <w:instrText xml:space="preserve"> PAGEREF _Toc5699517 \h </w:instrText>
        </w:r>
        <w:r w:rsidR="007F4FA2">
          <w:rPr>
            <w:noProof/>
            <w:webHidden/>
          </w:rPr>
        </w:r>
        <w:r w:rsidR="007F4FA2">
          <w:rPr>
            <w:noProof/>
            <w:webHidden/>
          </w:rPr>
          <w:fldChar w:fldCharType="separate"/>
        </w:r>
        <w:r w:rsidR="007F4FA2">
          <w:rPr>
            <w:noProof/>
            <w:webHidden/>
          </w:rPr>
          <w:t>54</w:t>
        </w:r>
        <w:r w:rsidR="007F4FA2">
          <w:rPr>
            <w:noProof/>
            <w:webHidden/>
          </w:rPr>
          <w:fldChar w:fldCharType="end"/>
        </w:r>
      </w:hyperlink>
    </w:p>
    <w:p w14:paraId="16B71064"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18" w:history="1">
        <w:r w:rsidR="007F4FA2" w:rsidRPr="00E4192F">
          <w:rPr>
            <w:rStyle w:val="Hipercze"/>
            <w:noProof/>
          </w:rPr>
          <w:t>Wykres 7. Struktura korzystania poszczególnych województw z programów krajowych (wg wartości umów, do 28.02.2019)</w:t>
        </w:r>
        <w:r w:rsidR="007F4FA2">
          <w:rPr>
            <w:noProof/>
            <w:webHidden/>
          </w:rPr>
          <w:tab/>
        </w:r>
        <w:r w:rsidR="007F4FA2">
          <w:rPr>
            <w:noProof/>
            <w:webHidden/>
          </w:rPr>
          <w:fldChar w:fldCharType="begin"/>
        </w:r>
        <w:r w:rsidR="007F4FA2">
          <w:rPr>
            <w:noProof/>
            <w:webHidden/>
          </w:rPr>
          <w:instrText xml:space="preserve"> PAGEREF _Toc5699518 \h </w:instrText>
        </w:r>
        <w:r w:rsidR="007F4FA2">
          <w:rPr>
            <w:noProof/>
            <w:webHidden/>
          </w:rPr>
        </w:r>
        <w:r w:rsidR="007F4FA2">
          <w:rPr>
            <w:noProof/>
            <w:webHidden/>
          </w:rPr>
          <w:fldChar w:fldCharType="separate"/>
        </w:r>
        <w:r w:rsidR="007F4FA2">
          <w:rPr>
            <w:noProof/>
            <w:webHidden/>
          </w:rPr>
          <w:t>55</w:t>
        </w:r>
        <w:r w:rsidR="007F4FA2">
          <w:rPr>
            <w:noProof/>
            <w:webHidden/>
          </w:rPr>
          <w:fldChar w:fldCharType="end"/>
        </w:r>
      </w:hyperlink>
    </w:p>
    <w:p w14:paraId="07FC8C19"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19" w:history="1">
        <w:r w:rsidR="007F4FA2" w:rsidRPr="00E4192F">
          <w:rPr>
            <w:rStyle w:val="Hipercze"/>
            <w:noProof/>
          </w:rPr>
          <w:t>Wykres 8. Udział poszczególnych województw w dofinansowaniu z programu Horyzont 2020 (po 586 konkursach)</w:t>
        </w:r>
        <w:r w:rsidR="007F4FA2">
          <w:rPr>
            <w:noProof/>
            <w:webHidden/>
          </w:rPr>
          <w:tab/>
        </w:r>
        <w:r w:rsidR="007F4FA2">
          <w:rPr>
            <w:noProof/>
            <w:webHidden/>
          </w:rPr>
          <w:fldChar w:fldCharType="begin"/>
        </w:r>
        <w:r w:rsidR="007F4FA2">
          <w:rPr>
            <w:noProof/>
            <w:webHidden/>
          </w:rPr>
          <w:instrText xml:space="preserve"> PAGEREF _Toc5699519 \h </w:instrText>
        </w:r>
        <w:r w:rsidR="007F4FA2">
          <w:rPr>
            <w:noProof/>
            <w:webHidden/>
          </w:rPr>
        </w:r>
        <w:r w:rsidR="007F4FA2">
          <w:rPr>
            <w:noProof/>
            <w:webHidden/>
          </w:rPr>
          <w:fldChar w:fldCharType="separate"/>
        </w:r>
        <w:r w:rsidR="007F4FA2">
          <w:rPr>
            <w:noProof/>
            <w:webHidden/>
          </w:rPr>
          <w:t>55</w:t>
        </w:r>
        <w:r w:rsidR="007F4FA2">
          <w:rPr>
            <w:noProof/>
            <w:webHidden/>
          </w:rPr>
          <w:fldChar w:fldCharType="end"/>
        </w:r>
      </w:hyperlink>
    </w:p>
    <w:p w14:paraId="7E973E4B"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20" w:history="1">
        <w:r w:rsidR="007F4FA2" w:rsidRPr="00E4192F">
          <w:rPr>
            <w:rStyle w:val="Hipercze"/>
            <w:noProof/>
          </w:rPr>
          <w:t>Wykres 9. Struktura wydatków z budżetu Województwa Wielkopolskiego na realizację SRWW 2020 (suma z lat 2013-2017)</w:t>
        </w:r>
        <w:r w:rsidR="007F4FA2">
          <w:rPr>
            <w:noProof/>
            <w:webHidden/>
          </w:rPr>
          <w:tab/>
        </w:r>
        <w:r w:rsidR="007F4FA2">
          <w:rPr>
            <w:noProof/>
            <w:webHidden/>
          </w:rPr>
          <w:fldChar w:fldCharType="begin"/>
        </w:r>
        <w:r w:rsidR="007F4FA2">
          <w:rPr>
            <w:noProof/>
            <w:webHidden/>
          </w:rPr>
          <w:instrText xml:space="preserve"> PAGEREF _Toc5699520 \h </w:instrText>
        </w:r>
        <w:r w:rsidR="007F4FA2">
          <w:rPr>
            <w:noProof/>
            <w:webHidden/>
          </w:rPr>
        </w:r>
        <w:r w:rsidR="007F4FA2">
          <w:rPr>
            <w:noProof/>
            <w:webHidden/>
          </w:rPr>
          <w:fldChar w:fldCharType="separate"/>
        </w:r>
        <w:r w:rsidR="007F4FA2">
          <w:rPr>
            <w:noProof/>
            <w:webHidden/>
          </w:rPr>
          <w:t>57</w:t>
        </w:r>
        <w:r w:rsidR="007F4FA2">
          <w:rPr>
            <w:noProof/>
            <w:webHidden/>
          </w:rPr>
          <w:fldChar w:fldCharType="end"/>
        </w:r>
      </w:hyperlink>
    </w:p>
    <w:p w14:paraId="0B3DD1B0"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21" w:history="1">
        <w:r w:rsidR="007F4FA2" w:rsidRPr="00E4192F">
          <w:rPr>
            <w:rStyle w:val="Hipercze"/>
            <w:noProof/>
          </w:rPr>
          <w:t>Wykres 10. Wydatki z budżetu województwa na realizację SRWW 2020 w latach 2013-2017 (suma, w zł per capita)</w:t>
        </w:r>
        <w:r w:rsidR="007F4FA2">
          <w:rPr>
            <w:noProof/>
            <w:webHidden/>
          </w:rPr>
          <w:tab/>
        </w:r>
        <w:r w:rsidR="007F4FA2">
          <w:rPr>
            <w:noProof/>
            <w:webHidden/>
          </w:rPr>
          <w:fldChar w:fldCharType="begin"/>
        </w:r>
        <w:r w:rsidR="007F4FA2">
          <w:rPr>
            <w:noProof/>
            <w:webHidden/>
          </w:rPr>
          <w:instrText xml:space="preserve"> PAGEREF _Toc5699521 \h </w:instrText>
        </w:r>
        <w:r w:rsidR="007F4FA2">
          <w:rPr>
            <w:noProof/>
            <w:webHidden/>
          </w:rPr>
        </w:r>
        <w:r w:rsidR="007F4FA2">
          <w:rPr>
            <w:noProof/>
            <w:webHidden/>
          </w:rPr>
          <w:fldChar w:fldCharType="separate"/>
        </w:r>
        <w:r w:rsidR="007F4FA2">
          <w:rPr>
            <w:noProof/>
            <w:webHidden/>
          </w:rPr>
          <w:t>63</w:t>
        </w:r>
        <w:r w:rsidR="007F4FA2">
          <w:rPr>
            <w:noProof/>
            <w:webHidden/>
          </w:rPr>
          <w:fldChar w:fldCharType="end"/>
        </w:r>
      </w:hyperlink>
    </w:p>
    <w:p w14:paraId="5DA20BF3"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22" w:history="1">
        <w:r w:rsidR="007F4FA2" w:rsidRPr="00E4192F">
          <w:rPr>
            <w:rStyle w:val="Hipercze"/>
            <w:noProof/>
          </w:rPr>
          <w:t>Wykres 11. Wartość alokacji środków na RPO w obecnej perspektywie finansowej w przeliczeniu na mieszkańca (suma, w zł per capita)</w:t>
        </w:r>
        <w:r w:rsidR="007F4FA2">
          <w:rPr>
            <w:noProof/>
            <w:webHidden/>
          </w:rPr>
          <w:tab/>
        </w:r>
        <w:r w:rsidR="007F4FA2">
          <w:rPr>
            <w:noProof/>
            <w:webHidden/>
          </w:rPr>
          <w:fldChar w:fldCharType="begin"/>
        </w:r>
        <w:r w:rsidR="007F4FA2">
          <w:rPr>
            <w:noProof/>
            <w:webHidden/>
          </w:rPr>
          <w:instrText xml:space="preserve"> PAGEREF _Toc5699522 \h </w:instrText>
        </w:r>
        <w:r w:rsidR="007F4FA2">
          <w:rPr>
            <w:noProof/>
            <w:webHidden/>
          </w:rPr>
        </w:r>
        <w:r w:rsidR="007F4FA2">
          <w:rPr>
            <w:noProof/>
            <w:webHidden/>
          </w:rPr>
          <w:fldChar w:fldCharType="separate"/>
        </w:r>
        <w:r w:rsidR="007F4FA2">
          <w:rPr>
            <w:noProof/>
            <w:webHidden/>
          </w:rPr>
          <w:t>64</w:t>
        </w:r>
        <w:r w:rsidR="007F4FA2">
          <w:rPr>
            <w:noProof/>
            <w:webHidden/>
          </w:rPr>
          <w:fldChar w:fldCharType="end"/>
        </w:r>
      </w:hyperlink>
    </w:p>
    <w:p w14:paraId="2CB16044"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23" w:history="1">
        <w:r w:rsidR="007F4FA2" w:rsidRPr="00E4192F">
          <w:rPr>
            <w:rStyle w:val="Hipercze"/>
            <w:noProof/>
          </w:rPr>
          <w:t>Wykres 12. Stan wdrażania RPO 2014-2020 (wartość wkładu UE w umowach podpisanych oraz w certyfikacji do KE jako procent alokacji środków)</w:t>
        </w:r>
        <w:r w:rsidR="007F4FA2">
          <w:rPr>
            <w:noProof/>
            <w:webHidden/>
          </w:rPr>
          <w:tab/>
        </w:r>
        <w:r w:rsidR="007F4FA2">
          <w:rPr>
            <w:noProof/>
            <w:webHidden/>
          </w:rPr>
          <w:fldChar w:fldCharType="begin"/>
        </w:r>
        <w:r w:rsidR="007F4FA2">
          <w:rPr>
            <w:noProof/>
            <w:webHidden/>
          </w:rPr>
          <w:instrText xml:space="preserve"> PAGEREF _Toc5699523 \h </w:instrText>
        </w:r>
        <w:r w:rsidR="007F4FA2">
          <w:rPr>
            <w:noProof/>
            <w:webHidden/>
          </w:rPr>
        </w:r>
        <w:r w:rsidR="007F4FA2">
          <w:rPr>
            <w:noProof/>
            <w:webHidden/>
          </w:rPr>
          <w:fldChar w:fldCharType="separate"/>
        </w:r>
        <w:r w:rsidR="007F4FA2">
          <w:rPr>
            <w:noProof/>
            <w:webHidden/>
          </w:rPr>
          <w:t>64</w:t>
        </w:r>
        <w:r w:rsidR="007F4FA2">
          <w:rPr>
            <w:noProof/>
            <w:webHidden/>
          </w:rPr>
          <w:fldChar w:fldCharType="end"/>
        </w:r>
      </w:hyperlink>
    </w:p>
    <w:p w14:paraId="2BC6D544"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24" w:history="1">
        <w:r w:rsidR="007F4FA2" w:rsidRPr="00E4192F">
          <w:rPr>
            <w:rStyle w:val="Hipercze"/>
            <w:noProof/>
          </w:rPr>
          <w:t>Wykres 13. PKB w przeliczeniu na 1 mieszkańca w podziale na podregiony województwa wielkopolskiego</w:t>
        </w:r>
        <w:r w:rsidR="007F4FA2">
          <w:rPr>
            <w:noProof/>
            <w:webHidden/>
          </w:rPr>
          <w:tab/>
        </w:r>
        <w:r w:rsidR="007F4FA2">
          <w:rPr>
            <w:noProof/>
            <w:webHidden/>
          </w:rPr>
          <w:fldChar w:fldCharType="begin"/>
        </w:r>
        <w:r w:rsidR="007F4FA2">
          <w:rPr>
            <w:noProof/>
            <w:webHidden/>
          </w:rPr>
          <w:instrText xml:space="preserve"> PAGEREF _Toc5699524 \h </w:instrText>
        </w:r>
        <w:r w:rsidR="007F4FA2">
          <w:rPr>
            <w:noProof/>
            <w:webHidden/>
          </w:rPr>
        </w:r>
        <w:r w:rsidR="007F4FA2">
          <w:rPr>
            <w:noProof/>
            <w:webHidden/>
          </w:rPr>
          <w:fldChar w:fldCharType="separate"/>
        </w:r>
        <w:r w:rsidR="007F4FA2">
          <w:rPr>
            <w:noProof/>
            <w:webHidden/>
          </w:rPr>
          <w:t>67</w:t>
        </w:r>
        <w:r w:rsidR="007F4FA2">
          <w:rPr>
            <w:noProof/>
            <w:webHidden/>
          </w:rPr>
          <w:fldChar w:fldCharType="end"/>
        </w:r>
      </w:hyperlink>
    </w:p>
    <w:p w14:paraId="05F04CE6"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25" w:history="1">
        <w:r w:rsidR="007F4FA2" w:rsidRPr="00E4192F">
          <w:rPr>
            <w:rStyle w:val="Hipercze"/>
            <w:noProof/>
          </w:rPr>
          <w:t>Wykres 14. Ocena systemu dokumentów w Urzędzie Marszałkowskim (liczba wskazań)</w:t>
        </w:r>
        <w:r w:rsidR="007F4FA2">
          <w:rPr>
            <w:noProof/>
            <w:webHidden/>
          </w:rPr>
          <w:tab/>
        </w:r>
        <w:r w:rsidR="007F4FA2">
          <w:rPr>
            <w:noProof/>
            <w:webHidden/>
          </w:rPr>
          <w:fldChar w:fldCharType="begin"/>
        </w:r>
        <w:r w:rsidR="007F4FA2">
          <w:rPr>
            <w:noProof/>
            <w:webHidden/>
          </w:rPr>
          <w:instrText xml:space="preserve"> PAGEREF _Toc5699525 \h </w:instrText>
        </w:r>
        <w:r w:rsidR="007F4FA2">
          <w:rPr>
            <w:noProof/>
            <w:webHidden/>
          </w:rPr>
        </w:r>
        <w:r w:rsidR="007F4FA2">
          <w:rPr>
            <w:noProof/>
            <w:webHidden/>
          </w:rPr>
          <w:fldChar w:fldCharType="separate"/>
        </w:r>
        <w:r w:rsidR="007F4FA2">
          <w:rPr>
            <w:noProof/>
            <w:webHidden/>
          </w:rPr>
          <w:t>102</w:t>
        </w:r>
        <w:r w:rsidR="007F4FA2">
          <w:rPr>
            <w:noProof/>
            <w:webHidden/>
          </w:rPr>
          <w:fldChar w:fldCharType="end"/>
        </w:r>
      </w:hyperlink>
    </w:p>
    <w:p w14:paraId="6EC2DA0F"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26" w:history="1">
        <w:r w:rsidR="007F4FA2" w:rsidRPr="00E4192F">
          <w:rPr>
            <w:rStyle w:val="Hipercze"/>
            <w:noProof/>
          </w:rPr>
          <w:t>Wykres 15. Ocena systemu dokumentów – Marszałkowie województw (liczba wskazań)</w:t>
        </w:r>
        <w:r w:rsidR="007F4FA2">
          <w:rPr>
            <w:noProof/>
            <w:webHidden/>
          </w:rPr>
          <w:tab/>
        </w:r>
        <w:r w:rsidR="007F4FA2">
          <w:rPr>
            <w:noProof/>
            <w:webHidden/>
          </w:rPr>
          <w:fldChar w:fldCharType="begin"/>
        </w:r>
        <w:r w:rsidR="007F4FA2">
          <w:rPr>
            <w:noProof/>
            <w:webHidden/>
          </w:rPr>
          <w:instrText xml:space="preserve"> PAGEREF _Toc5699526 \h </w:instrText>
        </w:r>
        <w:r w:rsidR="007F4FA2">
          <w:rPr>
            <w:noProof/>
            <w:webHidden/>
          </w:rPr>
        </w:r>
        <w:r w:rsidR="007F4FA2">
          <w:rPr>
            <w:noProof/>
            <w:webHidden/>
          </w:rPr>
          <w:fldChar w:fldCharType="separate"/>
        </w:r>
        <w:r w:rsidR="007F4FA2">
          <w:rPr>
            <w:noProof/>
            <w:webHidden/>
          </w:rPr>
          <w:t>103</w:t>
        </w:r>
        <w:r w:rsidR="007F4FA2">
          <w:rPr>
            <w:noProof/>
            <w:webHidden/>
          </w:rPr>
          <w:fldChar w:fldCharType="end"/>
        </w:r>
      </w:hyperlink>
    </w:p>
    <w:p w14:paraId="44346EBB"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27" w:history="1">
        <w:r w:rsidR="007F4FA2" w:rsidRPr="00E4192F">
          <w:rPr>
            <w:rStyle w:val="Hipercze"/>
            <w:noProof/>
          </w:rPr>
          <w:t>Wykres 16. Ocena systemu dokumentów strategicznych na poziomie rządowym (liczba wskazań)</w:t>
        </w:r>
        <w:r w:rsidR="007F4FA2">
          <w:rPr>
            <w:noProof/>
            <w:webHidden/>
          </w:rPr>
          <w:tab/>
        </w:r>
        <w:r w:rsidR="007F4FA2">
          <w:rPr>
            <w:noProof/>
            <w:webHidden/>
          </w:rPr>
          <w:fldChar w:fldCharType="begin"/>
        </w:r>
        <w:r w:rsidR="007F4FA2">
          <w:rPr>
            <w:noProof/>
            <w:webHidden/>
          </w:rPr>
          <w:instrText xml:space="preserve"> PAGEREF _Toc5699527 \h </w:instrText>
        </w:r>
        <w:r w:rsidR="007F4FA2">
          <w:rPr>
            <w:noProof/>
            <w:webHidden/>
          </w:rPr>
        </w:r>
        <w:r w:rsidR="007F4FA2">
          <w:rPr>
            <w:noProof/>
            <w:webHidden/>
          </w:rPr>
          <w:fldChar w:fldCharType="separate"/>
        </w:r>
        <w:r w:rsidR="007F4FA2">
          <w:rPr>
            <w:noProof/>
            <w:webHidden/>
          </w:rPr>
          <w:t>106</w:t>
        </w:r>
        <w:r w:rsidR="007F4FA2">
          <w:rPr>
            <w:noProof/>
            <w:webHidden/>
          </w:rPr>
          <w:fldChar w:fldCharType="end"/>
        </w:r>
      </w:hyperlink>
    </w:p>
    <w:p w14:paraId="2A88CA63"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28" w:history="1">
        <w:r w:rsidR="007F4FA2" w:rsidRPr="00E4192F">
          <w:rPr>
            <w:rStyle w:val="Hipercze"/>
            <w:noProof/>
          </w:rPr>
          <w:t>Wykres 17. Spójność dokumentów (liczba wskazań)</w:t>
        </w:r>
        <w:r w:rsidR="007F4FA2">
          <w:rPr>
            <w:noProof/>
            <w:webHidden/>
          </w:rPr>
          <w:tab/>
        </w:r>
        <w:r w:rsidR="007F4FA2">
          <w:rPr>
            <w:noProof/>
            <w:webHidden/>
          </w:rPr>
          <w:fldChar w:fldCharType="begin"/>
        </w:r>
        <w:r w:rsidR="007F4FA2">
          <w:rPr>
            <w:noProof/>
            <w:webHidden/>
          </w:rPr>
          <w:instrText xml:space="preserve"> PAGEREF _Toc5699528 \h </w:instrText>
        </w:r>
        <w:r w:rsidR="007F4FA2">
          <w:rPr>
            <w:noProof/>
            <w:webHidden/>
          </w:rPr>
        </w:r>
        <w:r w:rsidR="007F4FA2">
          <w:rPr>
            <w:noProof/>
            <w:webHidden/>
          </w:rPr>
          <w:fldChar w:fldCharType="separate"/>
        </w:r>
        <w:r w:rsidR="007F4FA2">
          <w:rPr>
            <w:noProof/>
            <w:webHidden/>
          </w:rPr>
          <w:t>108</w:t>
        </w:r>
        <w:r w:rsidR="007F4FA2">
          <w:rPr>
            <w:noProof/>
            <w:webHidden/>
          </w:rPr>
          <w:fldChar w:fldCharType="end"/>
        </w:r>
      </w:hyperlink>
    </w:p>
    <w:p w14:paraId="5CC8F242"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29" w:history="1">
        <w:r w:rsidR="007F4FA2" w:rsidRPr="00E4192F">
          <w:rPr>
            <w:rStyle w:val="Hipercze"/>
            <w:noProof/>
          </w:rPr>
          <w:t>Wykres 18. Trudno jest przełożyć wskaźniki celów Strategii na wskaźniki programów</w:t>
        </w:r>
        <w:r w:rsidR="007F4FA2">
          <w:rPr>
            <w:noProof/>
            <w:webHidden/>
          </w:rPr>
          <w:tab/>
        </w:r>
        <w:r w:rsidR="007F4FA2">
          <w:rPr>
            <w:noProof/>
            <w:webHidden/>
          </w:rPr>
          <w:fldChar w:fldCharType="begin"/>
        </w:r>
        <w:r w:rsidR="007F4FA2">
          <w:rPr>
            <w:noProof/>
            <w:webHidden/>
          </w:rPr>
          <w:instrText xml:space="preserve"> PAGEREF _Toc5699529 \h </w:instrText>
        </w:r>
        <w:r w:rsidR="007F4FA2">
          <w:rPr>
            <w:noProof/>
            <w:webHidden/>
          </w:rPr>
        </w:r>
        <w:r w:rsidR="007F4FA2">
          <w:rPr>
            <w:noProof/>
            <w:webHidden/>
          </w:rPr>
          <w:fldChar w:fldCharType="separate"/>
        </w:r>
        <w:r w:rsidR="007F4FA2">
          <w:rPr>
            <w:noProof/>
            <w:webHidden/>
          </w:rPr>
          <w:t>109</w:t>
        </w:r>
        <w:r w:rsidR="007F4FA2">
          <w:rPr>
            <w:noProof/>
            <w:webHidden/>
          </w:rPr>
          <w:fldChar w:fldCharType="end"/>
        </w:r>
      </w:hyperlink>
    </w:p>
    <w:p w14:paraId="2402B3F5"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30" w:history="1">
        <w:r w:rsidR="007F4FA2" w:rsidRPr="00E4192F">
          <w:rPr>
            <w:rStyle w:val="Hipercze"/>
            <w:noProof/>
          </w:rPr>
          <w:t>Wykres 19. Tworząc strategie i programy możemy liczyć na wsparcie…</w:t>
        </w:r>
        <w:r w:rsidR="007F4FA2">
          <w:rPr>
            <w:noProof/>
            <w:webHidden/>
          </w:rPr>
          <w:tab/>
        </w:r>
        <w:r w:rsidR="007F4FA2">
          <w:rPr>
            <w:noProof/>
            <w:webHidden/>
          </w:rPr>
          <w:fldChar w:fldCharType="begin"/>
        </w:r>
        <w:r w:rsidR="007F4FA2">
          <w:rPr>
            <w:noProof/>
            <w:webHidden/>
          </w:rPr>
          <w:instrText xml:space="preserve"> PAGEREF _Toc5699530 \h </w:instrText>
        </w:r>
        <w:r w:rsidR="007F4FA2">
          <w:rPr>
            <w:noProof/>
            <w:webHidden/>
          </w:rPr>
        </w:r>
        <w:r w:rsidR="007F4FA2">
          <w:rPr>
            <w:noProof/>
            <w:webHidden/>
          </w:rPr>
          <w:fldChar w:fldCharType="separate"/>
        </w:r>
        <w:r w:rsidR="007F4FA2">
          <w:rPr>
            <w:noProof/>
            <w:webHidden/>
          </w:rPr>
          <w:t>111</w:t>
        </w:r>
        <w:r w:rsidR="007F4FA2">
          <w:rPr>
            <w:noProof/>
            <w:webHidden/>
          </w:rPr>
          <w:fldChar w:fldCharType="end"/>
        </w:r>
      </w:hyperlink>
    </w:p>
    <w:p w14:paraId="16BE79A6"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31" w:history="1">
        <w:r w:rsidR="007F4FA2" w:rsidRPr="00E4192F">
          <w:rPr>
            <w:rStyle w:val="Hipercze"/>
            <w:noProof/>
          </w:rPr>
          <w:t>Wykres 20. Poczwórna helisa na rzecz realizacji celów SRWW 2020 (liczba wskazanych podmiotów) (maks. 75)</w:t>
        </w:r>
        <w:r w:rsidR="007F4FA2">
          <w:rPr>
            <w:noProof/>
            <w:webHidden/>
          </w:rPr>
          <w:tab/>
        </w:r>
        <w:r w:rsidR="007F4FA2">
          <w:rPr>
            <w:noProof/>
            <w:webHidden/>
          </w:rPr>
          <w:fldChar w:fldCharType="begin"/>
        </w:r>
        <w:r w:rsidR="007F4FA2">
          <w:rPr>
            <w:noProof/>
            <w:webHidden/>
          </w:rPr>
          <w:instrText xml:space="preserve"> PAGEREF _Toc5699531 \h </w:instrText>
        </w:r>
        <w:r w:rsidR="007F4FA2">
          <w:rPr>
            <w:noProof/>
            <w:webHidden/>
          </w:rPr>
        </w:r>
        <w:r w:rsidR="007F4FA2">
          <w:rPr>
            <w:noProof/>
            <w:webHidden/>
          </w:rPr>
          <w:fldChar w:fldCharType="separate"/>
        </w:r>
        <w:r w:rsidR="007F4FA2">
          <w:rPr>
            <w:noProof/>
            <w:webHidden/>
          </w:rPr>
          <w:t>114</w:t>
        </w:r>
        <w:r w:rsidR="007F4FA2">
          <w:rPr>
            <w:noProof/>
            <w:webHidden/>
          </w:rPr>
          <w:fldChar w:fldCharType="end"/>
        </w:r>
      </w:hyperlink>
    </w:p>
    <w:p w14:paraId="244D9F43"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32" w:history="1">
        <w:r w:rsidR="007F4FA2" w:rsidRPr="00E4192F">
          <w:rPr>
            <w:rStyle w:val="Hipercze"/>
            <w:noProof/>
          </w:rPr>
          <w:t>Wykres 21. Poczwórna helisa – rodzaj wpływu na realizację celów SRWW 2020 (liczba wskazań)</w:t>
        </w:r>
        <w:r w:rsidR="007F4FA2">
          <w:rPr>
            <w:noProof/>
            <w:webHidden/>
          </w:rPr>
          <w:tab/>
        </w:r>
        <w:r w:rsidR="007F4FA2">
          <w:rPr>
            <w:noProof/>
            <w:webHidden/>
          </w:rPr>
          <w:fldChar w:fldCharType="begin"/>
        </w:r>
        <w:r w:rsidR="007F4FA2">
          <w:rPr>
            <w:noProof/>
            <w:webHidden/>
          </w:rPr>
          <w:instrText xml:space="preserve"> PAGEREF _Toc5699532 \h </w:instrText>
        </w:r>
        <w:r w:rsidR="007F4FA2">
          <w:rPr>
            <w:noProof/>
            <w:webHidden/>
          </w:rPr>
        </w:r>
        <w:r w:rsidR="007F4FA2">
          <w:rPr>
            <w:noProof/>
            <w:webHidden/>
          </w:rPr>
          <w:fldChar w:fldCharType="separate"/>
        </w:r>
        <w:r w:rsidR="007F4FA2">
          <w:rPr>
            <w:noProof/>
            <w:webHidden/>
          </w:rPr>
          <w:t>114</w:t>
        </w:r>
        <w:r w:rsidR="007F4FA2">
          <w:rPr>
            <w:noProof/>
            <w:webHidden/>
          </w:rPr>
          <w:fldChar w:fldCharType="end"/>
        </w:r>
      </w:hyperlink>
    </w:p>
    <w:p w14:paraId="50E38B88"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33" w:history="1">
        <w:r w:rsidR="007F4FA2" w:rsidRPr="00E4192F">
          <w:rPr>
            <w:rStyle w:val="Hipercze"/>
            <w:noProof/>
          </w:rPr>
          <w:t>Wykres 22. Poczwórna helisa – liczba wskazań organizacji współpracujących z jednostkami Urzędu Marszałkowskiego przy realizacji celów strategicznych</w:t>
        </w:r>
        <w:r w:rsidR="007F4FA2">
          <w:rPr>
            <w:noProof/>
            <w:webHidden/>
          </w:rPr>
          <w:tab/>
        </w:r>
        <w:r w:rsidR="007F4FA2">
          <w:rPr>
            <w:noProof/>
            <w:webHidden/>
          </w:rPr>
          <w:fldChar w:fldCharType="begin"/>
        </w:r>
        <w:r w:rsidR="007F4FA2">
          <w:rPr>
            <w:noProof/>
            <w:webHidden/>
          </w:rPr>
          <w:instrText xml:space="preserve"> PAGEREF _Toc5699533 \h </w:instrText>
        </w:r>
        <w:r w:rsidR="007F4FA2">
          <w:rPr>
            <w:noProof/>
            <w:webHidden/>
          </w:rPr>
        </w:r>
        <w:r w:rsidR="007F4FA2">
          <w:rPr>
            <w:noProof/>
            <w:webHidden/>
          </w:rPr>
          <w:fldChar w:fldCharType="separate"/>
        </w:r>
        <w:r w:rsidR="007F4FA2">
          <w:rPr>
            <w:noProof/>
            <w:webHidden/>
          </w:rPr>
          <w:t>115</w:t>
        </w:r>
        <w:r w:rsidR="007F4FA2">
          <w:rPr>
            <w:noProof/>
            <w:webHidden/>
          </w:rPr>
          <w:fldChar w:fldCharType="end"/>
        </w:r>
      </w:hyperlink>
    </w:p>
    <w:p w14:paraId="70293D93" w14:textId="77777777" w:rsidR="004A3B6E" w:rsidRPr="00EE79EE" w:rsidRDefault="004A3B6E" w:rsidP="00EE79EE">
      <w:pPr>
        <w:spacing w:before="360"/>
        <w:rPr>
          <w:b/>
          <w:lang w:eastAsia="pl-PL"/>
        </w:rPr>
      </w:pPr>
      <w:r>
        <w:rPr>
          <w:lang w:eastAsia="pl-PL"/>
        </w:rPr>
        <w:fldChar w:fldCharType="end"/>
      </w:r>
      <w:r w:rsidR="00EE79EE" w:rsidRPr="00EE79EE">
        <w:rPr>
          <w:b/>
          <w:lang w:eastAsia="pl-PL"/>
        </w:rPr>
        <w:t>Tabele:</w:t>
      </w:r>
    </w:p>
    <w:p w14:paraId="0145F2F8" w14:textId="77777777" w:rsidR="007F4FA2" w:rsidRDefault="004A3B6E">
      <w:pPr>
        <w:pStyle w:val="Spisilustracji"/>
        <w:tabs>
          <w:tab w:val="right" w:leader="dot" w:pos="9062"/>
        </w:tabs>
        <w:rPr>
          <w:rFonts w:eastAsiaTheme="minorEastAsia" w:cstheme="minorBidi"/>
          <w:smallCaps w:val="0"/>
          <w:noProof/>
          <w:color w:val="auto"/>
          <w:sz w:val="22"/>
          <w:szCs w:val="22"/>
          <w:lang w:eastAsia="pl-PL"/>
        </w:rPr>
      </w:pPr>
      <w:r>
        <w:rPr>
          <w:lang w:eastAsia="pl-PL"/>
        </w:rPr>
        <w:fldChar w:fldCharType="begin"/>
      </w:r>
      <w:r>
        <w:rPr>
          <w:lang w:eastAsia="pl-PL"/>
        </w:rPr>
        <w:instrText xml:space="preserve"> TOC \h \z \c "Tabela" </w:instrText>
      </w:r>
      <w:r>
        <w:rPr>
          <w:lang w:eastAsia="pl-PL"/>
        </w:rPr>
        <w:fldChar w:fldCharType="separate"/>
      </w:r>
      <w:hyperlink w:anchor="_Toc5699534" w:history="1">
        <w:r w:rsidR="007F4FA2" w:rsidRPr="0024015C">
          <w:rPr>
            <w:rStyle w:val="Hipercze"/>
            <w:noProof/>
          </w:rPr>
          <w:t>Tabela 1. Wnioski i zalecenia strategiczne</w:t>
        </w:r>
        <w:r w:rsidR="007F4FA2">
          <w:rPr>
            <w:noProof/>
            <w:webHidden/>
          </w:rPr>
          <w:tab/>
        </w:r>
        <w:r w:rsidR="007F4FA2">
          <w:rPr>
            <w:noProof/>
            <w:webHidden/>
          </w:rPr>
          <w:fldChar w:fldCharType="begin"/>
        </w:r>
        <w:r w:rsidR="007F4FA2">
          <w:rPr>
            <w:noProof/>
            <w:webHidden/>
          </w:rPr>
          <w:instrText xml:space="preserve"> PAGEREF _Toc5699534 \h </w:instrText>
        </w:r>
        <w:r w:rsidR="007F4FA2">
          <w:rPr>
            <w:noProof/>
            <w:webHidden/>
          </w:rPr>
        </w:r>
        <w:r w:rsidR="007F4FA2">
          <w:rPr>
            <w:noProof/>
            <w:webHidden/>
          </w:rPr>
          <w:fldChar w:fldCharType="separate"/>
        </w:r>
        <w:r w:rsidR="007F4FA2">
          <w:rPr>
            <w:noProof/>
            <w:webHidden/>
          </w:rPr>
          <w:t>11</w:t>
        </w:r>
        <w:r w:rsidR="007F4FA2">
          <w:rPr>
            <w:noProof/>
            <w:webHidden/>
          </w:rPr>
          <w:fldChar w:fldCharType="end"/>
        </w:r>
      </w:hyperlink>
    </w:p>
    <w:p w14:paraId="7386C5C5"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35" w:history="1">
        <w:r w:rsidR="007F4FA2" w:rsidRPr="0024015C">
          <w:rPr>
            <w:rStyle w:val="Hipercze"/>
            <w:noProof/>
          </w:rPr>
          <w:t>Tabela 2. Elementy wizji – uwagi dyskusyjne</w:t>
        </w:r>
        <w:r w:rsidR="007F4FA2">
          <w:rPr>
            <w:noProof/>
            <w:webHidden/>
          </w:rPr>
          <w:tab/>
        </w:r>
        <w:r w:rsidR="007F4FA2">
          <w:rPr>
            <w:noProof/>
            <w:webHidden/>
          </w:rPr>
          <w:fldChar w:fldCharType="begin"/>
        </w:r>
        <w:r w:rsidR="007F4FA2">
          <w:rPr>
            <w:noProof/>
            <w:webHidden/>
          </w:rPr>
          <w:instrText xml:space="preserve"> PAGEREF _Toc5699535 \h </w:instrText>
        </w:r>
        <w:r w:rsidR="007F4FA2">
          <w:rPr>
            <w:noProof/>
            <w:webHidden/>
          </w:rPr>
        </w:r>
        <w:r w:rsidR="007F4FA2">
          <w:rPr>
            <w:noProof/>
            <w:webHidden/>
          </w:rPr>
          <w:fldChar w:fldCharType="separate"/>
        </w:r>
        <w:r w:rsidR="007F4FA2">
          <w:rPr>
            <w:noProof/>
            <w:webHidden/>
          </w:rPr>
          <w:t>27</w:t>
        </w:r>
        <w:r w:rsidR="007F4FA2">
          <w:rPr>
            <w:noProof/>
            <w:webHidden/>
          </w:rPr>
          <w:fldChar w:fldCharType="end"/>
        </w:r>
      </w:hyperlink>
    </w:p>
    <w:p w14:paraId="145E00D2"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36" w:history="1">
        <w:r w:rsidR="007F4FA2" w:rsidRPr="0024015C">
          <w:rPr>
            <w:rStyle w:val="Hipercze"/>
            <w:noProof/>
          </w:rPr>
          <w:t>Tabela 3. Wizja i dwie wersje misji – propozycja do dyskusji</w:t>
        </w:r>
        <w:r w:rsidR="007F4FA2">
          <w:rPr>
            <w:noProof/>
            <w:webHidden/>
          </w:rPr>
          <w:tab/>
        </w:r>
        <w:r w:rsidR="007F4FA2">
          <w:rPr>
            <w:noProof/>
            <w:webHidden/>
          </w:rPr>
          <w:fldChar w:fldCharType="begin"/>
        </w:r>
        <w:r w:rsidR="007F4FA2">
          <w:rPr>
            <w:noProof/>
            <w:webHidden/>
          </w:rPr>
          <w:instrText xml:space="preserve"> PAGEREF _Toc5699536 \h </w:instrText>
        </w:r>
        <w:r w:rsidR="007F4FA2">
          <w:rPr>
            <w:noProof/>
            <w:webHidden/>
          </w:rPr>
        </w:r>
        <w:r w:rsidR="007F4FA2">
          <w:rPr>
            <w:noProof/>
            <w:webHidden/>
          </w:rPr>
          <w:fldChar w:fldCharType="separate"/>
        </w:r>
        <w:r w:rsidR="007F4FA2">
          <w:rPr>
            <w:noProof/>
            <w:webHidden/>
          </w:rPr>
          <w:t>28</w:t>
        </w:r>
        <w:r w:rsidR="007F4FA2">
          <w:rPr>
            <w:noProof/>
            <w:webHidden/>
          </w:rPr>
          <w:fldChar w:fldCharType="end"/>
        </w:r>
      </w:hyperlink>
    </w:p>
    <w:p w14:paraId="755226AB"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37" w:history="1">
        <w:r w:rsidR="007F4FA2" w:rsidRPr="0024015C">
          <w:rPr>
            <w:rStyle w:val="Hipercze"/>
            <w:noProof/>
          </w:rPr>
          <w:t>Tabela 4. SWOT – główne założenia</w:t>
        </w:r>
        <w:r w:rsidR="007F4FA2">
          <w:rPr>
            <w:noProof/>
            <w:webHidden/>
          </w:rPr>
          <w:tab/>
        </w:r>
        <w:r w:rsidR="007F4FA2">
          <w:rPr>
            <w:noProof/>
            <w:webHidden/>
          </w:rPr>
          <w:fldChar w:fldCharType="begin"/>
        </w:r>
        <w:r w:rsidR="007F4FA2">
          <w:rPr>
            <w:noProof/>
            <w:webHidden/>
          </w:rPr>
          <w:instrText xml:space="preserve"> PAGEREF _Toc5699537 \h </w:instrText>
        </w:r>
        <w:r w:rsidR="007F4FA2">
          <w:rPr>
            <w:noProof/>
            <w:webHidden/>
          </w:rPr>
        </w:r>
        <w:r w:rsidR="007F4FA2">
          <w:rPr>
            <w:noProof/>
            <w:webHidden/>
          </w:rPr>
          <w:fldChar w:fldCharType="separate"/>
        </w:r>
        <w:r w:rsidR="007F4FA2">
          <w:rPr>
            <w:noProof/>
            <w:webHidden/>
          </w:rPr>
          <w:t>31</w:t>
        </w:r>
        <w:r w:rsidR="007F4FA2">
          <w:rPr>
            <w:noProof/>
            <w:webHidden/>
          </w:rPr>
          <w:fldChar w:fldCharType="end"/>
        </w:r>
      </w:hyperlink>
    </w:p>
    <w:p w14:paraId="6BA258AB"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38" w:history="1">
        <w:r w:rsidR="007F4FA2" w:rsidRPr="0024015C">
          <w:rPr>
            <w:rStyle w:val="Hipercze"/>
            <w:noProof/>
          </w:rPr>
          <w:t>Tabela 5. Główne problemy metodyczne w analizie SWOT SRWW 2020 i propozycje ich rozwiązania</w:t>
        </w:r>
        <w:r w:rsidR="007F4FA2">
          <w:rPr>
            <w:noProof/>
            <w:webHidden/>
          </w:rPr>
          <w:tab/>
        </w:r>
        <w:r w:rsidR="007F4FA2">
          <w:rPr>
            <w:noProof/>
            <w:webHidden/>
          </w:rPr>
          <w:fldChar w:fldCharType="begin"/>
        </w:r>
        <w:r w:rsidR="007F4FA2">
          <w:rPr>
            <w:noProof/>
            <w:webHidden/>
          </w:rPr>
          <w:instrText xml:space="preserve"> PAGEREF _Toc5699538 \h </w:instrText>
        </w:r>
        <w:r w:rsidR="007F4FA2">
          <w:rPr>
            <w:noProof/>
            <w:webHidden/>
          </w:rPr>
        </w:r>
        <w:r w:rsidR="007F4FA2">
          <w:rPr>
            <w:noProof/>
            <w:webHidden/>
          </w:rPr>
          <w:fldChar w:fldCharType="separate"/>
        </w:r>
        <w:r w:rsidR="007F4FA2">
          <w:rPr>
            <w:noProof/>
            <w:webHidden/>
          </w:rPr>
          <w:t>32</w:t>
        </w:r>
        <w:r w:rsidR="007F4FA2">
          <w:rPr>
            <w:noProof/>
            <w:webHidden/>
          </w:rPr>
          <w:fldChar w:fldCharType="end"/>
        </w:r>
      </w:hyperlink>
    </w:p>
    <w:p w14:paraId="4E307D59"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39" w:history="1">
        <w:r w:rsidR="007F4FA2" w:rsidRPr="0024015C">
          <w:rPr>
            <w:rStyle w:val="Hipercze"/>
            <w:noProof/>
          </w:rPr>
          <w:t>Tabela 6. Elementy nieaktualne w analizie SWOT SRWW 2020</w:t>
        </w:r>
        <w:r w:rsidR="007F4FA2">
          <w:rPr>
            <w:noProof/>
            <w:webHidden/>
          </w:rPr>
          <w:tab/>
        </w:r>
        <w:r w:rsidR="007F4FA2">
          <w:rPr>
            <w:noProof/>
            <w:webHidden/>
          </w:rPr>
          <w:fldChar w:fldCharType="begin"/>
        </w:r>
        <w:r w:rsidR="007F4FA2">
          <w:rPr>
            <w:noProof/>
            <w:webHidden/>
          </w:rPr>
          <w:instrText xml:space="preserve"> PAGEREF _Toc5699539 \h </w:instrText>
        </w:r>
        <w:r w:rsidR="007F4FA2">
          <w:rPr>
            <w:noProof/>
            <w:webHidden/>
          </w:rPr>
        </w:r>
        <w:r w:rsidR="007F4FA2">
          <w:rPr>
            <w:noProof/>
            <w:webHidden/>
          </w:rPr>
          <w:fldChar w:fldCharType="separate"/>
        </w:r>
        <w:r w:rsidR="007F4FA2">
          <w:rPr>
            <w:noProof/>
            <w:webHidden/>
          </w:rPr>
          <w:t>34</w:t>
        </w:r>
        <w:r w:rsidR="007F4FA2">
          <w:rPr>
            <w:noProof/>
            <w:webHidden/>
          </w:rPr>
          <w:fldChar w:fldCharType="end"/>
        </w:r>
      </w:hyperlink>
    </w:p>
    <w:p w14:paraId="3545A875"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40" w:history="1">
        <w:r w:rsidR="007F4FA2" w:rsidRPr="0024015C">
          <w:rPr>
            <w:rStyle w:val="Hipercze"/>
            <w:noProof/>
          </w:rPr>
          <w:t>Tabela 7. Propozycja analizy SWOT</w:t>
        </w:r>
        <w:r w:rsidR="007F4FA2">
          <w:rPr>
            <w:noProof/>
            <w:webHidden/>
          </w:rPr>
          <w:tab/>
        </w:r>
        <w:r w:rsidR="007F4FA2">
          <w:rPr>
            <w:noProof/>
            <w:webHidden/>
          </w:rPr>
          <w:fldChar w:fldCharType="begin"/>
        </w:r>
        <w:r w:rsidR="007F4FA2">
          <w:rPr>
            <w:noProof/>
            <w:webHidden/>
          </w:rPr>
          <w:instrText xml:space="preserve"> PAGEREF _Toc5699540 \h </w:instrText>
        </w:r>
        <w:r w:rsidR="007F4FA2">
          <w:rPr>
            <w:noProof/>
            <w:webHidden/>
          </w:rPr>
        </w:r>
        <w:r w:rsidR="007F4FA2">
          <w:rPr>
            <w:noProof/>
            <w:webHidden/>
          </w:rPr>
          <w:fldChar w:fldCharType="separate"/>
        </w:r>
        <w:r w:rsidR="007F4FA2">
          <w:rPr>
            <w:noProof/>
            <w:webHidden/>
          </w:rPr>
          <w:t>37</w:t>
        </w:r>
        <w:r w:rsidR="007F4FA2">
          <w:rPr>
            <w:noProof/>
            <w:webHidden/>
          </w:rPr>
          <w:fldChar w:fldCharType="end"/>
        </w:r>
      </w:hyperlink>
    </w:p>
    <w:p w14:paraId="4C5C6446"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41" w:history="1">
        <w:r w:rsidR="007F4FA2" w:rsidRPr="0024015C">
          <w:rPr>
            <w:rStyle w:val="Hipercze"/>
            <w:noProof/>
          </w:rPr>
          <w:t>Tabela 8. Pytania w analizie SWOT/TOWS</w:t>
        </w:r>
        <w:r w:rsidR="007F4FA2">
          <w:rPr>
            <w:noProof/>
            <w:webHidden/>
          </w:rPr>
          <w:tab/>
        </w:r>
        <w:r w:rsidR="007F4FA2">
          <w:rPr>
            <w:noProof/>
            <w:webHidden/>
          </w:rPr>
          <w:fldChar w:fldCharType="begin"/>
        </w:r>
        <w:r w:rsidR="007F4FA2">
          <w:rPr>
            <w:noProof/>
            <w:webHidden/>
          </w:rPr>
          <w:instrText xml:space="preserve"> PAGEREF _Toc5699541 \h </w:instrText>
        </w:r>
        <w:r w:rsidR="007F4FA2">
          <w:rPr>
            <w:noProof/>
            <w:webHidden/>
          </w:rPr>
        </w:r>
        <w:r w:rsidR="007F4FA2">
          <w:rPr>
            <w:noProof/>
            <w:webHidden/>
          </w:rPr>
          <w:fldChar w:fldCharType="separate"/>
        </w:r>
        <w:r w:rsidR="007F4FA2">
          <w:rPr>
            <w:noProof/>
            <w:webHidden/>
          </w:rPr>
          <w:t>39</w:t>
        </w:r>
        <w:r w:rsidR="007F4FA2">
          <w:rPr>
            <w:noProof/>
            <w:webHidden/>
          </w:rPr>
          <w:fldChar w:fldCharType="end"/>
        </w:r>
      </w:hyperlink>
    </w:p>
    <w:p w14:paraId="0F7FAE1F"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42" w:history="1">
        <w:r w:rsidR="007F4FA2" w:rsidRPr="0024015C">
          <w:rPr>
            <w:rStyle w:val="Hipercze"/>
            <w:noProof/>
          </w:rPr>
          <w:t>Tabela 9. Analiza SWOT/TOWS dla Wielkopolski – wyniki analiz cząstkowych</w:t>
        </w:r>
        <w:r w:rsidR="007F4FA2">
          <w:rPr>
            <w:noProof/>
            <w:webHidden/>
          </w:rPr>
          <w:tab/>
        </w:r>
        <w:r w:rsidR="007F4FA2">
          <w:rPr>
            <w:noProof/>
            <w:webHidden/>
          </w:rPr>
          <w:fldChar w:fldCharType="begin"/>
        </w:r>
        <w:r w:rsidR="007F4FA2">
          <w:rPr>
            <w:noProof/>
            <w:webHidden/>
          </w:rPr>
          <w:instrText xml:space="preserve"> PAGEREF _Toc5699542 \h </w:instrText>
        </w:r>
        <w:r w:rsidR="007F4FA2">
          <w:rPr>
            <w:noProof/>
            <w:webHidden/>
          </w:rPr>
        </w:r>
        <w:r w:rsidR="007F4FA2">
          <w:rPr>
            <w:noProof/>
            <w:webHidden/>
          </w:rPr>
          <w:fldChar w:fldCharType="separate"/>
        </w:r>
        <w:r w:rsidR="007F4FA2">
          <w:rPr>
            <w:noProof/>
            <w:webHidden/>
          </w:rPr>
          <w:t>40</w:t>
        </w:r>
        <w:r w:rsidR="007F4FA2">
          <w:rPr>
            <w:noProof/>
            <w:webHidden/>
          </w:rPr>
          <w:fldChar w:fldCharType="end"/>
        </w:r>
      </w:hyperlink>
    </w:p>
    <w:p w14:paraId="304782D3"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43" w:history="1">
        <w:r w:rsidR="007F4FA2" w:rsidRPr="0024015C">
          <w:rPr>
            <w:rStyle w:val="Hipercze"/>
            <w:noProof/>
          </w:rPr>
          <w:t>Tabela 10. Rodzaje strategii organizacji</w:t>
        </w:r>
        <w:r w:rsidR="007F4FA2">
          <w:rPr>
            <w:noProof/>
            <w:webHidden/>
          </w:rPr>
          <w:tab/>
        </w:r>
        <w:r w:rsidR="007F4FA2">
          <w:rPr>
            <w:noProof/>
            <w:webHidden/>
          </w:rPr>
          <w:fldChar w:fldCharType="begin"/>
        </w:r>
        <w:r w:rsidR="007F4FA2">
          <w:rPr>
            <w:noProof/>
            <w:webHidden/>
          </w:rPr>
          <w:instrText xml:space="preserve"> PAGEREF _Toc5699543 \h </w:instrText>
        </w:r>
        <w:r w:rsidR="007F4FA2">
          <w:rPr>
            <w:noProof/>
            <w:webHidden/>
          </w:rPr>
        </w:r>
        <w:r w:rsidR="007F4FA2">
          <w:rPr>
            <w:noProof/>
            <w:webHidden/>
          </w:rPr>
          <w:fldChar w:fldCharType="separate"/>
        </w:r>
        <w:r w:rsidR="007F4FA2">
          <w:rPr>
            <w:noProof/>
            <w:webHidden/>
          </w:rPr>
          <w:t>42</w:t>
        </w:r>
        <w:r w:rsidR="007F4FA2">
          <w:rPr>
            <w:noProof/>
            <w:webHidden/>
          </w:rPr>
          <w:fldChar w:fldCharType="end"/>
        </w:r>
      </w:hyperlink>
    </w:p>
    <w:p w14:paraId="4272AEE5"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44" w:history="1">
        <w:r w:rsidR="007F4FA2" w:rsidRPr="0024015C">
          <w:rPr>
            <w:rStyle w:val="Hipercze"/>
            <w:noProof/>
          </w:rPr>
          <w:t>Tabela 11. Wskaźniki celu głównego i ich zmiana w latach 2012-2017</w:t>
        </w:r>
        <w:r w:rsidR="007F4FA2">
          <w:rPr>
            <w:noProof/>
            <w:webHidden/>
          </w:rPr>
          <w:tab/>
        </w:r>
        <w:r w:rsidR="007F4FA2">
          <w:rPr>
            <w:noProof/>
            <w:webHidden/>
          </w:rPr>
          <w:fldChar w:fldCharType="begin"/>
        </w:r>
        <w:r w:rsidR="007F4FA2">
          <w:rPr>
            <w:noProof/>
            <w:webHidden/>
          </w:rPr>
          <w:instrText xml:space="preserve"> PAGEREF _Toc5699544 \h </w:instrText>
        </w:r>
        <w:r w:rsidR="007F4FA2">
          <w:rPr>
            <w:noProof/>
            <w:webHidden/>
          </w:rPr>
        </w:r>
        <w:r w:rsidR="007F4FA2">
          <w:rPr>
            <w:noProof/>
            <w:webHidden/>
          </w:rPr>
          <w:fldChar w:fldCharType="separate"/>
        </w:r>
        <w:r w:rsidR="007F4FA2">
          <w:rPr>
            <w:noProof/>
            <w:webHidden/>
          </w:rPr>
          <w:t>44</w:t>
        </w:r>
        <w:r w:rsidR="007F4FA2">
          <w:rPr>
            <w:noProof/>
            <w:webHidden/>
          </w:rPr>
          <w:fldChar w:fldCharType="end"/>
        </w:r>
      </w:hyperlink>
    </w:p>
    <w:p w14:paraId="44AC63A7"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45" w:history="1">
        <w:r w:rsidR="007F4FA2" w:rsidRPr="0024015C">
          <w:rPr>
            <w:rStyle w:val="Hipercze"/>
            <w:noProof/>
          </w:rPr>
          <w:t>Tabela 12. Wskaźniki celów strategicznych i ich zmiana w latach 2012-2017</w:t>
        </w:r>
        <w:r w:rsidR="007F4FA2">
          <w:rPr>
            <w:noProof/>
            <w:webHidden/>
          </w:rPr>
          <w:tab/>
        </w:r>
        <w:r w:rsidR="007F4FA2">
          <w:rPr>
            <w:noProof/>
            <w:webHidden/>
          </w:rPr>
          <w:fldChar w:fldCharType="begin"/>
        </w:r>
        <w:r w:rsidR="007F4FA2">
          <w:rPr>
            <w:noProof/>
            <w:webHidden/>
          </w:rPr>
          <w:instrText xml:space="preserve"> PAGEREF _Toc5699545 \h </w:instrText>
        </w:r>
        <w:r w:rsidR="007F4FA2">
          <w:rPr>
            <w:noProof/>
            <w:webHidden/>
          </w:rPr>
        </w:r>
        <w:r w:rsidR="007F4FA2">
          <w:rPr>
            <w:noProof/>
            <w:webHidden/>
          </w:rPr>
          <w:fldChar w:fldCharType="separate"/>
        </w:r>
        <w:r w:rsidR="007F4FA2">
          <w:rPr>
            <w:noProof/>
            <w:webHidden/>
          </w:rPr>
          <w:t>44</w:t>
        </w:r>
        <w:r w:rsidR="007F4FA2">
          <w:rPr>
            <w:noProof/>
            <w:webHidden/>
          </w:rPr>
          <w:fldChar w:fldCharType="end"/>
        </w:r>
      </w:hyperlink>
    </w:p>
    <w:p w14:paraId="2477DD0E"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46" w:history="1">
        <w:r w:rsidR="007F4FA2" w:rsidRPr="0024015C">
          <w:rPr>
            <w:rStyle w:val="Hipercze"/>
            <w:noProof/>
          </w:rPr>
          <w:t>Tabela 13. Ocena terytorializacji celów SRWW 2020</w:t>
        </w:r>
        <w:r w:rsidR="007F4FA2">
          <w:rPr>
            <w:noProof/>
            <w:webHidden/>
          </w:rPr>
          <w:tab/>
        </w:r>
        <w:r w:rsidR="007F4FA2">
          <w:rPr>
            <w:noProof/>
            <w:webHidden/>
          </w:rPr>
          <w:fldChar w:fldCharType="begin"/>
        </w:r>
        <w:r w:rsidR="007F4FA2">
          <w:rPr>
            <w:noProof/>
            <w:webHidden/>
          </w:rPr>
          <w:instrText xml:space="preserve"> PAGEREF _Toc5699546 \h </w:instrText>
        </w:r>
        <w:r w:rsidR="007F4FA2">
          <w:rPr>
            <w:noProof/>
            <w:webHidden/>
          </w:rPr>
        </w:r>
        <w:r w:rsidR="007F4FA2">
          <w:rPr>
            <w:noProof/>
            <w:webHidden/>
          </w:rPr>
          <w:fldChar w:fldCharType="separate"/>
        </w:r>
        <w:r w:rsidR="007F4FA2">
          <w:rPr>
            <w:noProof/>
            <w:webHidden/>
          </w:rPr>
          <w:t>69</w:t>
        </w:r>
        <w:r w:rsidR="007F4FA2">
          <w:rPr>
            <w:noProof/>
            <w:webHidden/>
          </w:rPr>
          <w:fldChar w:fldCharType="end"/>
        </w:r>
      </w:hyperlink>
    </w:p>
    <w:p w14:paraId="25681E55"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47" w:history="1">
        <w:r w:rsidR="007F4FA2" w:rsidRPr="0024015C">
          <w:rPr>
            <w:rStyle w:val="Hipercze"/>
            <w:noProof/>
          </w:rPr>
          <w:t>Tabela 14. Zakres i instrumenty terytorializacji</w:t>
        </w:r>
        <w:r w:rsidR="007F4FA2">
          <w:rPr>
            <w:noProof/>
            <w:webHidden/>
          </w:rPr>
          <w:tab/>
        </w:r>
        <w:r w:rsidR="007F4FA2">
          <w:rPr>
            <w:noProof/>
            <w:webHidden/>
          </w:rPr>
          <w:fldChar w:fldCharType="begin"/>
        </w:r>
        <w:r w:rsidR="007F4FA2">
          <w:rPr>
            <w:noProof/>
            <w:webHidden/>
          </w:rPr>
          <w:instrText xml:space="preserve"> PAGEREF _Toc5699547 \h </w:instrText>
        </w:r>
        <w:r w:rsidR="007F4FA2">
          <w:rPr>
            <w:noProof/>
            <w:webHidden/>
          </w:rPr>
        </w:r>
        <w:r w:rsidR="007F4FA2">
          <w:rPr>
            <w:noProof/>
            <w:webHidden/>
          </w:rPr>
          <w:fldChar w:fldCharType="separate"/>
        </w:r>
        <w:r w:rsidR="007F4FA2">
          <w:rPr>
            <w:noProof/>
            <w:webHidden/>
          </w:rPr>
          <w:t>72</w:t>
        </w:r>
        <w:r w:rsidR="007F4FA2">
          <w:rPr>
            <w:noProof/>
            <w:webHidden/>
          </w:rPr>
          <w:fldChar w:fldCharType="end"/>
        </w:r>
      </w:hyperlink>
    </w:p>
    <w:p w14:paraId="266057DB"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48" w:history="1">
        <w:r w:rsidR="007F4FA2" w:rsidRPr="0024015C">
          <w:rPr>
            <w:rStyle w:val="Hipercze"/>
            <w:noProof/>
          </w:rPr>
          <w:t>Tabela 15. Analiza zmian zróżnicowania wewnątrzregionalnego województwa wielkopolskiego w latach 2014/2016</w:t>
        </w:r>
        <w:r w:rsidR="007F4FA2">
          <w:rPr>
            <w:noProof/>
            <w:webHidden/>
          </w:rPr>
          <w:tab/>
        </w:r>
        <w:r w:rsidR="007F4FA2">
          <w:rPr>
            <w:noProof/>
            <w:webHidden/>
          </w:rPr>
          <w:fldChar w:fldCharType="begin"/>
        </w:r>
        <w:r w:rsidR="007F4FA2">
          <w:rPr>
            <w:noProof/>
            <w:webHidden/>
          </w:rPr>
          <w:instrText xml:space="preserve"> PAGEREF _Toc5699548 \h </w:instrText>
        </w:r>
        <w:r w:rsidR="007F4FA2">
          <w:rPr>
            <w:noProof/>
            <w:webHidden/>
          </w:rPr>
        </w:r>
        <w:r w:rsidR="007F4FA2">
          <w:rPr>
            <w:noProof/>
            <w:webHidden/>
          </w:rPr>
          <w:fldChar w:fldCharType="separate"/>
        </w:r>
        <w:r w:rsidR="007F4FA2">
          <w:rPr>
            <w:noProof/>
            <w:webHidden/>
          </w:rPr>
          <w:t>76</w:t>
        </w:r>
        <w:r w:rsidR="007F4FA2">
          <w:rPr>
            <w:noProof/>
            <w:webHidden/>
          </w:rPr>
          <w:fldChar w:fldCharType="end"/>
        </w:r>
      </w:hyperlink>
    </w:p>
    <w:p w14:paraId="59173025"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49" w:history="1">
        <w:r w:rsidR="007F4FA2" w:rsidRPr="0024015C">
          <w:rPr>
            <w:rStyle w:val="Hipercze"/>
            <w:noProof/>
          </w:rPr>
          <w:t>Tabela 16. Wpływ Samorządu Województwa na realizację celów SRWW 2020</w:t>
        </w:r>
        <w:r w:rsidR="007F4FA2">
          <w:rPr>
            <w:noProof/>
            <w:webHidden/>
          </w:rPr>
          <w:tab/>
        </w:r>
        <w:r w:rsidR="007F4FA2">
          <w:rPr>
            <w:noProof/>
            <w:webHidden/>
          </w:rPr>
          <w:fldChar w:fldCharType="begin"/>
        </w:r>
        <w:r w:rsidR="007F4FA2">
          <w:rPr>
            <w:noProof/>
            <w:webHidden/>
          </w:rPr>
          <w:instrText xml:space="preserve"> PAGEREF _Toc5699549 \h </w:instrText>
        </w:r>
        <w:r w:rsidR="007F4FA2">
          <w:rPr>
            <w:noProof/>
            <w:webHidden/>
          </w:rPr>
        </w:r>
        <w:r w:rsidR="007F4FA2">
          <w:rPr>
            <w:noProof/>
            <w:webHidden/>
          </w:rPr>
          <w:fldChar w:fldCharType="separate"/>
        </w:r>
        <w:r w:rsidR="007F4FA2">
          <w:rPr>
            <w:noProof/>
            <w:webHidden/>
          </w:rPr>
          <w:t>86</w:t>
        </w:r>
        <w:r w:rsidR="007F4FA2">
          <w:rPr>
            <w:noProof/>
            <w:webHidden/>
          </w:rPr>
          <w:fldChar w:fldCharType="end"/>
        </w:r>
      </w:hyperlink>
    </w:p>
    <w:p w14:paraId="699ECF22"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50" w:history="1">
        <w:r w:rsidR="007F4FA2" w:rsidRPr="0024015C">
          <w:rPr>
            <w:rStyle w:val="Hipercze"/>
            <w:noProof/>
          </w:rPr>
          <w:t>Tabela 17. Zmiany wynikające z projektu KSRR</w:t>
        </w:r>
        <w:r w:rsidR="007F4FA2">
          <w:rPr>
            <w:noProof/>
            <w:webHidden/>
          </w:rPr>
          <w:tab/>
        </w:r>
        <w:r w:rsidR="007F4FA2">
          <w:rPr>
            <w:noProof/>
            <w:webHidden/>
          </w:rPr>
          <w:fldChar w:fldCharType="begin"/>
        </w:r>
        <w:r w:rsidR="007F4FA2">
          <w:rPr>
            <w:noProof/>
            <w:webHidden/>
          </w:rPr>
          <w:instrText xml:space="preserve"> PAGEREF _Toc5699550 \h </w:instrText>
        </w:r>
        <w:r w:rsidR="007F4FA2">
          <w:rPr>
            <w:noProof/>
            <w:webHidden/>
          </w:rPr>
        </w:r>
        <w:r w:rsidR="007F4FA2">
          <w:rPr>
            <w:noProof/>
            <w:webHidden/>
          </w:rPr>
          <w:fldChar w:fldCharType="separate"/>
        </w:r>
        <w:r w:rsidR="007F4FA2">
          <w:rPr>
            <w:noProof/>
            <w:webHidden/>
          </w:rPr>
          <w:t>87</w:t>
        </w:r>
        <w:r w:rsidR="007F4FA2">
          <w:rPr>
            <w:noProof/>
            <w:webHidden/>
          </w:rPr>
          <w:fldChar w:fldCharType="end"/>
        </w:r>
      </w:hyperlink>
    </w:p>
    <w:p w14:paraId="0C7D4770"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51" w:history="1">
        <w:r w:rsidR="007F4FA2" w:rsidRPr="0024015C">
          <w:rPr>
            <w:rStyle w:val="Hipercze"/>
            <w:noProof/>
          </w:rPr>
          <w:t>Tabela 18. Kierunki polityki rozwoju zapisane w ustawie, a cele SRWW 2020</w:t>
        </w:r>
        <w:r w:rsidR="007F4FA2">
          <w:rPr>
            <w:noProof/>
            <w:webHidden/>
          </w:rPr>
          <w:tab/>
        </w:r>
        <w:r w:rsidR="007F4FA2">
          <w:rPr>
            <w:noProof/>
            <w:webHidden/>
          </w:rPr>
          <w:fldChar w:fldCharType="begin"/>
        </w:r>
        <w:r w:rsidR="007F4FA2">
          <w:rPr>
            <w:noProof/>
            <w:webHidden/>
          </w:rPr>
          <w:instrText xml:space="preserve"> PAGEREF _Toc5699551 \h </w:instrText>
        </w:r>
        <w:r w:rsidR="007F4FA2">
          <w:rPr>
            <w:noProof/>
            <w:webHidden/>
          </w:rPr>
        </w:r>
        <w:r w:rsidR="007F4FA2">
          <w:rPr>
            <w:noProof/>
            <w:webHidden/>
          </w:rPr>
          <w:fldChar w:fldCharType="separate"/>
        </w:r>
        <w:r w:rsidR="007F4FA2">
          <w:rPr>
            <w:noProof/>
            <w:webHidden/>
          </w:rPr>
          <w:t>90</w:t>
        </w:r>
        <w:r w:rsidR="007F4FA2">
          <w:rPr>
            <w:noProof/>
            <w:webHidden/>
          </w:rPr>
          <w:fldChar w:fldCharType="end"/>
        </w:r>
      </w:hyperlink>
    </w:p>
    <w:p w14:paraId="3D2A3F5F"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52" w:history="1">
        <w:r w:rsidR="007F4FA2" w:rsidRPr="0024015C">
          <w:rPr>
            <w:rStyle w:val="Hipercze"/>
            <w:noProof/>
          </w:rPr>
          <w:t>Tabela 19. Charakterystyka celu generalnego</w:t>
        </w:r>
        <w:r w:rsidR="007F4FA2">
          <w:rPr>
            <w:noProof/>
            <w:webHidden/>
          </w:rPr>
          <w:tab/>
        </w:r>
        <w:r w:rsidR="007F4FA2">
          <w:rPr>
            <w:noProof/>
            <w:webHidden/>
          </w:rPr>
          <w:fldChar w:fldCharType="begin"/>
        </w:r>
        <w:r w:rsidR="007F4FA2">
          <w:rPr>
            <w:noProof/>
            <w:webHidden/>
          </w:rPr>
          <w:instrText xml:space="preserve"> PAGEREF _Toc5699552 \h </w:instrText>
        </w:r>
        <w:r w:rsidR="007F4FA2">
          <w:rPr>
            <w:noProof/>
            <w:webHidden/>
          </w:rPr>
        </w:r>
        <w:r w:rsidR="007F4FA2">
          <w:rPr>
            <w:noProof/>
            <w:webHidden/>
          </w:rPr>
          <w:fldChar w:fldCharType="separate"/>
        </w:r>
        <w:r w:rsidR="007F4FA2">
          <w:rPr>
            <w:noProof/>
            <w:webHidden/>
          </w:rPr>
          <w:t>95</w:t>
        </w:r>
        <w:r w:rsidR="007F4FA2">
          <w:rPr>
            <w:noProof/>
            <w:webHidden/>
          </w:rPr>
          <w:fldChar w:fldCharType="end"/>
        </w:r>
      </w:hyperlink>
    </w:p>
    <w:p w14:paraId="18CDF562"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53" w:history="1">
        <w:r w:rsidR="007F4FA2" w:rsidRPr="0024015C">
          <w:rPr>
            <w:rStyle w:val="Hipercze"/>
            <w:noProof/>
          </w:rPr>
          <w:t>Tabela 20. Ocena wskaźników monitorowania celów strategicznych</w:t>
        </w:r>
        <w:r w:rsidR="007F4FA2">
          <w:rPr>
            <w:noProof/>
            <w:webHidden/>
          </w:rPr>
          <w:tab/>
        </w:r>
        <w:r w:rsidR="007F4FA2">
          <w:rPr>
            <w:noProof/>
            <w:webHidden/>
          </w:rPr>
          <w:fldChar w:fldCharType="begin"/>
        </w:r>
        <w:r w:rsidR="007F4FA2">
          <w:rPr>
            <w:noProof/>
            <w:webHidden/>
          </w:rPr>
          <w:instrText xml:space="preserve"> PAGEREF _Toc5699553 \h </w:instrText>
        </w:r>
        <w:r w:rsidR="007F4FA2">
          <w:rPr>
            <w:noProof/>
            <w:webHidden/>
          </w:rPr>
        </w:r>
        <w:r w:rsidR="007F4FA2">
          <w:rPr>
            <w:noProof/>
            <w:webHidden/>
          </w:rPr>
          <w:fldChar w:fldCharType="separate"/>
        </w:r>
        <w:r w:rsidR="007F4FA2">
          <w:rPr>
            <w:noProof/>
            <w:webHidden/>
          </w:rPr>
          <w:t>95</w:t>
        </w:r>
        <w:r w:rsidR="007F4FA2">
          <w:rPr>
            <w:noProof/>
            <w:webHidden/>
          </w:rPr>
          <w:fldChar w:fldCharType="end"/>
        </w:r>
      </w:hyperlink>
    </w:p>
    <w:p w14:paraId="304B6A39"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54" w:history="1">
        <w:r w:rsidR="007F4FA2" w:rsidRPr="0024015C">
          <w:rPr>
            <w:rStyle w:val="Hipercze"/>
            <w:noProof/>
          </w:rPr>
          <w:t>Tabela 21. Cele operacyjne bez wskaźników</w:t>
        </w:r>
        <w:r w:rsidR="007F4FA2">
          <w:rPr>
            <w:noProof/>
            <w:webHidden/>
          </w:rPr>
          <w:tab/>
        </w:r>
        <w:r w:rsidR="007F4FA2">
          <w:rPr>
            <w:noProof/>
            <w:webHidden/>
          </w:rPr>
          <w:fldChar w:fldCharType="begin"/>
        </w:r>
        <w:r w:rsidR="007F4FA2">
          <w:rPr>
            <w:noProof/>
            <w:webHidden/>
          </w:rPr>
          <w:instrText xml:space="preserve"> PAGEREF _Toc5699554 \h </w:instrText>
        </w:r>
        <w:r w:rsidR="007F4FA2">
          <w:rPr>
            <w:noProof/>
            <w:webHidden/>
          </w:rPr>
        </w:r>
        <w:r w:rsidR="007F4FA2">
          <w:rPr>
            <w:noProof/>
            <w:webHidden/>
          </w:rPr>
          <w:fldChar w:fldCharType="separate"/>
        </w:r>
        <w:r w:rsidR="007F4FA2">
          <w:rPr>
            <w:noProof/>
            <w:webHidden/>
          </w:rPr>
          <w:t>96</w:t>
        </w:r>
        <w:r w:rsidR="007F4FA2">
          <w:rPr>
            <w:noProof/>
            <w:webHidden/>
          </w:rPr>
          <w:fldChar w:fldCharType="end"/>
        </w:r>
      </w:hyperlink>
    </w:p>
    <w:p w14:paraId="5836DA55"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55" w:history="1">
        <w:r w:rsidR="007F4FA2" w:rsidRPr="0024015C">
          <w:rPr>
            <w:rStyle w:val="Hipercze"/>
            <w:noProof/>
          </w:rPr>
          <w:t>Tabela 22. Propozycja modyfikacji katalogu wskaźników</w:t>
        </w:r>
        <w:r w:rsidR="007F4FA2">
          <w:rPr>
            <w:noProof/>
            <w:webHidden/>
          </w:rPr>
          <w:tab/>
        </w:r>
        <w:r w:rsidR="007F4FA2">
          <w:rPr>
            <w:noProof/>
            <w:webHidden/>
          </w:rPr>
          <w:fldChar w:fldCharType="begin"/>
        </w:r>
        <w:r w:rsidR="007F4FA2">
          <w:rPr>
            <w:noProof/>
            <w:webHidden/>
          </w:rPr>
          <w:instrText xml:space="preserve"> PAGEREF _Toc5699555 \h </w:instrText>
        </w:r>
        <w:r w:rsidR="007F4FA2">
          <w:rPr>
            <w:noProof/>
            <w:webHidden/>
          </w:rPr>
        </w:r>
        <w:r w:rsidR="007F4FA2">
          <w:rPr>
            <w:noProof/>
            <w:webHidden/>
          </w:rPr>
          <w:fldChar w:fldCharType="separate"/>
        </w:r>
        <w:r w:rsidR="007F4FA2">
          <w:rPr>
            <w:noProof/>
            <w:webHidden/>
          </w:rPr>
          <w:t>97</w:t>
        </w:r>
        <w:r w:rsidR="007F4FA2">
          <w:rPr>
            <w:noProof/>
            <w:webHidden/>
          </w:rPr>
          <w:fldChar w:fldCharType="end"/>
        </w:r>
      </w:hyperlink>
    </w:p>
    <w:p w14:paraId="4B62CF9C"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56" w:history="1">
        <w:r w:rsidR="007F4FA2" w:rsidRPr="0024015C">
          <w:rPr>
            <w:rStyle w:val="Hipercze"/>
            <w:noProof/>
          </w:rPr>
          <w:t>Tabela 23. Cechy nowej strategii</w:t>
        </w:r>
        <w:r w:rsidR="007F4FA2">
          <w:rPr>
            <w:noProof/>
            <w:webHidden/>
          </w:rPr>
          <w:tab/>
        </w:r>
        <w:r w:rsidR="007F4FA2">
          <w:rPr>
            <w:noProof/>
            <w:webHidden/>
          </w:rPr>
          <w:fldChar w:fldCharType="begin"/>
        </w:r>
        <w:r w:rsidR="007F4FA2">
          <w:rPr>
            <w:noProof/>
            <w:webHidden/>
          </w:rPr>
          <w:instrText xml:space="preserve"> PAGEREF _Toc5699556 \h </w:instrText>
        </w:r>
        <w:r w:rsidR="007F4FA2">
          <w:rPr>
            <w:noProof/>
            <w:webHidden/>
          </w:rPr>
        </w:r>
        <w:r w:rsidR="007F4FA2">
          <w:rPr>
            <w:noProof/>
            <w:webHidden/>
          </w:rPr>
          <w:fldChar w:fldCharType="separate"/>
        </w:r>
        <w:r w:rsidR="007F4FA2">
          <w:rPr>
            <w:noProof/>
            <w:webHidden/>
          </w:rPr>
          <w:t>110</w:t>
        </w:r>
        <w:r w:rsidR="007F4FA2">
          <w:rPr>
            <w:noProof/>
            <w:webHidden/>
          </w:rPr>
          <w:fldChar w:fldCharType="end"/>
        </w:r>
      </w:hyperlink>
    </w:p>
    <w:p w14:paraId="28C3809F"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57" w:history="1">
        <w:r w:rsidR="007F4FA2" w:rsidRPr="0024015C">
          <w:rPr>
            <w:rStyle w:val="Hipercze"/>
            <w:noProof/>
          </w:rPr>
          <w:t>Tabela 24. Postulowane cechy systemu zarządzania realizacją Strategii</w:t>
        </w:r>
        <w:r w:rsidR="007F4FA2">
          <w:rPr>
            <w:noProof/>
            <w:webHidden/>
          </w:rPr>
          <w:tab/>
        </w:r>
        <w:r w:rsidR="007F4FA2">
          <w:rPr>
            <w:noProof/>
            <w:webHidden/>
          </w:rPr>
          <w:fldChar w:fldCharType="begin"/>
        </w:r>
        <w:r w:rsidR="007F4FA2">
          <w:rPr>
            <w:noProof/>
            <w:webHidden/>
          </w:rPr>
          <w:instrText xml:space="preserve"> PAGEREF _Toc5699557 \h </w:instrText>
        </w:r>
        <w:r w:rsidR="007F4FA2">
          <w:rPr>
            <w:noProof/>
            <w:webHidden/>
          </w:rPr>
        </w:r>
        <w:r w:rsidR="007F4FA2">
          <w:rPr>
            <w:noProof/>
            <w:webHidden/>
          </w:rPr>
          <w:fldChar w:fldCharType="separate"/>
        </w:r>
        <w:r w:rsidR="007F4FA2">
          <w:rPr>
            <w:noProof/>
            <w:webHidden/>
          </w:rPr>
          <w:t>115</w:t>
        </w:r>
        <w:r w:rsidR="007F4FA2">
          <w:rPr>
            <w:noProof/>
            <w:webHidden/>
          </w:rPr>
          <w:fldChar w:fldCharType="end"/>
        </w:r>
      </w:hyperlink>
    </w:p>
    <w:p w14:paraId="6F2A0B48"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58" w:history="1">
        <w:r w:rsidR="007F4FA2" w:rsidRPr="0024015C">
          <w:rPr>
            <w:rStyle w:val="Hipercze"/>
            <w:noProof/>
          </w:rPr>
          <w:t>Tabela 25. Kluczowe problemy na styku różnych systemów planowania – opinie marszałków województw</w:t>
        </w:r>
        <w:r w:rsidR="007F4FA2">
          <w:rPr>
            <w:noProof/>
            <w:webHidden/>
          </w:rPr>
          <w:tab/>
        </w:r>
        <w:r w:rsidR="007F4FA2">
          <w:rPr>
            <w:noProof/>
            <w:webHidden/>
          </w:rPr>
          <w:fldChar w:fldCharType="begin"/>
        </w:r>
        <w:r w:rsidR="007F4FA2">
          <w:rPr>
            <w:noProof/>
            <w:webHidden/>
          </w:rPr>
          <w:instrText xml:space="preserve"> PAGEREF _Toc5699558 \h </w:instrText>
        </w:r>
        <w:r w:rsidR="007F4FA2">
          <w:rPr>
            <w:noProof/>
            <w:webHidden/>
          </w:rPr>
        </w:r>
        <w:r w:rsidR="007F4FA2">
          <w:rPr>
            <w:noProof/>
            <w:webHidden/>
          </w:rPr>
          <w:fldChar w:fldCharType="separate"/>
        </w:r>
        <w:r w:rsidR="007F4FA2">
          <w:rPr>
            <w:noProof/>
            <w:webHidden/>
          </w:rPr>
          <w:t>117</w:t>
        </w:r>
        <w:r w:rsidR="007F4FA2">
          <w:rPr>
            <w:noProof/>
            <w:webHidden/>
          </w:rPr>
          <w:fldChar w:fldCharType="end"/>
        </w:r>
      </w:hyperlink>
    </w:p>
    <w:p w14:paraId="3AFFB9D9"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59" w:history="1">
        <w:r w:rsidR="007F4FA2" w:rsidRPr="0024015C">
          <w:rPr>
            <w:rStyle w:val="Hipercze"/>
            <w:noProof/>
          </w:rPr>
          <w:t>Tabela 26. Rekomendacje wynikające z Ewaluacji Strategii odnoszące się do przyszłego RPO Województwa Wielkopolskiego</w:t>
        </w:r>
        <w:r w:rsidR="007F4FA2">
          <w:rPr>
            <w:noProof/>
            <w:webHidden/>
          </w:rPr>
          <w:tab/>
        </w:r>
        <w:r w:rsidR="007F4FA2">
          <w:rPr>
            <w:noProof/>
            <w:webHidden/>
          </w:rPr>
          <w:fldChar w:fldCharType="begin"/>
        </w:r>
        <w:r w:rsidR="007F4FA2">
          <w:rPr>
            <w:noProof/>
            <w:webHidden/>
          </w:rPr>
          <w:instrText xml:space="preserve"> PAGEREF _Toc5699559 \h </w:instrText>
        </w:r>
        <w:r w:rsidR="007F4FA2">
          <w:rPr>
            <w:noProof/>
            <w:webHidden/>
          </w:rPr>
        </w:r>
        <w:r w:rsidR="007F4FA2">
          <w:rPr>
            <w:noProof/>
            <w:webHidden/>
          </w:rPr>
          <w:fldChar w:fldCharType="separate"/>
        </w:r>
        <w:r w:rsidR="007F4FA2">
          <w:rPr>
            <w:noProof/>
            <w:webHidden/>
          </w:rPr>
          <w:t>124</w:t>
        </w:r>
        <w:r w:rsidR="007F4FA2">
          <w:rPr>
            <w:noProof/>
            <w:webHidden/>
          </w:rPr>
          <w:fldChar w:fldCharType="end"/>
        </w:r>
      </w:hyperlink>
    </w:p>
    <w:p w14:paraId="2127F7BA" w14:textId="77777777" w:rsidR="004A3B6E" w:rsidRPr="00EE79EE" w:rsidRDefault="004A3B6E" w:rsidP="00EE79EE">
      <w:pPr>
        <w:spacing w:before="360"/>
        <w:rPr>
          <w:b/>
          <w:lang w:eastAsia="pl-PL"/>
        </w:rPr>
      </w:pPr>
      <w:r>
        <w:rPr>
          <w:lang w:eastAsia="pl-PL"/>
        </w:rPr>
        <w:fldChar w:fldCharType="end"/>
      </w:r>
      <w:r w:rsidR="00EE79EE" w:rsidRPr="00EE79EE">
        <w:rPr>
          <w:b/>
          <w:lang w:eastAsia="pl-PL"/>
        </w:rPr>
        <w:t>Rysunki:</w:t>
      </w:r>
    </w:p>
    <w:p w14:paraId="09371F3D" w14:textId="77777777" w:rsidR="007F4FA2" w:rsidRDefault="004A3B6E">
      <w:pPr>
        <w:pStyle w:val="Spisilustracji"/>
        <w:tabs>
          <w:tab w:val="right" w:leader="dot" w:pos="9062"/>
        </w:tabs>
        <w:rPr>
          <w:rFonts w:eastAsiaTheme="minorEastAsia" w:cstheme="minorBidi"/>
          <w:smallCaps w:val="0"/>
          <w:noProof/>
          <w:color w:val="auto"/>
          <w:sz w:val="22"/>
          <w:szCs w:val="22"/>
          <w:lang w:eastAsia="pl-PL"/>
        </w:rPr>
      </w:pPr>
      <w:r>
        <w:rPr>
          <w:lang w:eastAsia="pl-PL"/>
        </w:rPr>
        <w:fldChar w:fldCharType="begin"/>
      </w:r>
      <w:r>
        <w:rPr>
          <w:lang w:eastAsia="pl-PL"/>
        </w:rPr>
        <w:instrText xml:space="preserve"> TOC \h \z \c "Rysunek" </w:instrText>
      </w:r>
      <w:r>
        <w:rPr>
          <w:lang w:eastAsia="pl-PL"/>
        </w:rPr>
        <w:fldChar w:fldCharType="separate"/>
      </w:r>
      <w:hyperlink w:anchor="_Toc5699560" w:history="1">
        <w:r w:rsidR="007F4FA2" w:rsidRPr="009A52A2">
          <w:rPr>
            <w:rStyle w:val="Hipercze"/>
            <w:noProof/>
          </w:rPr>
          <w:t>Rysunek 1. Ewaluacja w wybranych liczbach</w:t>
        </w:r>
        <w:r w:rsidR="007F4FA2">
          <w:rPr>
            <w:noProof/>
            <w:webHidden/>
          </w:rPr>
          <w:tab/>
        </w:r>
        <w:r w:rsidR="007F4FA2">
          <w:rPr>
            <w:noProof/>
            <w:webHidden/>
          </w:rPr>
          <w:fldChar w:fldCharType="begin"/>
        </w:r>
        <w:r w:rsidR="007F4FA2">
          <w:rPr>
            <w:noProof/>
            <w:webHidden/>
          </w:rPr>
          <w:instrText xml:space="preserve"> PAGEREF _Toc5699560 \h </w:instrText>
        </w:r>
        <w:r w:rsidR="007F4FA2">
          <w:rPr>
            <w:noProof/>
            <w:webHidden/>
          </w:rPr>
        </w:r>
        <w:r w:rsidR="007F4FA2">
          <w:rPr>
            <w:noProof/>
            <w:webHidden/>
          </w:rPr>
          <w:fldChar w:fldCharType="separate"/>
        </w:r>
        <w:r w:rsidR="007F4FA2">
          <w:rPr>
            <w:noProof/>
            <w:webHidden/>
          </w:rPr>
          <w:t>8</w:t>
        </w:r>
        <w:r w:rsidR="007F4FA2">
          <w:rPr>
            <w:noProof/>
            <w:webHidden/>
          </w:rPr>
          <w:fldChar w:fldCharType="end"/>
        </w:r>
      </w:hyperlink>
    </w:p>
    <w:p w14:paraId="22B61CF6"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61" w:history="1">
        <w:r w:rsidR="007F4FA2" w:rsidRPr="009A52A2">
          <w:rPr>
            <w:rStyle w:val="Hipercze"/>
            <w:noProof/>
          </w:rPr>
          <w:t>Rysunek 2. Cykl strategiczny i główne zagadnienia poddane ewaluacji</w:t>
        </w:r>
        <w:r w:rsidR="007F4FA2">
          <w:rPr>
            <w:noProof/>
            <w:webHidden/>
          </w:rPr>
          <w:tab/>
        </w:r>
        <w:r w:rsidR="007F4FA2">
          <w:rPr>
            <w:noProof/>
            <w:webHidden/>
          </w:rPr>
          <w:fldChar w:fldCharType="begin"/>
        </w:r>
        <w:r w:rsidR="007F4FA2">
          <w:rPr>
            <w:noProof/>
            <w:webHidden/>
          </w:rPr>
          <w:instrText xml:space="preserve"> PAGEREF _Toc5699561 \h </w:instrText>
        </w:r>
        <w:r w:rsidR="007F4FA2">
          <w:rPr>
            <w:noProof/>
            <w:webHidden/>
          </w:rPr>
        </w:r>
        <w:r w:rsidR="007F4FA2">
          <w:rPr>
            <w:noProof/>
            <w:webHidden/>
          </w:rPr>
          <w:fldChar w:fldCharType="separate"/>
        </w:r>
        <w:r w:rsidR="007F4FA2">
          <w:rPr>
            <w:noProof/>
            <w:webHidden/>
          </w:rPr>
          <w:t>22</w:t>
        </w:r>
        <w:r w:rsidR="007F4FA2">
          <w:rPr>
            <w:noProof/>
            <w:webHidden/>
          </w:rPr>
          <w:fldChar w:fldCharType="end"/>
        </w:r>
      </w:hyperlink>
    </w:p>
    <w:p w14:paraId="3F81CCE1"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62" w:history="1">
        <w:r w:rsidR="007F4FA2" w:rsidRPr="009A52A2">
          <w:rPr>
            <w:rStyle w:val="Hipercze"/>
            <w:noProof/>
          </w:rPr>
          <w:t>Rysunek 3. Cykl procesu rozwiązywania problemu badawczego</w:t>
        </w:r>
        <w:r w:rsidR="007F4FA2">
          <w:rPr>
            <w:noProof/>
            <w:webHidden/>
          </w:rPr>
          <w:tab/>
        </w:r>
        <w:r w:rsidR="007F4FA2">
          <w:rPr>
            <w:noProof/>
            <w:webHidden/>
          </w:rPr>
          <w:fldChar w:fldCharType="begin"/>
        </w:r>
        <w:r w:rsidR="007F4FA2">
          <w:rPr>
            <w:noProof/>
            <w:webHidden/>
          </w:rPr>
          <w:instrText xml:space="preserve"> PAGEREF _Toc5699562 \h </w:instrText>
        </w:r>
        <w:r w:rsidR="007F4FA2">
          <w:rPr>
            <w:noProof/>
            <w:webHidden/>
          </w:rPr>
        </w:r>
        <w:r w:rsidR="007F4FA2">
          <w:rPr>
            <w:noProof/>
            <w:webHidden/>
          </w:rPr>
          <w:fldChar w:fldCharType="separate"/>
        </w:r>
        <w:r w:rsidR="007F4FA2">
          <w:rPr>
            <w:noProof/>
            <w:webHidden/>
          </w:rPr>
          <w:t>23</w:t>
        </w:r>
        <w:r w:rsidR="007F4FA2">
          <w:rPr>
            <w:noProof/>
            <w:webHidden/>
          </w:rPr>
          <w:fldChar w:fldCharType="end"/>
        </w:r>
      </w:hyperlink>
    </w:p>
    <w:p w14:paraId="719DA076" w14:textId="77777777" w:rsidR="007F4FA2" w:rsidRDefault="00C738EB">
      <w:pPr>
        <w:pStyle w:val="Spisilustracji"/>
        <w:tabs>
          <w:tab w:val="right" w:leader="dot" w:pos="9062"/>
        </w:tabs>
        <w:rPr>
          <w:rFonts w:eastAsiaTheme="minorEastAsia" w:cstheme="minorBidi"/>
          <w:smallCaps w:val="0"/>
          <w:noProof/>
          <w:color w:val="auto"/>
          <w:sz w:val="22"/>
          <w:szCs w:val="22"/>
          <w:lang w:eastAsia="pl-PL"/>
        </w:rPr>
      </w:pPr>
      <w:hyperlink w:anchor="_Toc5699563" w:history="1">
        <w:r w:rsidR="007F4FA2" w:rsidRPr="009A52A2">
          <w:rPr>
            <w:rStyle w:val="Hipercze"/>
            <w:noProof/>
          </w:rPr>
          <w:t>Rysunek 4. Cechy oczekiwanego systemu uwzględniającego planowanie strategiczne, operacyjne i przestrzenne</w:t>
        </w:r>
        <w:r w:rsidR="007F4FA2">
          <w:rPr>
            <w:noProof/>
            <w:webHidden/>
          </w:rPr>
          <w:tab/>
        </w:r>
        <w:r w:rsidR="007F4FA2">
          <w:rPr>
            <w:noProof/>
            <w:webHidden/>
          </w:rPr>
          <w:fldChar w:fldCharType="begin"/>
        </w:r>
        <w:r w:rsidR="007F4FA2">
          <w:rPr>
            <w:noProof/>
            <w:webHidden/>
          </w:rPr>
          <w:instrText xml:space="preserve"> PAGEREF _Toc5699563 \h </w:instrText>
        </w:r>
        <w:r w:rsidR="007F4FA2">
          <w:rPr>
            <w:noProof/>
            <w:webHidden/>
          </w:rPr>
        </w:r>
        <w:r w:rsidR="007F4FA2">
          <w:rPr>
            <w:noProof/>
            <w:webHidden/>
          </w:rPr>
          <w:fldChar w:fldCharType="separate"/>
        </w:r>
        <w:r w:rsidR="007F4FA2">
          <w:rPr>
            <w:noProof/>
            <w:webHidden/>
          </w:rPr>
          <w:t>107</w:t>
        </w:r>
        <w:r w:rsidR="007F4FA2">
          <w:rPr>
            <w:noProof/>
            <w:webHidden/>
          </w:rPr>
          <w:fldChar w:fldCharType="end"/>
        </w:r>
      </w:hyperlink>
    </w:p>
    <w:p w14:paraId="61FBEEEF" w14:textId="77777777" w:rsidR="004A3B6E" w:rsidRPr="00EE79EE" w:rsidRDefault="004A3B6E" w:rsidP="00EE79EE">
      <w:pPr>
        <w:spacing w:before="360"/>
        <w:rPr>
          <w:b/>
          <w:lang w:eastAsia="pl-PL"/>
        </w:rPr>
      </w:pPr>
      <w:r>
        <w:rPr>
          <w:lang w:eastAsia="pl-PL"/>
        </w:rPr>
        <w:fldChar w:fldCharType="end"/>
      </w:r>
      <w:r w:rsidR="00EE79EE" w:rsidRPr="00EE79EE">
        <w:rPr>
          <w:b/>
          <w:lang w:eastAsia="pl-PL"/>
        </w:rPr>
        <w:t>Mapy:</w:t>
      </w:r>
    </w:p>
    <w:p w14:paraId="3F266BB1" w14:textId="77777777" w:rsidR="007F4FA2" w:rsidRDefault="004A3B6E">
      <w:pPr>
        <w:pStyle w:val="Spisilustracji"/>
        <w:tabs>
          <w:tab w:val="right" w:leader="dot" w:pos="9062"/>
        </w:tabs>
        <w:rPr>
          <w:rFonts w:eastAsiaTheme="minorEastAsia" w:cstheme="minorBidi"/>
          <w:smallCaps w:val="0"/>
          <w:noProof/>
          <w:color w:val="auto"/>
          <w:sz w:val="22"/>
          <w:szCs w:val="22"/>
          <w:lang w:eastAsia="pl-PL"/>
        </w:rPr>
      </w:pPr>
      <w:r>
        <w:rPr>
          <w:lang w:eastAsia="pl-PL"/>
        </w:rPr>
        <w:fldChar w:fldCharType="begin"/>
      </w:r>
      <w:r>
        <w:rPr>
          <w:lang w:eastAsia="pl-PL"/>
        </w:rPr>
        <w:instrText xml:space="preserve"> TOC \h \z \c "Mapa" </w:instrText>
      </w:r>
      <w:r>
        <w:rPr>
          <w:lang w:eastAsia="pl-PL"/>
        </w:rPr>
        <w:fldChar w:fldCharType="separate"/>
      </w:r>
      <w:hyperlink w:anchor="_Toc5699564" w:history="1">
        <w:r w:rsidR="007F4FA2" w:rsidRPr="00B015B8">
          <w:rPr>
            <w:rStyle w:val="Hipercze"/>
            <w:noProof/>
          </w:rPr>
          <w:t>Mapa 1. Patronaty Marszałka Województwa Wielkopolskiego w latach 2016-2018 (łącznie 1288)</w:t>
        </w:r>
        <w:r w:rsidR="007F4FA2">
          <w:rPr>
            <w:noProof/>
            <w:webHidden/>
          </w:rPr>
          <w:tab/>
        </w:r>
        <w:r w:rsidR="007F4FA2">
          <w:rPr>
            <w:noProof/>
            <w:webHidden/>
          </w:rPr>
          <w:fldChar w:fldCharType="begin"/>
        </w:r>
        <w:r w:rsidR="007F4FA2">
          <w:rPr>
            <w:noProof/>
            <w:webHidden/>
          </w:rPr>
          <w:instrText xml:space="preserve"> PAGEREF _Toc5699564 \h </w:instrText>
        </w:r>
        <w:r w:rsidR="007F4FA2">
          <w:rPr>
            <w:noProof/>
            <w:webHidden/>
          </w:rPr>
        </w:r>
        <w:r w:rsidR="007F4FA2">
          <w:rPr>
            <w:noProof/>
            <w:webHidden/>
          </w:rPr>
          <w:fldChar w:fldCharType="separate"/>
        </w:r>
        <w:r w:rsidR="007F4FA2">
          <w:rPr>
            <w:noProof/>
            <w:webHidden/>
          </w:rPr>
          <w:t>60</w:t>
        </w:r>
        <w:r w:rsidR="007F4FA2">
          <w:rPr>
            <w:noProof/>
            <w:webHidden/>
          </w:rPr>
          <w:fldChar w:fldCharType="end"/>
        </w:r>
      </w:hyperlink>
    </w:p>
    <w:p w14:paraId="3482AC35" w14:textId="77777777" w:rsidR="004A3B6E" w:rsidRDefault="004A3B6E" w:rsidP="004A3B6E">
      <w:pPr>
        <w:rPr>
          <w:lang w:eastAsia="pl-PL"/>
        </w:rPr>
      </w:pPr>
      <w:r>
        <w:rPr>
          <w:lang w:eastAsia="pl-PL"/>
        </w:rPr>
        <w:fldChar w:fldCharType="end"/>
      </w:r>
    </w:p>
    <w:p w14:paraId="14153902" w14:textId="77777777" w:rsidR="004A3B6E" w:rsidRDefault="004A3B6E" w:rsidP="00302E55">
      <w:pPr>
        <w:rPr>
          <w:lang w:eastAsia="pl-PL"/>
        </w:rPr>
      </w:pPr>
    </w:p>
    <w:p w14:paraId="3FFE2E5B" w14:textId="77777777" w:rsidR="007F4FA2" w:rsidRDefault="007F4FA2">
      <w:pPr>
        <w:rPr>
          <w:lang w:eastAsia="pl-PL"/>
        </w:rPr>
      </w:pPr>
    </w:p>
    <w:sectPr w:rsidR="007F4FA2" w:rsidSect="00FF5F2E">
      <w:headerReference w:type="default" r:id="rId81"/>
      <w:footerReference w:type="default" r:id="rId82"/>
      <w:pgSz w:w="11906" w:h="16838"/>
      <w:pgMar w:top="1123" w:right="1417" w:bottom="1417" w:left="1417" w:header="227" w:footer="415"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A83FB5" w16cid:durableId="20543ED2"/>
  <w16cid:commentId w16cid:paraId="7D8AC088" w16cid:durableId="20543ED4"/>
  <w16cid:commentId w16cid:paraId="5955F598" w16cid:durableId="20543ED5"/>
  <w16cid:commentId w16cid:paraId="50DAFEB5" w16cid:durableId="20543ED6"/>
  <w16cid:commentId w16cid:paraId="50A1CB87" w16cid:durableId="20543ED7"/>
  <w16cid:commentId w16cid:paraId="624A93A3" w16cid:durableId="20543ED8"/>
  <w16cid:commentId w16cid:paraId="39158DF9" w16cid:durableId="20543ED9"/>
  <w16cid:commentId w16cid:paraId="2E33EFC5" w16cid:durableId="20543ED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2B6D50" w14:textId="77777777" w:rsidR="00C738EB" w:rsidRDefault="00C738EB" w:rsidP="00AD2DEA">
      <w:pPr>
        <w:spacing w:after="0" w:line="240" w:lineRule="auto"/>
      </w:pPr>
      <w:r>
        <w:separator/>
      </w:r>
    </w:p>
  </w:endnote>
  <w:endnote w:type="continuationSeparator" w:id="0">
    <w:p w14:paraId="335A104D" w14:textId="77777777" w:rsidR="00C738EB" w:rsidRDefault="00C738EB" w:rsidP="00AD2DEA">
      <w:pPr>
        <w:spacing w:after="0" w:line="240" w:lineRule="auto"/>
      </w:pPr>
      <w:r>
        <w:continuationSeparator/>
      </w:r>
    </w:p>
  </w:endnote>
  <w:endnote w:type="continuationNotice" w:id="1">
    <w:p w14:paraId="4DA8AD9E" w14:textId="77777777" w:rsidR="00C738EB" w:rsidRDefault="00C738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altName w:val="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EE"/>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24943" w14:textId="77777777" w:rsidR="00356C68" w:rsidRPr="00D71B23" w:rsidRDefault="00356C68" w:rsidP="0033285A">
    <w:pPr>
      <w:pStyle w:val="Stopka"/>
      <w:spacing w:after="0" w:line="240" w:lineRule="auto"/>
      <w:jc w:val="center"/>
      <w:rPr>
        <w:color w:val="auto"/>
        <w:sz w:val="16"/>
        <w:szCs w:val="16"/>
      </w:rPr>
    </w:pPr>
    <w:r w:rsidRPr="00D71B23">
      <w:rPr>
        <w:color w:val="auto"/>
        <w:sz w:val="14"/>
        <w:szCs w:val="14"/>
      </w:rPr>
      <w:t>„Projekt finansowany przez Unię Europejską z Europejskiego Funduszu Społecznego i Samorząd Województwa Wielkopolskiego w ramach Wielkopolskiego Regionalnego Programu Operacyjnego na lata 2014-2020”</w:t>
    </w:r>
  </w:p>
  <w:p w14:paraId="6351351A" w14:textId="2BE86EBA" w:rsidR="00356C68" w:rsidRPr="00D71B23" w:rsidRDefault="00356C68" w:rsidP="08BD5E12">
    <w:pPr>
      <w:pStyle w:val="Stopka"/>
      <w:jc w:val="right"/>
      <w:rPr>
        <w:color w:val="auto"/>
        <w:sz w:val="16"/>
        <w:szCs w:val="16"/>
      </w:rPr>
    </w:pPr>
    <w:r w:rsidRPr="00D71B23">
      <w:rPr>
        <w:color w:val="auto"/>
        <w:sz w:val="16"/>
        <w:szCs w:val="16"/>
      </w:rPr>
      <w:t xml:space="preserve">Strona </w:t>
    </w:r>
    <w:r w:rsidRPr="00D71B23">
      <w:rPr>
        <w:b/>
        <w:bCs/>
        <w:noProof/>
        <w:color w:val="auto"/>
        <w:sz w:val="16"/>
        <w:szCs w:val="16"/>
      </w:rPr>
      <w:fldChar w:fldCharType="begin"/>
    </w:r>
    <w:r w:rsidRPr="00D71B23">
      <w:rPr>
        <w:b/>
        <w:bCs/>
        <w:color w:val="auto"/>
        <w:sz w:val="16"/>
        <w:szCs w:val="16"/>
      </w:rPr>
      <w:instrText>PAGE</w:instrText>
    </w:r>
    <w:r w:rsidRPr="00D71B23">
      <w:rPr>
        <w:b/>
        <w:bCs/>
        <w:color w:val="auto"/>
        <w:sz w:val="16"/>
        <w:szCs w:val="16"/>
      </w:rPr>
      <w:fldChar w:fldCharType="separate"/>
    </w:r>
    <w:r w:rsidR="00B826C7">
      <w:rPr>
        <w:b/>
        <w:bCs/>
        <w:noProof/>
        <w:color w:val="auto"/>
        <w:sz w:val="16"/>
        <w:szCs w:val="16"/>
      </w:rPr>
      <w:t>21</w:t>
    </w:r>
    <w:r w:rsidRPr="00D71B23">
      <w:rPr>
        <w:b/>
        <w:bCs/>
        <w:noProof/>
        <w:color w:val="auto"/>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D38EE" w14:textId="77777777" w:rsidR="00356C68" w:rsidRPr="00D71B23" w:rsidRDefault="00356C68" w:rsidP="0033285A">
    <w:pPr>
      <w:pStyle w:val="Stopka"/>
      <w:spacing w:after="0" w:line="240" w:lineRule="auto"/>
      <w:jc w:val="center"/>
      <w:rPr>
        <w:color w:val="auto"/>
        <w:sz w:val="16"/>
        <w:szCs w:val="16"/>
      </w:rPr>
    </w:pPr>
    <w:r w:rsidRPr="00D71B23">
      <w:rPr>
        <w:color w:val="auto"/>
        <w:sz w:val="14"/>
        <w:szCs w:val="14"/>
      </w:rPr>
      <w:t>„Projekt finansowany przez Unię Europejską z Europejskiego Funduszu Społecznego i Samorząd Województwa Wielkopolskiego w ramach Wielkopolskiego Regionalnego Programu Operacyjnego na lata 2014-2020”</w:t>
    </w:r>
  </w:p>
  <w:p w14:paraId="31FE086F" w14:textId="0EC12757" w:rsidR="00356C68" w:rsidRPr="00D71B23" w:rsidRDefault="00356C68" w:rsidP="08BD5E12">
    <w:pPr>
      <w:pStyle w:val="Stopka"/>
      <w:jc w:val="right"/>
      <w:rPr>
        <w:color w:val="auto"/>
        <w:sz w:val="16"/>
        <w:szCs w:val="16"/>
      </w:rPr>
    </w:pPr>
    <w:r w:rsidRPr="00D71B23">
      <w:rPr>
        <w:color w:val="auto"/>
        <w:sz w:val="16"/>
        <w:szCs w:val="16"/>
      </w:rPr>
      <w:t xml:space="preserve">Strona </w:t>
    </w:r>
    <w:r w:rsidRPr="00D71B23">
      <w:rPr>
        <w:b/>
        <w:bCs/>
        <w:noProof/>
        <w:color w:val="auto"/>
        <w:sz w:val="16"/>
        <w:szCs w:val="16"/>
      </w:rPr>
      <w:fldChar w:fldCharType="begin"/>
    </w:r>
    <w:r w:rsidRPr="00D71B23">
      <w:rPr>
        <w:b/>
        <w:bCs/>
        <w:color w:val="auto"/>
        <w:sz w:val="16"/>
        <w:szCs w:val="16"/>
      </w:rPr>
      <w:instrText>PAGE</w:instrText>
    </w:r>
    <w:r w:rsidRPr="00D71B23">
      <w:rPr>
        <w:b/>
        <w:bCs/>
        <w:color w:val="auto"/>
        <w:sz w:val="16"/>
        <w:szCs w:val="16"/>
      </w:rPr>
      <w:fldChar w:fldCharType="separate"/>
    </w:r>
    <w:r w:rsidR="00B826C7">
      <w:rPr>
        <w:b/>
        <w:bCs/>
        <w:noProof/>
        <w:color w:val="auto"/>
        <w:sz w:val="16"/>
        <w:szCs w:val="16"/>
      </w:rPr>
      <w:t>125</w:t>
    </w:r>
    <w:r w:rsidRPr="00D71B23">
      <w:rPr>
        <w:b/>
        <w:bCs/>
        <w:noProof/>
        <w:color w:val="auto"/>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A3F8E" w14:textId="77777777" w:rsidR="00356C68" w:rsidRPr="00D71B23" w:rsidRDefault="00356C68" w:rsidP="0033285A">
    <w:pPr>
      <w:pStyle w:val="Stopka"/>
      <w:spacing w:after="0" w:line="240" w:lineRule="auto"/>
      <w:jc w:val="center"/>
      <w:rPr>
        <w:color w:val="auto"/>
        <w:sz w:val="16"/>
        <w:szCs w:val="16"/>
      </w:rPr>
    </w:pPr>
    <w:r w:rsidRPr="00D71B23">
      <w:rPr>
        <w:color w:val="auto"/>
        <w:sz w:val="14"/>
        <w:szCs w:val="14"/>
      </w:rPr>
      <w:t>„Projekt finansowany przez Unię Europejską z Europejskiego Funduszu Społecznego i Samorząd Województwa Wielkopolskiego w ramach Wielkopolskiego Regionalnego Programu Operacyjnego na lata 2014-2020”</w:t>
    </w:r>
  </w:p>
  <w:p w14:paraId="1C351CB4" w14:textId="2D210B78" w:rsidR="00356C68" w:rsidRPr="00D71B23" w:rsidRDefault="00356C68" w:rsidP="08BD5E12">
    <w:pPr>
      <w:pStyle w:val="Stopka"/>
      <w:jc w:val="right"/>
      <w:rPr>
        <w:color w:val="auto"/>
        <w:sz w:val="16"/>
        <w:szCs w:val="16"/>
      </w:rPr>
    </w:pPr>
    <w:r w:rsidRPr="00D71B23">
      <w:rPr>
        <w:color w:val="auto"/>
        <w:sz w:val="16"/>
        <w:szCs w:val="16"/>
      </w:rPr>
      <w:t xml:space="preserve">Strona </w:t>
    </w:r>
    <w:r w:rsidRPr="00D71B23">
      <w:rPr>
        <w:b/>
        <w:bCs/>
        <w:noProof/>
        <w:color w:val="auto"/>
        <w:sz w:val="16"/>
        <w:szCs w:val="16"/>
      </w:rPr>
      <w:fldChar w:fldCharType="begin"/>
    </w:r>
    <w:r w:rsidRPr="00D71B23">
      <w:rPr>
        <w:b/>
        <w:bCs/>
        <w:color w:val="auto"/>
        <w:sz w:val="16"/>
        <w:szCs w:val="16"/>
      </w:rPr>
      <w:instrText>PAGE</w:instrText>
    </w:r>
    <w:r w:rsidRPr="00D71B23">
      <w:rPr>
        <w:b/>
        <w:bCs/>
        <w:color w:val="auto"/>
        <w:sz w:val="16"/>
        <w:szCs w:val="16"/>
      </w:rPr>
      <w:fldChar w:fldCharType="separate"/>
    </w:r>
    <w:r w:rsidR="00B826C7">
      <w:rPr>
        <w:b/>
        <w:bCs/>
        <w:noProof/>
        <w:color w:val="auto"/>
        <w:sz w:val="16"/>
        <w:szCs w:val="16"/>
      </w:rPr>
      <w:t>129</w:t>
    </w:r>
    <w:r w:rsidRPr="00D71B23">
      <w:rPr>
        <w:b/>
        <w:bCs/>
        <w:noProof/>
        <w:color w:val="auto"/>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4B18D3" w14:textId="77777777" w:rsidR="00C738EB" w:rsidRDefault="00C738EB" w:rsidP="00AD2DEA">
      <w:pPr>
        <w:spacing w:after="0" w:line="240" w:lineRule="auto"/>
      </w:pPr>
      <w:r>
        <w:separator/>
      </w:r>
    </w:p>
  </w:footnote>
  <w:footnote w:type="continuationSeparator" w:id="0">
    <w:p w14:paraId="41947127" w14:textId="77777777" w:rsidR="00C738EB" w:rsidRDefault="00C738EB" w:rsidP="00AD2DEA">
      <w:pPr>
        <w:spacing w:after="0" w:line="240" w:lineRule="auto"/>
      </w:pPr>
      <w:r>
        <w:continuationSeparator/>
      </w:r>
    </w:p>
  </w:footnote>
  <w:footnote w:type="continuationNotice" w:id="1">
    <w:p w14:paraId="1D656892" w14:textId="77777777" w:rsidR="00C738EB" w:rsidRDefault="00C738EB">
      <w:pPr>
        <w:spacing w:after="0" w:line="240" w:lineRule="auto"/>
      </w:pPr>
    </w:p>
  </w:footnote>
  <w:footnote w:id="2">
    <w:p w14:paraId="0CB8B0B9" w14:textId="3DB075EF" w:rsidR="00356C68" w:rsidRDefault="00356C68" w:rsidP="00676894">
      <w:pPr>
        <w:pStyle w:val="Tekstprzypisudolnego"/>
      </w:pPr>
      <w:r>
        <w:rPr>
          <w:rStyle w:val="Odwoanieprzypisudolnego"/>
        </w:rPr>
        <w:footnoteRef/>
      </w:r>
      <w:r>
        <w:t xml:space="preserve"> Wszystkie pytania badawcze zostały wymienione w Koncepcji realizacji badania.</w:t>
      </w:r>
    </w:p>
  </w:footnote>
  <w:footnote w:id="3">
    <w:p w14:paraId="0121FB6D" w14:textId="77777777" w:rsidR="00356C68" w:rsidRDefault="00356C68" w:rsidP="00676894">
      <w:pPr>
        <w:pStyle w:val="Tekstprzypisudolnego"/>
      </w:pPr>
      <w:r>
        <w:rPr>
          <w:rStyle w:val="Odwoanieprzypisudolnego"/>
        </w:rPr>
        <w:footnoteRef/>
      </w:r>
      <w:r>
        <w:t xml:space="preserve"> Szczegółowy wykaz materiałów poddanych analizie znajduje się w Koncepcji realizacji badania.</w:t>
      </w:r>
    </w:p>
  </w:footnote>
  <w:footnote w:id="4">
    <w:p w14:paraId="4F54C87F" w14:textId="77777777" w:rsidR="00356C68" w:rsidRPr="00F42618" w:rsidRDefault="00356C68" w:rsidP="00B171AE">
      <w:pPr>
        <w:pStyle w:val="Tekstprzypisudolnego"/>
        <w:rPr>
          <w:lang w:val="en-GB"/>
        </w:rPr>
      </w:pPr>
      <w:r w:rsidRPr="00F42618">
        <w:rPr>
          <w:rStyle w:val="Odwoanieprzypisudolnego"/>
          <w:lang w:val="en-GB"/>
        </w:rPr>
        <w:footnoteRef/>
      </w:r>
      <w:r w:rsidRPr="00F42618">
        <w:rPr>
          <w:lang w:val="en-GB"/>
        </w:rPr>
        <w:t xml:space="preserve"> All the research questions are provided in the Research Implementation Concept</w:t>
      </w:r>
    </w:p>
  </w:footnote>
  <w:footnote w:id="5">
    <w:p w14:paraId="029C7E4A" w14:textId="77777777" w:rsidR="00356C68" w:rsidRPr="00F42618" w:rsidRDefault="00356C68" w:rsidP="00B171AE">
      <w:pPr>
        <w:pStyle w:val="Tekstprzypisudolnego"/>
        <w:rPr>
          <w:lang w:val="en-GB"/>
        </w:rPr>
      </w:pPr>
      <w:r w:rsidRPr="00F42618">
        <w:rPr>
          <w:rStyle w:val="Odwoanieprzypisudolnego"/>
          <w:lang w:val="en-GB"/>
        </w:rPr>
        <w:footnoteRef/>
      </w:r>
      <w:r w:rsidRPr="00F42618">
        <w:rPr>
          <w:lang w:val="en-GB"/>
        </w:rPr>
        <w:t xml:space="preserve"> A detailed list of the materials subjected to analysis can be found in the Research Implementation Concept</w:t>
      </w:r>
    </w:p>
  </w:footnote>
  <w:footnote w:id="6">
    <w:p w14:paraId="031153EE" w14:textId="29B56404" w:rsidR="00356C68" w:rsidRDefault="00356C68" w:rsidP="00124395">
      <w:pPr>
        <w:pStyle w:val="Tekstprzypisudolnego"/>
      </w:pPr>
      <w:r>
        <w:rPr>
          <w:rStyle w:val="Odwoanieprzypisudolnego"/>
        </w:rPr>
        <w:footnoteRef/>
      </w:r>
      <w:r>
        <w:t xml:space="preserve"> </w:t>
      </w:r>
      <w:r w:rsidRPr="00124395">
        <w:rPr>
          <w:b/>
        </w:rPr>
        <w:t>Uwaga</w:t>
      </w:r>
      <w:r>
        <w:t>: w trakcie ewaluacji posługiwano się elektroniczną wersją Strategii i do niej odnoszą się konkretne przypisy i podane numery stron, na których znajdują się przytaczane fragmenty tekstu.</w:t>
      </w:r>
    </w:p>
  </w:footnote>
  <w:footnote w:id="7">
    <w:p w14:paraId="29E4626E" w14:textId="77777777" w:rsidR="00356C68" w:rsidRDefault="00356C68" w:rsidP="00124395">
      <w:pPr>
        <w:pStyle w:val="Tekstprzypisudolnego"/>
      </w:pPr>
      <w:r>
        <w:rPr>
          <w:rStyle w:val="Odwoanieprzypisudolnego"/>
        </w:rPr>
        <w:footnoteRef/>
      </w:r>
      <w:r>
        <w:t xml:space="preserve"> S</w:t>
      </w:r>
      <w:r w:rsidRPr="00815929">
        <w:t xml:space="preserve">ą szkoły strategiczne, które wcale nie wymagają </w:t>
      </w:r>
      <w:r>
        <w:t>sformalizowanego dokumentu (</w:t>
      </w:r>
      <w:r w:rsidRPr="00815929">
        <w:t>zob. szerzej: Dziemianowicz i in. 2012)</w:t>
      </w:r>
      <w:r>
        <w:t>.</w:t>
      </w:r>
    </w:p>
  </w:footnote>
  <w:footnote w:id="8">
    <w:p w14:paraId="39A0CF48" w14:textId="77777777" w:rsidR="00356C68" w:rsidRDefault="00356C68" w:rsidP="00124395">
      <w:pPr>
        <w:pStyle w:val="Tekstprzypisudolnego"/>
      </w:pPr>
      <w:r>
        <w:rPr>
          <w:rStyle w:val="Odwoanieprzypisudolnego"/>
        </w:rPr>
        <w:footnoteRef/>
      </w:r>
      <w:r>
        <w:t xml:space="preserve"> W istocie model polaryzacyjno-dyfuzyjny jest niczym innym, jak stwierdzeniem naturalnych procesów zachodzących w przestrzeni. Budzi obawy ze względu na fakt, iż najczęściej dostrzegane są negatywne efekty polaryzacji, tj. wymywanie zasobów z regionu w kierunku biegunów wzrostu (głównie metropolii). Z kolei efekty rozprzestrzeniania pozytywnych zjawisk i procesów pochodzących z biegunów na ich otoczenie są zazwyczaj mniej spektakularne, niż sam wzrost bieguna.</w:t>
      </w:r>
    </w:p>
  </w:footnote>
  <w:footnote w:id="9">
    <w:p w14:paraId="693CD545" w14:textId="77777777" w:rsidR="00356C68" w:rsidRDefault="00356C68" w:rsidP="00124395">
      <w:pPr>
        <w:pStyle w:val="Tekstprzypisudolnego"/>
      </w:pPr>
      <w:r>
        <w:rPr>
          <w:rStyle w:val="Odwoanieprzypisudolnego"/>
        </w:rPr>
        <w:footnoteRef/>
      </w:r>
      <w:r>
        <w:t xml:space="preserve"> Ma to również związek z nieznacznie zmodyfikowanymi kryteriami alokacji funduszy w ramach polityki spójności oraz przewidywanym rozszerzeniem definicji regionów przejściowych (przejście od 75-90% PKB średniej unijnej do 75-100% PKB średniej unijnej). </w:t>
      </w:r>
    </w:p>
  </w:footnote>
  <w:footnote w:id="10">
    <w:p w14:paraId="5DCEA948" w14:textId="48840EB6" w:rsidR="00356C68" w:rsidRDefault="00356C68" w:rsidP="00124395">
      <w:pPr>
        <w:pStyle w:val="Tekstprzypisudolnego"/>
      </w:pPr>
      <w:r>
        <w:rPr>
          <w:rStyle w:val="Odwoanieprzypisudolnego"/>
        </w:rPr>
        <w:footnoteRef/>
      </w:r>
      <w:r>
        <w:t xml:space="preserve"> Trendy te zostały wyznaczone w oparciu o krajowe dokumenty strategiczne takie jak: </w:t>
      </w:r>
      <w:r w:rsidRPr="00631503">
        <w:rPr>
          <w:i/>
        </w:rPr>
        <w:t>Długookresowa Strategia Rozwoju Kraju. Trzecia fala nowoczesności 2030</w:t>
      </w:r>
      <w:r>
        <w:t xml:space="preserve">, </w:t>
      </w:r>
      <w:r w:rsidRPr="00631503">
        <w:rPr>
          <w:i/>
        </w:rPr>
        <w:t>Strategia na rzecz Odpowiedzialnego Rozwoju 2030</w:t>
      </w:r>
      <w:r>
        <w:t xml:space="preserve">, </w:t>
      </w:r>
      <w:r w:rsidRPr="00631503">
        <w:rPr>
          <w:i/>
        </w:rPr>
        <w:t>Koncepcja Przestrzennego Zagospodarowania Kraju 2030</w:t>
      </w:r>
      <w:r w:rsidRPr="2A77DCC1">
        <w:t xml:space="preserve">, </w:t>
      </w:r>
      <w:r w:rsidRPr="00631503">
        <w:rPr>
          <w:i/>
        </w:rPr>
        <w:t>Krajowa Strategia Rozwoju Regionalnego 2030</w:t>
      </w:r>
      <w:r>
        <w:t xml:space="preserve"> (projekt)</w:t>
      </w:r>
      <w:r w:rsidRPr="2A77DCC1">
        <w:t xml:space="preserve">, </w:t>
      </w:r>
      <w:r>
        <w:t xml:space="preserve">a także opracowania: </w:t>
      </w:r>
      <w:r w:rsidRPr="00631503">
        <w:rPr>
          <w:i/>
        </w:rPr>
        <w:t>Economic Survey</w:t>
      </w:r>
      <w:r>
        <w:rPr>
          <w:i/>
        </w:rPr>
        <w:t>…</w:t>
      </w:r>
      <w:r w:rsidRPr="00631503">
        <w:t>,</w:t>
      </w:r>
      <w:r w:rsidRPr="00562AF8">
        <w:t xml:space="preserve"> 2018</w:t>
      </w:r>
      <w:r>
        <w:t xml:space="preserve">; </w:t>
      </w:r>
      <w:r w:rsidRPr="00631503">
        <w:rPr>
          <w:rFonts w:eastAsia="Calibri"/>
          <w:i/>
          <w:szCs w:val="22"/>
        </w:rPr>
        <w:t>Key challenges…</w:t>
      </w:r>
      <w:r>
        <w:rPr>
          <w:rFonts w:eastAsia="Calibri"/>
          <w:szCs w:val="22"/>
        </w:rPr>
        <w:t xml:space="preserve">, </w:t>
      </w:r>
      <w:r w:rsidRPr="2A77DCC1">
        <w:rPr>
          <w:rFonts w:eastAsia="Calibri"/>
          <w:szCs w:val="22"/>
        </w:rPr>
        <w:t>2017</w:t>
      </w:r>
      <w:r>
        <w:rPr>
          <w:rFonts w:eastAsia="Calibri"/>
          <w:szCs w:val="22"/>
        </w:rPr>
        <w:t xml:space="preserve">; </w:t>
      </w:r>
      <w:r w:rsidRPr="2A77DCC1">
        <w:rPr>
          <w:rFonts w:eastAsia="Calibri"/>
          <w:szCs w:val="22"/>
        </w:rPr>
        <w:t>Nowakowsk</w:t>
      </w:r>
      <w:r>
        <w:rPr>
          <w:rFonts w:eastAsia="Calibri"/>
          <w:szCs w:val="22"/>
        </w:rPr>
        <w:t>a</w:t>
      </w:r>
      <w:r w:rsidRPr="2A77DCC1">
        <w:rPr>
          <w:rFonts w:eastAsia="Calibri"/>
          <w:szCs w:val="22"/>
        </w:rPr>
        <w:t xml:space="preserve"> 2015</w:t>
      </w:r>
      <w:r>
        <w:rPr>
          <w:rFonts w:eastAsia="Calibri"/>
          <w:szCs w:val="22"/>
        </w:rPr>
        <w:t>.</w:t>
      </w:r>
    </w:p>
  </w:footnote>
  <w:footnote w:id="11">
    <w:p w14:paraId="5C411A9A" w14:textId="4D5EEF08" w:rsidR="00356C68" w:rsidRPr="003C1060" w:rsidRDefault="00356C68" w:rsidP="00124395">
      <w:pPr>
        <w:pStyle w:val="Tekstprzypisudolnego"/>
      </w:pPr>
      <w:r w:rsidRPr="003C1060">
        <w:rPr>
          <w:rStyle w:val="Odwoanieprzypisudolnego"/>
          <w:sz w:val="18"/>
          <w:szCs w:val="18"/>
        </w:rPr>
        <w:footnoteRef/>
      </w:r>
      <w:r w:rsidRPr="003C1060">
        <w:t xml:space="preserve"> </w:t>
      </w:r>
      <w:r w:rsidRPr="003C1060">
        <w:rPr>
          <w:lang w:eastAsia="pl-PL"/>
        </w:rPr>
        <w:t xml:space="preserve">Wprawdzie w SRWW 2020 autorzy wskazują: </w:t>
      </w:r>
      <w:r w:rsidRPr="004A6111">
        <w:rPr>
          <w:i/>
          <w:lang w:eastAsia="pl-PL"/>
        </w:rPr>
        <w:t>Z porównania silnych i słabych stron wynika, iż generalnie rzecz biorąc, cechy te są względnie równoważne. Choć nie ma obiektywnej metody ilościowego ujęcia tego porównania można stwierdzić, iż stopniowo zaczynają przeważać silne strony Wielkopolski nad jej stronami słabymi</w:t>
      </w:r>
      <w:r w:rsidRPr="003C1060">
        <w:rPr>
          <w:lang w:eastAsia="pl-PL"/>
        </w:rPr>
        <w:t xml:space="preserve"> (s. 56)</w:t>
      </w:r>
      <w:r>
        <w:rPr>
          <w:lang w:eastAsia="pl-PL"/>
        </w:rPr>
        <w:t xml:space="preserve">, </w:t>
      </w:r>
      <w:r w:rsidRPr="000869A2">
        <w:rPr>
          <w:lang w:eastAsia="pl-PL"/>
        </w:rPr>
        <w:t>jednak wniosek ten wydaje się być nie do końca uprawniony.</w:t>
      </w:r>
    </w:p>
  </w:footnote>
  <w:footnote w:id="12">
    <w:p w14:paraId="7D77AA14" w14:textId="326B79A4" w:rsidR="00356C68" w:rsidRPr="00D07DD1" w:rsidRDefault="00356C68">
      <w:pPr>
        <w:pStyle w:val="Tekstprzypisudolnego"/>
      </w:pPr>
      <w:r>
        <w:rPr>
          <w:rStyle w:val="Odwoanieprzypisudolnego"/>
        </w:rPr>
        <w:footnoteRef/>
      </w:r>
      <w:r w:rsidRPr="0046174F">
        <w:t xml:space="preserve"> W efekcie wiele szans i</w:t>
      </w:r>
      <w:r>
        <w:t xml:space="preserve"> zagrożeń miało charakter wewnętrzny, czyli zaliczone powinny być do silnych lub słabych stron. </w:t>
      </w:r>
      <w:r w:rsidRPr="00CD534C">
        <w:t>Mimo że obserwowana różnica na wykresie jest na poziomie 4 p</w:t>
      </w:r>
      <w:r>
        <w:t xml:space="preserve">p., to rzeczywista różnica w proporcji między udziałem elementów wewnętrznych i zewnętrznych w obu analizach SWOT jest większa. </w:t>
      </w:r>
    </w:p>
  </w:footnote>
  <w:footnote w:id="13">
    <w:p w14:paraId="48A671EB" w14:textId="77777777" w:rsidR="00356C68" w:rsidRPr="00EE2EEA" w:rsidRDefault="00356C68" w:rsidP="00124395">
      <w:pPr>
        <w:pStyle w:val="Tekstprzypisudolnego"/>
        <w:rPr>
          <w:lang w:val="en-GB"/>
        </w:rPr>
      </w:pPr>
      <w:r>
        <w:rPr>
          <w:rStyle w:val="Odwoanieprzypisudolnego"/>
        </w:rPr>
        <w:footnoteRef/>
      </w:r>
      <w:r w:rsidRPr="00EE2EEA">
        <w:rPr>
          <w:lang w:val="en-GB"/>
        </w:rPr>
        <w:t xml:space="preserve"> Od ang.: specific, measurable, achievable, relevant, time-bound.</w:t>
      </w:r>
    </w:p>
  </w:footnote>
  <w:footnote w:id="14">
    <w:p w14:paraId="346D1465" w14:textId="77777777" w:rsidR="00356C68" w:rsidRDefault="00356C68" w:rsidP="00124395">
      <w:pPr>
        <w:pStyle w:val="Tekstprzypisudolnego"/>
      </w:pPr>
      <w:r>
        <w:rPr>
          <w:rStyle w:val="Odwoanieprzypisudolnego"/>
        </w:rPr>
        <w:footnoteRef/>
      </w:r>
      <w:r>
        <w:t xml:space="preserve"> W nawiązaniu do zapisów w rozdziale – Co chciałby i</w:t>
      </w:r>
      <w:r w:rsidRPr="00F70E4A">
        <w:t xml:space="preserve"> co może robić samorząd województwa</w:t>
      </w:r>
      <w:r>
        <w:t>.</w:t>
      </w:r>
    </w:p>
  </w:footnote>
  <w:footnote w:id="15">
    <w:p w14:paraId="57B4403B" w14:textId="77777777" w:rsidR="00356C68" w:rsidRDefault="00356C68" w:rsidP="00124395">
      <w:pPr>
        <w:pStyle w:val="Tekstprzypisudolnego"/>
      </w:pPr>
      <w:r>
        <w:rPr>
          <w:rStyle w:val="Odwoanieprzypisudolnego"/>
        </w:rPr>
        <w:footnoteRef/>
      </w:r>
      <w:r>
        <w:t xml:space="preserve"> </w:t>
      </w:r>
      <w:r w:rsidRPr="000B3274">
        <w:t>Klasyfikacja została wykonana poprzez przyporządkowanie rozdziałów klasyfikacji budżetowej do określonego zadania oraz w podziale na grupy wydatków ze względu na kryterium znaczenia dla procesów rozwojowych.</w:t>
      </w:r>
    </w:p>
  </w:footnote>
  <w:footnote w:id="16">
    <w:p w14:paraId="2D3FCCC0" w14:textId="342AAAD4" w:rsidR="00356C68" w:rsidRDefault="00356C68">
      <w:pPr>
        <w:pStyle w:val="Tekstprzypisudolnego"/>
      </w:pPr>
      <w:r>
        <w:rPr>
          <w:rStyle w:val="Odwoanieprzypisudolnego"/>
        </w:rPr>
        <w:footnoteRef/>
      </w:r>
      <w:r>
        <w:t xml:space="preserve"> </w:t>
      </w:r>
      <w:r w:rsidRPr="00120B27">
        <w:t>W polskich finansach publicznych stosuje się raczej termin „dotacja celowa”. Jednak w literaturze i w praktyce spotykamy się również z pojęciem „grant”, dlatego terminy te traktowane będą w niniejszym raporcie jako synonimy.</w:t>
      </w:r>
      <w:r>
        <w:t xml:space="preserve"> </w:t>
      </w:r>
    </w:p>
  </w:footnote>
  <w:footnote w:id="17">
    <w:p w14:paraId="3A7D9AB7" w14:textId="20837CA2" w:rsidR="00356C68" w:rsidRDefault="00356C68" w:rsidP="00124395">
      <w:pPr>
        <w:pStyle w:val="Tekstprzypisudolnego"/>
      </w:pPr>
      <w:r>
        <w:rPr>
          <w:rStyle w:val="Odwoanieprzypisudolnego"/>
        </w:rPr>
        <w:footnoteRef/>
      </w:r>
      <w:r>
        <w:t xml:space="preserve"> SWW w ramach WRPO 2014+ ogłosił konkurs na p</w:t>
      </w:r>
      <w:r w:rsidRPr="003E2C08">
        <w:t>rojekty dotyczące usuwania i unieszkodliwiania wyrobów zawierających azbest i/lub infrastruktury do zbiórki i utylizacji wyrobów zawierających azbest.</w:t>
      </w:r>
      <w:r>
        <w:t xml:space="preserve"> Nie udało się jednak  wydać środków w ramach tego konkursu ze względu na brak zainteresowania po stronie beneficjentów.</w:t>
      </w:r>
    </w:p>
  </w:footnote>
  <w:footnote w:id="18">
    <w:p w14:paraId="3910F399" w14:textId="77777777" w:rsidR="00356C68" w:rsidRDefault="00356C68" w:rsidP="00124395">
      <w:pPr>
        <w:pStyle w:val="Tekstprzypisudolnego"/>
      </w:pPr>
      <w:r>
        <w:rPr>
          <w:rStyle w:val="Odwoanieprzypisudolnego"/>
        </w:rPr>
        <w:footnoteRef/>
      </w:r>
      <w:r>
        <w:t xml:space="preserve"> </w:t>
      </w:r>
      <w:r w:rsidRPr="00B8107D">
        <w:t xml:space="preserve"> Ranking Wspólnoty</w:t>
      </w:r>
      <w:r>
        <w:t>:</w:t>
      </w:r>
      <w:r w:rsidRPr="00B8107D">
        <w:t xml:space="preserve"> „Zadłużenie i zdolność kredytowa samorządów 2014-2016”, Wspólnota Nr 23/2017</w:t>
      </w:r>
      <w:r>
        <w:t>.</w:t>
      </w:r>
    </w:p>
  </w:footnote>
  <w:footnote w:id="19">
    <w:p w14:paraId="5A5DF817" w14:textId="77777777" w:rsidR="00356C68" w:rsidRDefault="00356C68" w:rsidP="00124395">
      <w:pPr>
        <w:pStyle w:val="Tekstprzypisudolnego"/>
      </w:pPr>
      <w:r>
        <w:rPr>
          <w:rStyle w:val="Odwoanieprzypisudolnego"/>
        </w:rPr>
        <w:footnoteRef/>
      </w:r>
      <w:r>
        <w:t xml:space="preserve"> Alokacja dla ZIT, ZIT regionalnego oraz Mandatów Terytorialnych, w WRPO 2014+ przygotowana została w podziale na konkretne osie priorytetowe – podział ten przeprowadzono na podstawie zapisów Strategii ZIT i dokumentów dla poszczególnych mandatów terytorialnych.</w:t>
      </w:r>
    </w:p>
  </w:footnote>
  <w:footnote w:id="20">
    <w:p w14:paraId="62037D72" w14:textId="391B2DAB" w:rsidR="00356C68" w:rsidRDefault="00356C68" w:rsidP="00124395">
      <w:pPr>
        <w:pStyle w:val="Tekstprzypisudolnego"/>
      </w:pPr>
      <w:r>
        <w:rPr>
          <w:rStyle w:val="Odwoanieprzypisudolnego"/>
        </w:rPr>
        <w:footnoteRef/>
      </w:r>
      <w:r>
        <w:t xml:space="preserve"> Należy pamiętać, że delimitacja obszarów w SRWW 2020 była prowadzona w oparciu o jednostki gminne, co pozwala uchwycić rzeczywiste zróżnicowanie regionu. Poniższą analizę ze względu na poziom analiz (powiaty) oraz krótką perspektywę czasową (lata 2014/2016, w których de facto dopiero rozpoczynano realizację założeń SRWW 2020 i WRPO 2014+) należy więc traktować poglądowo. </w:t>
      </w:r>
    </w:p>
  </w:footnote>
  <w:footnote w:id="21">
    <w:p w14:paraId="6DBF08E6" w14:textId="6C5D905D" w:rsidR="00356C68" w:rsidRDefault="00356C68" w:rsidP="00124395">
      <w:pPr>
        <w:pStyle w:val="Tekstprzypisudolnego"/>
      </w:pPr>
      <w:r>
        <w:rPr>
          <w:rStyle w:val="Odwoanieprzypisudolnego"/>
        </w:rPr>
        <w:footnoteRef/>
      </w:r>
      <w:r>
        <w:t xml:space="preserve"> Dialog ten prowadzony był </w:t>
      </w:r>
      <w:r>
        <w:rPr>
          <w:lang w:eastAsia="pl-PL"/>
        </w:rPr>
        <w:t>głównie z przedstawicielami samorządów gmin ościennych, a w mniejszym stopniu z innymi podmiotami/partnerami społeczno-gospodarczymi.</w:t>
      </w:r>
    </w:p>
  </w:footnote>
  <w:footnote w:id="22">
    <w:p w14:paraId="3AF05841" w14:textId="3A92DC83" w:rsidR="00356C68" w:rsidRDefault="00356C68" w:rsidP="00124395">
      <w:pPr>
        <w:pStyle w:val="Tekstprzypisudolnego"/>
      </w:pPr>
      <w:r>
        <w:rPr>
          <w:rStyle w:val="Odwoanieprzypisudolnego"/>
        </w:rPr>
        <w:footnoteRef/>
      </w:r>
      <w:r>
        <w:t xml:space="preserve"> W przypadku infrastruktury B+R można było finansować: przedsięwzięcia wpisujące się w krajowe lub regionalne inteligentne specjalizacje. Przedsięwzięcia w zakresie infrastruktury B+R charakteryzuje możliwie wysoki stopień współfinansowania ze źródeł prywatnych. Nowe przedsięwzięcie w zakresie infrastruktury B+R w jednostkach naukowych może otrzymać wsparcie jedynie, gdy stanowi element dopełniający istniejące zasoby, w tym powstałe w ramach wsparcia udzielonego w perspektywie 2007-2013.</w:t>
      </w:r>
    </w:p>
  </w:footnote>
  <w:footnote w:id="23">
    <w:p w14:paraId="31768749" w14:textId="732828C0" w:rsidR="00356C68" w:rsidRDefault="00356C68" w:rsidP="00124395">
      <w:pPr>
        <w:pStyle w:val="Tekstprzypisudolnego"/>
      </w:pPr>
      <w:r>
        <w:rPr>
          <w:rStyle w:val="Odwoanieprzypisudolnego"/>
        </w:rPr>
        <w:footnoteRef/>
      </w:r>
      <w:r>
        <w:t xml:space="preserve"> To nieporozumienie zostało omówione na str. 68-69 niniejszego raportu. Należy zwrócić uwagę na fakt, że mandaty były przygotowywane przed pojawieniem się wytycznych do RPO. </w:t>
      </w:r>
      <w:r w:rsidRPr="00C21E2D">
        <w:t xml:space="preserve">Ponadto Mandat Terytorialny dla Obszaru Strategicznej Interwencji z założenia miał być dokumentem o charakterze strategiczno-operacyjnym, zawierającym: część diagnostyczną, następnie wynikającą z niej analizę barier i potencjałów rozwojowych, dalej zaś część dotyczą planowanych przedsięwzięć – tzw. fiszki projektów. Fiszki zawarte w dokumencie mają przede wszystkim charakter pomocniczy, służą do określenia skali i pola interwencji, są </w:t>
      </w:r>
      <w:r>
        <w:t>z</w:t>
      </w:r>
      <w:r w:rsidRPr="00C21E2D">
        <w:t>atem sformułowane na pewnym poziomie ogólności. Nie należy mylić pojęcia fiszki z pojęciem wniosku o dofinansowanie</w:t>
      </w:r>
      <w:r>
        <w:t>.</w:t>
      </w:r>
    </w:p>
  </w:footnote>
  <w:footnote w:id="24">
    <w:p w14:paraId="2B30D4E9" w14:textId="77777777" w:rsidR="00356C68" w:rsidRDefault="00356C68" w:rsidP="00124395">
      <w:pPr>
        <w:pStyle w:val="Tekstprzypisudolnego"/>
      </w:pPr>
      <w:r>
        <w:rPr>
          <w:rStyle w:val="Odwoanieprzypisudolnego"/>
        </w:rPr>
        <w:footnoteRef/>
      </w:r>
      <w:r>
        <w:t xml:space="preserve"> W zestawie dokumentów kierunkowych są m.in. </w:t>
      </w:r>
      <w:r w:rsidRPr="0041296C">
        <w:t>Plan zagospodarowania przestrzennego województwa wielkopolskiego</w:t>
      </w:r>
      <w:r>
        <w:t xml:space="preserve">, </w:t>
      </w:r>
      <w:r w:rsidRPr="0041296C">
        <w:t>Regionalna Strategia Innowacji dla Wielkopolski na lata 2015-2020</w:t>
      </w:r>
      <w:r>
        <w:t xml:space="preserve">; </w:t>
      </w:r>
      <w:r w:rsidRPr="0041296C">
        <w:t>Program ochrony środowiska województwa wielkopolskiego na lata 2016-2020</w:t>
      </w:r>
      <w:r>
        <w:t xml:space="preserve"> oraz </w:t>
      </w:r>
      <w:r w:rsidRPr="0041296C">
        <w:t>Plan gospodarki odpadami dla województwa wielkopolskiego na lata 2016-2022 wraz z planem inwestycyjnym</w:t>
      </w:r>
      <w:r>
        <w:t>, zatem dokumenty o różnym poziomie szczegółowości i posiadające różne nazwy (strategia, program, plan). Wśród dokumentów operacyjnych również widoczna jest duża różnorodność zarówno na poziomie rodzaju dokumentu (program, prognoza, plan), jak i horyzontu czasowego (niektóre z dokumentów określono do roku 2030, a nawet 2032, część z dokumentów ma określony krótszy termin realizacji, a część nie ma tego okresu określonego).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E5B52" w14:textId="77777777" w:rsidR="00356C68" w:rsidRDefault="00356C68">
    <w:pPr>
      <w:pStyle w:val="Nagwek"/>
    </w:pPr>
    <w:r w:rsidRPr="003326F6">
      <w:rPr>
        <w:noProof/>
        <w:sz w:val="4"/>
        <w:szCs w:val="4"/>
        <w:lang w:eastAsia="pl-PL"/>
      </w:rPr>
      <w:drawing>
        <wp:inline distT="0" distB="0" distL="0" distR="0" wp14:anchorId="5247AC42" wp14:editId="22A83420">
          <wp:extent cx="5753100" cy="594360"/>
          <wp:effectExtent l="0" t="0" r="0" b="0"/>
          <wp:docPr id="5" name="Obraz 5" descr="EFSI_Samorzad_kolor-P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SI_Samorzad_kolor-PL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43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92FD5" w14:textId="77777777" w:rsidR="00356C68" w:rsidRDefault="00356C68" w:rsidP="00370948">
    <w:pPr>
      <w:pStyle w:val="Nagwek"/>
      <w:jc w:val="center"/>
    </w:pPr>
    <w:r w:rsidRPr="003326F6">
      <w:rPr>
        <w:noProof/>
        <w:sz w:val="4"/>
        <w:szCs w:val="4"/>
        <w:lang w:eastAsia="pl-PL"/>
      </w:rPr>
      <w:drawing>
        <wp:inline distT="0" distB="0" distL="0" distR="0" wp14:anchorId="30ACED80" wp14:editId="75200949">
          <wp:extent cx="5753100" cy="594360"/>
          <wp:effectExtent l="0" t="0" r="0" b="0"/>
          <wp:docPr id="286099758" name="Obraz 286099758" descr="EFSI_Samorzad_kolor-P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SI_Samorzad_kolor-PL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436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B21C8" w14:textId="3D6F1544" w:rsidR="00356C68" w:rsidRDefault="00356C68">
    <w:pPr>
      <w:pStyle w:val="Nagwek"/>
    </w:pPr>
    <w:r w:rsidRPr="003326F6">
      <w:rPr>
        <w:noProof/>
        <w:sz w:val="4"/>
        <w:szCs w:val="4"/>
        <w:lang w:eastAsia="pl-PL"/>
      </w:rPr>
      <w:drawing>
        <wp:inline distT="0" distB="0" distL="0" distR="0" wp14:anchorId="0EDBDF89" wp14:editId="241B3123">
          <wp:extent cx="5753100" cy="594360"/>
          <wp:effectExtent l="0" t="0" r="0" b="0"/>
          <wp:docPr id="286099759" name="Obraz 286099759" descr="EFSI_Samorzad_kolor-P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SI_Samorzad_kolor-PL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43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ind w:left="360" w:hanging="360"/>
      </w:pPr>
      <w:rPr>
        <w:rFonts w:ascii="Symbol" w:hAnsi="Symbol" w:cs="Symbol" w:hint="default"/>
      </w:rPr>
    </w:lvl>
  </w:abstractNum>
  <w:abstractNum w:abstractNumId="1" w15:restartNumberingAfterBreak="0">
    <w:nsid w:val="00EF1141"/>
    <w:multiLevelType w:val="hybridMultilevel"/>
    <w:tmpl w:val="4C8E776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0A6F17"/>
    <w:multiLevelType w:val="hybridMultilevel"/>
    <w:tmpl w:val="1ADE1B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7271EC"/>
    <w:multiLevelType w:val="hybridMultilevel"/>
    <w:tmpl w:val="85B86BA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4153E71"/>
    <w:multiLevelType w:val="hybridMultilevel"/>
    <w:tmpl w:val="4F388820"/>
    <w:lvl w:ilvl="0" w:tplc="FC7E147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7E76480"/>
    <w:multiLevelType w:val="hybridMultilevel"/>
    <w:tmpl w:val="64DA6C3C"/>
    <w:lvl w:ilvl="0" w:tplc="0415000D">
      <w:start w:val="1"/>
      <w:numFmt w:val="bullet"/>
      <w:lvlText w:val=""/>
      <w:lvlJc w:val="left"/>
      <w:pPr>
        <w:ind w:left="720" w:hanging="360"/>
      </w:pPr>
      <w:rPr>
        <w:rFonts w:ascii="Wingdings" w:hAnsi="Wingdings" w:hint="default"/>
      </w:rPr>
    </w:lvl>
    <w:lvl w:ilvl="1" w:tplc="962A3100">
      <w:start w:val="1"/>
      <w:numFmt w:val="bullet"/>
      <w:lvlText w:val="o"/>
      <w:lvlJc w:val="left"/>
      <w:pPr>
        <w:ind w:left="1440" w:hanging="360"/>
      </w:pPr>
      <w:rPr>
        <w:rFonts w:ascii="Courier New" w:hAnsi="Courier New" w:hint="default"/>
      </w:rPr>
    </w:lvl>
    <w:lvl w:ilvl="2" w:tplc="4F12C630">
      <w:start w:val="1"/>
      <w:numFmt w:val="bullet"/>
      <w:lvlText w:val=""/>
      <w:lvlJc w:val="left"/>
      <w:pPr>
        <w:ind w:left="2160" w:hanging="360"/>
      </w:pPr>
      <w:rPr>
        <w:rFonts w:ascii="Wingdings" w:hAnsi="Wingdings" w:hint="default"/>
      </w:rPr>
    </w:lvl>
    <w:lvl w:ilvl="3" w:tplc="950093AE">
      <w:start w:val="1"/>
      <w:numFmt w:val="bullet"/>
      <w:lvlText w:val=""/>
      <w:lvlJc w:val="left"/>
      <w:pPr>
        <w:ind w:left="2880" w:hanging="360"/>
      </w:pPr>
      <w:rPr>
        <w:rFonts w:ascii="Symbol" w:hAnsi="Symbol" w:hint="default"/>
      </w:rPr>
    </w:lvl>
    <w:lvl w:ilvl="4" w:tplc="22A0C77C">
      <w:start w:val="1"/>
      <w:numFmt w:val="bullet"/>
      <w:lvlText w:val="o"/>
      <w:lvlJc w:val="left"/>
      <w:pPr>
        <w:ind w:left="3600" w:hanging="360"/>
      </w:pPr>
      <w:rPr>
        <w:rFonts w:ascii="Courier New" w:hAnsi="Courier New" w:hint="default"/>
      </w:rPr>
    </w:lvl>
    <w:lvl w:ilvl="5" w:tplc="9A32F210">
      <w:start w:val="1"/>
      <w:numFmt w:val="bullet"/>
      <w:lvlText w:val=""/>
      <w:lvlJc w:val="left"/>
      <w:pPr>
        <w:ind w:left="4320" w:hanging="360"/>
      </w:pPr>
      <w:rPr>
        <w:rFonts w:ascii="Wingdings" w:hAnsi="Wingdings" w:hint="default"/>
      </w:rPr>
    </w:lvl>
    <w:lvl w:ilvl="6" w:tplc="DCF8CC86">
      <w:start w:val="1"/>
      <w:numFmt w:val="bullet"/>
      <w:lvlText w:val=""/>
      <w:lvlJc w:val="left"/>
      <w:pPr>
        <w:ind w:left="5040" w:hanging="360"/>
      </w:pPr>
      <w:rPr>
        <w:rFonts w:ascii="Symbol" w:hAnsi="Symbol" w:hint="default"/>
      </w:rPr>
    </w:lvl>
    <w:lvl w:ilvl="7" w:tplc="E9FE6EBC">
      <w:start w:val="1"/>
      <w:numFmt w:val="bullet"/>
      <w:lvlText w:val="o"/>
      <w:lvlJc w:val="left"/>
      <w:pPr>
        <w:ind w:left="5760" w:hanging="360"/>
      </w:pPr>
      <w:rPr>
        <w:rFonts w:ascii="Courier New" w:hAnsi="Courier New" w:hint="default"/>
      </w:rPr>
    </w:lvl>
    <w:lvl w:ilvl="8" w:tplc="BD641B28">
      <w:start w:val="1"/>
      <w:numFmt w:val="bullet"/>
      <w:lvlText w:val=""/>
      <w:lvlJc w:val="left"/>
      <w:pPr>
        <w:ind w:left="6480" w:hanging="360"/>
      </w:pPr>
      <w:rPr>
        <w:rFonts w:ascii="Wingdings" w:hAnsi="Wingdings" w:hint="default"/>
      </w:rPr>
    </w:lvl>
  </w:abstractNum>
  <w:abstractNum w:abstractNumId="6" w15:restartNumberingAfterBreak="0">
    <w:nsid w:val="07FC0200"/>
    <w:multiLevelType w:val="hybridMultilevel"/>
    <w:tmpl w:val="C3FE72B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4842F27"/>
    <w:multiLevelType w:val="hybridMultilevel"/>
    <w:tmpl w:val="618CD2F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5B4440C"/>
    <w:multiLevelType w:val="hybridMultilevel"/>
    <w:tmpl w:val="78BEB13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61022D8"/>
    <w:multiLevelType w:val="hybridMultilevel"/>
    <w:tmpl w:val="E3DC1FE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9785233"/>
    <w:multiLevelType w:val="hybridMultilevel"/>
    <w:tmpl w:val="80A012C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E427CCC"/>
    <w:multiLevelType w:val="hybridMultilevel"/>
    <w:tmpl w:val="DE88BA2A"/>
    <w:lvl w:ilvl="0" w:tplc="F6E8E612">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15:restartNumberingAfterBreak="0">
    <w:nsid w:val="200B0351"/>
    <w:multiLevelType w:val="hybridMultilevel"/>
    <w:tmpl w:val="D1F8B31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268360A"/>
    <w:multiLevelType w:val="hybridMultilevel"/>
    <w:tmpl w:val="38AEC8E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39828BA"/>
    <w:multiLevelType w:val="hybridMultilevel"/>
    <w:tmpl w:val="518CFD2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57F3F70"/>
    <w:multiLevelType w:val="hybridMultilevel"/>
    <w:tmpl w:val="8594F766"/>
    <w:lvl w:ilvl="0" w:tplc="1E0E7FD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705202F"/>
    <w:multiLevelType w:val="hybridMultilevel"/>
    <w:tmpl w:val="BBFC5C60"/>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71F06D4"/>
    <w:multiLevelType w:val="hybridMultilevel"/>
    <w:tmpl w:val="A6CEC5D8"/>
    <w:lvl w:ilvl="0" w:tplc="7188CB4C">
      <w:start w:val="1"/>
      <w:numFmt w:val="decimal"/>
      <w:lvlText w:val="(%1)"/>
      <w:lvlJc w:val="left"/>
      <w:pPr>
        <w:ind w:left="677" w:hanging="360"/>
      </w:pPr>
      <w:rPr>
        <w:rFonts w:hint="default"/>
      </w:rPr>
    </w:lvl>
    <w:lvl w:ilvl="1" w:tplc="04150019" w:tentative="1">
      <w:start w:val="1"/>
      <w:numFmt w:val="lowerLetter"/>
      <w:lvlText w:val="%2."/>
      <w:lvlJc w:val="left"/>
      <w:pPr>
        <w:ind w:left="1397" w:hanging="360"/>
      </w:pPr>
    </w:lvl>
    <w:lvl w:ilvl="2" w:tplc="0415001B" w:tentative="1">
      <w:start w:val="1"/>
      <w:numFmt w:val="lowerRoman"/>
      <w:lvlText w:val="%3."/>
      <w:lvlJc w:val="right"/>
      <w:pPr>
        <w:ind w:left="2117" w:hanging="180"/>
      </w:pPr>
    </w:lvl>
    <w:lvl w:ilvl="3" w:tplc="0415000F" w:tentative="1">
      <w:start w:val="1"/>
      <w:numFmt w:val="decimal"/>
      <w:lvlText w:val="%4."/>
      <w:lvlJc w:val="left"/>
      <w:pPr>
        <w:ind w:left="2837" w:hanging="360"/>
      </w:pPr>
    </w:lvl>
    <w:lvl w:ilvl="4" w:tplc="04150019" w:tentative="1">
      <w:start w:val="1"/>
      <w:numFmt w:val="lowerLetter"/>
      <w:lvlText w:val="%5."/>
      <w:lvlJc w:val="left"/>
      <w:pPr>
        <w:ind w:left="3557" w:hanging="360"/>
      </w:pPr>
    </w:lvl>
    <w:lvl w:ilvl="5" w:tplc="0415001B" w:tentative="1">
      <w:start w:val="1"/>
      <w:numFmt w:val="lowerRoman"/>
      <w:lvlText w:val="%6."/>
      <w:lvlJc w:val="right"/>
      <w:pPr>
        <w:ind w:left="4277" w:hanging="180"/>
      </w:pPr>
    </w:lvl>
    <w:lvl w:ilvl="6" w:tplc="0415000F" w:tentative="1">
      <w:start w:val="1"/>
      <w:numFmt w:val="decimal"/>
      <w:lvlText w:val="%7."/>
      <w:lvlJc w:val="left"/>
      <w:pPr>
        <w:ind w:left="4997" w:hanging="360"/>
      </w:pPr>
    </w:lvl>
    <w:lvl w:ilvl="7" w:tplc="04150019" w:tentative="1">
      <w:start w:val="1"/>
      <w:numFmt w:val="lowerLetter"/>
      <w:lvlText w:val="%8."/>
      <w:lvlJc w:val="left"/>
      <w:pPr>
        <w:ind w:left="5717" w:hanging="360"/>
      </w:pPr>
    </w:lvl>
    <w:lvl w:ilvl="8" w:tplc="0415001B" w:tentative="1">
      <w:start w:val="1"/>
      <w:numFmt w:val="lowerRoman"/>
      <w:lvlText w:val="%9."/>
      <w:lvlJc w:val="right"/>
      <w:pPr>
        <w:ind w:left="6437" w:hanging="180"/>
      </w:pPr>
    </w:lvl>
  </w:abstractNum>
  <w:abstractNum w:abstractNumId="18" w15:restartNumberingAfterBreak="0">
    <w:nsid w:val="29031BC4"/>
    <w:multiLevelType w:val="multilevel"/>
    <w:tmpl w:val="EE2A83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D280AFE"/>
    <w:multiLevelType w:val="hybridMultilevel"/>
    <w:tmpl w:val="A76096F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EC16DBD"/>
    <w:multiLevelType w:val="hybridMultilevel"/>
    <w:tmpl w:val="8594F766"/>
    <w:lvl w:ilvl="0" w:tplc="1E0E7FD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EED634A"/>
    <w:multiLevelType w:val="hybridMultilevel"/>
    <w:tmpl w:val="B51A51B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00E4D5D"/>
    <w:multiLevelType w:val="hybridMultilevel"/>
    <w:tmpl w:val="3FB0AE9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0711034"/>
    <w:multiLevelType w:val="hybridMultilevel"/>
    <w:tmpl w:val="8B1643D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1251903"/>
    <w:multiLevelType w:val="hybridMultilevel"/>
    <w:tmpl w:val="98A2EAAC"/>
    <w:lvl w:ilvl="0" w:tplc="0415000F">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5" w15:restartNumberingAfterBreak="0">
    <w:nsid w:val="329F3532"/>
    <w:multiLevelType w:val="hybridMultilevel"/>
    <w:tmpl w:val="41DE3AA0"/>
    <w:lvl w:ilvl="0" w:tplc="0415000D">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51B086B"/>
    <w:multiLevelType w:val="hybridMultilevel"/>
    <w:tmpl w:val="618E1D2A"/>
    <w:lvl w:ilvl="0" w:tplc="0415000D">
      <w:start w:val="1"/>
      <w:numFmt w:val="bullet"/>
      <w:lvlText w:val=""/>
      <w:lvlJc w:val="left"/>
      <w:pPr>
        <w:ind w:left="720" w:hanging="360"/>
      </w:pPr>
      <w:rPr>
        <w:rFonts w:ascii="Wingdings" w:hAnsi="Wingdings" w:hint="default"/>
      </w:rPr>
    </w:lvl>
    <w:lvl w:ilvl="1" w:tplc="0415000D">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7125DF3"/>
    <w:multiLevelType w:val="hybridMultilevel"/>
    <w:tmpl w:val="2E48E53E"/>
    <w:lvl w:ilvl="0" w:tplc="1FC08B8A">
      <w:start w:val="1"/>
      <w:numFmt w:val="decimal"/>
      <w:pStyle w:val="Akapitzlist"/>
      <w:lvlText w:val="Problem badawczy %1."/>
      <w:lvlJc w:val="left"/>
      <w:pPr>
        <w:ind w:left="644" w:hanging="360"/>
      </w:pPr>
      <w:rPr>
        <w:rFonts w:hint="default"/>
        <w:b/>
      </w:rPr>
    </w:lvl>
    <w:lvl w:ilvl="1" w:tplc="04150019" w:tentative="1">
      <w:start w:val="1"/>
      <w:numFmt w:val="lowerLetter"/>
      <w:lvlText w:val="%2."/>
      <w:lvlJc w:val="left"/>
      <w:pPr>
        <w:ind w:left="2357" w:hanging="360"/>
      </w:pPr>
    </w:lvl>
    <w:lvl w:ilvl="2" w:tplc="0415001B" w:tentative="1">
      <w:start w:val="1"/>
      <w:numFmt w:val="lowerRoman"/>
      <w:lvlText w:val="%3."/>
      <w:lvlJc w:val="right"/>
      <w:pPr>
        <w:ind w:left="3077" w:hanging="180"/>
      </w:pPr>
    </w:lvl>
    <w:lvl w:ilvl="3" w:tplc="0415000F" w:tentative="1">
      <w:start w:val="1"/>
      <w:numFmt w:val="decimal"/>
      <w:lvlText w:val="%4."/>
      <w:lvlJc w:val="left"/>
      <w:pPr>
        <w:ind w:left="3797" w:hanging="360"/>
      </w:pPr>
    </w:lvl>
    <w:lvl w:ilvl="4" w:tplc="04150019" w:tentative="1">
      <w:start w:val="1"/>
      <w:numFmt w:val="lowerLetter"/>
      <w:lvlText w:val="%5."/>
      <w:lvlJc w:val="left"/>
      <w:pPr>
        <w:ind w:left="4517" w:hanging="360"/>
      </w:pPr>
    </w:lvl>
    <w:lvl w:ilvl="5" w:tplc="0415001B" w:tentative="1">
      <w:start w:val="1"/>
      <w:numFmt w:val="lowerRoman"/>
      <w:lvlText w:val="%6."/>
      <w:lvlJc w:val="right"/>
      <w:pPr>
        <w:ind w:left="5237" w:hanging="180"/>
      </w:pPr>
    </w:lvl>
    <w:lvl w:ilvl="6" w:tplc="0415000F" w:tentative="1">
      <w:start w:val="1"/>
      <w:numFmt w:val="decimal"/>
      <w:lvlText w:val="%7."/>
      <w:lvlJc w:val="left"/>
      <w:pPr>
        <w:ind w:left="5957" w:hanging="360"/>
      </w:pPr>
    </w:lvl>
    <w:lvl w:ilvl="7" w:tplc="04150019" w:tentative="1">
      <w:start w:val="1"/>
      <w:numFmt w:val="lowerLetter"/>
      <w:lvlText w:val="%8."/>
      <w:lvlJc w:val="left"/>
      <w:pPr>
        <w:ind w:left="6677" w:hanging="360"/>
      </w:pPr>
    </w:lvl>
    <w:lvl w:ilvl="8" w:tplc="0415001B" w:tentative="1">
      <w:start w:val="1"/>
      <w:numFmt w:val="lowerRoman"/>
      <w:lvlText w:val="%9."/>
      <w:lvlJc w:val="right"/>
      <w:pPr>
        <w:ind w:left="7397" w:hanging="180"/>
      </w:pPr>
    </w:lvl>
  </w:abstractNum>
  <w:abstractNum w:abstractNumId="28" w15:restartNumberingAfterBreak="0">
    <w:nsid w:val="38A2559F"/>
    <w:multiLevelType w:val="hybridMultilevel"/>
    <w:tmpl w:val="66A893B2"/>
    <w:lvl w:ilvl="0" w:tplc="0415000D">
      <w:start w:val="1"/>
      <w:numFmt w:val="bullet"/>
      <w:lvlText w:val=""/>
      <w:lvlJc w:val="left"/>
      <w:pPr>
        <w:ind w:left="720" w:hanging="360"/>
      </w:pPr>
      <w:rPr>
        <w:rFonts w:ascii="Wingdings" w:hAnsi="Wingdings" w:hint="default"/>
      </w:rPr>
    </w:lvl>
    <w:lvl w:ilvl="1" w:tplc="B1E8A208">
      <w:numFmt w:val="bullet"/>
      <w:lvlText w:val="·"/>
      <w:lvlJc w:val="left"/>
      <w:pPr>
        <w:ind w:left="1440" w:hanging="360"/>
      </w:pPr>
      <w:rPr>
        <w:rFonts w:ascii="Calibri" w:eastAsia="Times New Roman"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AB27A3C"/>
    <w:multiLevelType w:val="hybridMultilevel"/>
    <w:tmpl w:val="53043A44"/>
    <w:lvl w:ilvl="0" w:tplc="18889630">
      <w:start w:val="1"/>
      <w:numFmt w:val="bullet"/>
      <w:lvlText w:val=""/>
      <w:lvlJc w:val="left"/>
      <w:pPr>
        <w:ind w:left="720" w:hanging="360"/>
      </w:pPr>
      <w:rPr>
        <w:rFonts w:ascii="Wingdings" w:hAnsi="Wingdings" w:hint="default"/>
        <w:color w:val="4472C4" w:themeColor="accent5"/>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BA15B72"/>
    <w:multiLevelType w:val="hybridMultilevel"/>
    <w:tmpl w:val="C070FC6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C31709F"/>
    <w:multiLevelType w:val="hybridMultilevel"/>
    <w:tmpl w:val="6550196C"/>
    <w:lvl w:ilvl="0" w:tplc="BF2EED5A">
      <w:start w:val="1"/>
      <w:numFmt w:val="decimal"/>
      <w:pStyle w:val="Rekomendacja"/>
      <w:lvlText w:val="Rekomendacja %1."/>
      <w:lvlJc w:val="left"/>
      <w:pPr>
        <w:ind w:left="720" w:hanging="360"/>
      </w:pPr>
      <w:rPr>
        <w:rFonts w:ascii="Calibri" w:hAnsi="Calibri" w:hint="default"/>
        <w:b/>
        <w:i w:val="0"/>
        <w:caps w:val="0"/>
        <w:strike w:val="0"/>
        <w:dstrike w:val="0"/>
        <w:vanish w:val="0"/>
        <w:color w:val="002060"/>
        <w:sz w:val="24"/>
        <w:szCs w:val="24"/>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23402D2"/>
    <w:multiLevelType w:val="multilevel"/>
    <w:tmpl w:val="D8C209E8"/>
    <w:lvl w:ilvl="0">
      <w:start w:val="1"/>
      <w:numFmt w:val="decimal"/>
      <w:pStyle w:val="Nagwek1"/>
      <w:lvlText w:val="%1."/>
      <w:lvlJc w:val="left"/>
      <w:pPr>
        <w:ind w:left="397" w:hanging="397"/>
      </w:pPr>
      <w:rPr>
        <w:rFonts w:hint="default"/>
        <w:color w:val="auto"/>
      </w:rPr>
    </w:lvl>
    <w:lvl w:ilvl="1">
      <w:start w:val="1"/>
      <w:numFmt w:val="decimal"/>
      <w:pStyle w:val="Nagwek2"/>
      <w:lvlText w:val="%1.%2."/>
      <w:lvlJc w:val="left"/>
      <w:pPr>
        <w:ind w:left="1673" w:hanging="680"/>
      </w:pPr>
      <w:rPr>
        <w:rFonts w:hint="default"/>
        <w:color w:val="auto"/>
      </w:rPr>
    </w:lvl>
    <w:lvl w:ilvl="2">
      <w:start w:val="1"/>
      <w:numFmt w:val="decimal"/>
      <w:pStyle w:val="Nagwek3"/>
      <w:lvlText w:val="%1.%2.%3."/>
      <w:lvlJc w:val="left"/>
      <w:pPr>
        <w:ind w:left="1080" w:hanging="1080"/>
      </w:pPr>
      <w:rPr>
        <w:rFonts w:hint="default"/>
      </w:rPr>
    </w:lvl>
    <w:lvl w:ilvl="3">
      <w:start w:val="1"/>
      <w:numFmt w:val="decimal"/>
      <w:pStyle w:val="Nagwek4"/>
      <w:lvlText w:val="%1.%2.%3.%4."/>
      <w:lvlJc w:val="left"/>
      <w:pPr>
        <w:ind w:left="1440" w:hanging="1440"/>
      </w:pPr>
      <w:rPr>
        <w:rFonts w:hint="default"/>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Calibri" w:eastAsia="Times New Roman" w:hAnsi="Calibri" w:cs="Calibri"/>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2B854FD"/>
    <w:multiLevelType w:val="hybridMultilevel"/>
    <w:tmpl w:val="8594F766"/>
    <w:lvl w:ilvl="0" w:tplc="1E0E7FD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3A6774E"/>
    <w:multiLevelType w:val="hybridMultilevel"/>
    <w:tmpl w:val="786C5D58"/>
    <w:lvl w:ilvl="0" w:tplc="0415000D">
      <w:start w:val="1"/>
      <w:numFmt w:val="bullet"/>
      <w:lvlText w:val=""/>
      <w:lvlJc w:val="left"/>
      <w:pPr>
        <w:ind w:left="818" w:hanging="360"/>
      </w:pPr>
      <w:rPr>
        <w:rFonts w:ascii="Wingdings" w:hAnsi="Wingdings"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5" w15:restartNumberingAfterBreak="0">
    <w:nsid w:val="46777AEE"/>
    <w:multiLevelType w:val="hybridMultilevel"/>
    <w:tmpl w:val="D626FF10"/>
    <w:lvl w:ilvl="0" w:tplc="0680CB1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6CD56F9"/>
    <w:multiLevelType w:val="hybridMultilevel"/>
    <w:tmpl w:val="A74486F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9E93957"/>
    <w:multiLevelType w:val="hybridMultilevel"/>
    <w:tmpl w:val="09F2E9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FC9050C"/>
    <w:multiLevelType w:val="hybridMultilevel"/>
    <w:tmpl w:val="5A2E0B58"/>
    <w:styleLink w:val="StylNumerowanie1"/>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12258DB"/>
    <w:multiLevelType w:val="hybridMultilevel"/>
    <w:tmpl w:val="1720A1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5E21043"/>
    <w:multiLevelType w:val="multilevel"/>
    <w:tmpl w:val="DCEA9588"/>
    <w:lvl w:ilvl="0">
      <w:start w:val="1"/>
      <w:numFmt w:val="decimal"/>
      <w:pStyle w:val="Wniosek"/>
      <w:lvlText w:val="Wniosek %1."/>
      <w:lvlJc w:val="left"/>
      <w:pPr>
        <w:ind w:left="4613" w:hanging="360"/>
      </w:pPr>
      <w:rPr>
        <w:rFonts w:ascii="Calibri" w:hAnsi="Calibri" w:hint="default"/>
        <w:b/>
        <w:i w:val="0"/>
        <w:caps w:val="0"/>
        <w:strike w:val="0"/>
        <w:dstrike w:val="0"/>
        <w:vanish w:val="0"/>
        <w:color w:val="0070C0"/>
        <w:sz w:val="24"/>
        <w:szCs w:val="24"/>
        <w:vertAlign w:val="baseline"/>
      </w:rPr>
    </w:lvl>
    <w:lvl w:ilvl="1">
      <w:start w:val="1"/>
      <w:numFmt w:val="lowerLetter"/>
      <w:lvlText w:val="%2."/>
      <w:lvlJc w:val="left"/>
      <w:pPr>
        <w:ind w:left="5333" w:hanging="360"/>
      </w:pPr>
      <w:rPr>
        <w:rFonts w:hint="default"/>
      </w:rPr>
    </w:lvl>
    <w:lvl w:ilvl="2">
      <w:start w:val="1"/>
      <w:numFmt w:val="lowerRoman"/>
      <w:lvlText w:val="%3."/>
      <w:lvlJc w:val="right"/>
      <w:pPr>
        <w:ind w:left="6053" w:hanging="180"/>
      </w:pPr>
      <w:rPr>
        <w:rFonts w:hint="default"/>
      </w:rPr>
    </w:lvl>
    <w:lvl w:ilvl="3">
      <w:start w:val="1"/>
      <w:numFmt w:val="decimal"/>
      <w:lvlText w:val="%4."/>
      <w:lvlJc w:val="left"/>
      <w:pPr>
        <w:ind w:left="6773" w:hanging="360"/>
      </w:pPr>
      <w:rPr>
        <w:rFonts w:hint="default"/>
      </w:rPr>
    </w:lvl>
    <w:lvl w:ilvl="4">
      <w:start w:val="1"/>
      <w:numFmt w:val="lowerLetter"/>
      <w:lvlText w:val="%5."/>
      <w:lvlJc w:val="left"/>
      <w:pPr>
        <w:ind w:left="7493" w:hanging="360"/>
      </w:pPr>
      <w:rPr>
        <w:rFonts w:hint="default"/>
      </w:rPr>
    </w:lvl>
    <w:lvl w:ilvl="5">
      <w:start w:val="1"/>
      <w:numFmt w:val="decimal"/>
      <w:lvlText w:val="Wniosek %6."/>
      <w:lvlJc w:val="right"/>
      <w:pPr>
        <w:ind w:left="8213" w:hanging="180"/>
      </w:pPr>
      <w:rPr>
        <w:rFonts w:hint="default"/>
      </w:rPr>
    </w:lvl>
    <w:lvl w:ilvl="6">
      <w:start w:val="1"/>
      <w:numFmt w:val="decimal"/>
      <w:lvlText w:val="%7."/>
      <w:lvlJc w:val="left"/>
      <w:pPr>
        <w:ind w:left="8933" w:hanging="360"/>
      </w:pPr>
      <w:rPr>
        <w:rFonts w:hint="default"/>
      </w:rPr>
    </w:lvl>
    <w:lvl w:ilvl="7">
      <w:start w:val="1"/>
      <w:numFmt w:val="lowerLetter"/>
      <w:lvlText w:val="%8."/>
      <w:lvlJc w:val="left"/>
      <w:pPr>
        <w:ind w:left="9653" w:hanging="360"/>
      </w:pPr>
      <w:rPr>
        <w:rFonts w:hint="default"/>
      </w:rPr>
    </w:lvl>
    <w:lvl w:ilvl="8">
      <w:start w:val="1"/>
      <w:numFmt w:val="lowerRoman"/>
      <w:lvlText w:val="%9."/>
      <w:lvlJc w:val="right"/>
      <w:pPr>
        <w:ind w:left="10373" w:hanging="180"/>
      </w:pPr>
      <w:rPr>
        <w:rFonts w:hint="default"/>
      </w:rPr>
    </w:lvl>
  </w:abstractNum>
  <w:abstractNum w:abstractNumId="41" w15:restartNumberingAfterBreak="0">
    <w:nsid w:val="58AA41C5"/>
    <w:multiLevelType w:val="hybridMultilevel"/>
    <w:tmpl w:val="CBA0464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A6F12E7"/>
    <w:multiLevelType w:val="hybridMultilevel"/>
    <w:tmpl w:val="B3D2044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CA27408"/>
    <w:multiLevelType w:val="hybridMultilevel"/>
    <w:tmpl w:val="BA8AB39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D375912"/>
    <w:multiLevelType w:val="hybridMultilevel"/>
    <w:tmpl w:val="86E0E1F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E96710C"/>
    <w:multiLevelType w:val="hybridMultilevel"/>
    <w:tmpl w:val="5D7E2FE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2314E60"/>
    <w:multiLevelType w:val="hybridMultilevel"/>
    <w:tmpl w:val="16BA4C4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27E529E"/>
    <w:multiLevelType w:val="hybridMultilevel"/>
    <w:tmpl w:val="9D38EDE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2912009"/>
    <w:multiLevelType w:val="hybridMultilevel"/>
    <w:tmpl w:val="4044C91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4AD0522"/>
    <w:multiLevelType w:val="hybridMultilevel"/>
    <w:tmpl w:val="447A655A"/>
    <w:lvl w:ilvl="0" w:tplc="18889630">
      <w:start w:val="1"/>
      <w:numFmt w:val="bullet"/>
      <w:lvlText w:val=""/>
      <w:lvlJc w:val="left"/>
      <w:pPr>
        <w:ind w:left="720" w:hanging="360"/>
      </w:pPr>
      <w:rPr>
        <w:rFonts w:ascii="Wingdings" w:hAnsi="Wingdings" w:hint="default"/>
        <w:color w:val="4472C4" w:themeColor="accent5"/>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6B61562"/>
    <w:multiLevelType w:val="hybridMultilevel"/>
    <w:tmpl w:val="78084CF2"/>
    <w:lvl w:ilvl="0" w:tplc="9B9076AE">
      <w:start w:val="1"/>
      <w:numFmt w:val="decimal"/>
      <w:lvlText w:val="(%1)"/>
      <w:lvlJc w:val="left"/>
      <w:pPr>
        <w:ind w:left="674" w:hanging="360"/>
      </w:pPr>
      <w:rPr>
        <w:rFonts w:hint="default"/>
      </w:rPr>
    </w:lvl>
    <w:lvl w:ilvl="1" w:tplc="04150019" w:tentative="1">
      <w:start w:val="1"/>
      <w:numFmt w:val="lowerLetter"/>
      <w:lvlText w:val="%2."/>
      <w:lvlJc w:val="left"/>
      <w:pPr>
        <w:ind w:left="1394" w:hanging="360"/>
      </w:pPr>
    </w:lvl>
    <w:lvl w:ilvl="2" w:tplc="0415001B" w:tentative="1">
      <w:start w:val="1"/>
      <w:numFmt w:val="lowerRoman"/>
      <w:lvlText w:val="%3."/>
      <w:lvlJc w:val="right"/>
      <w:pPr>
        <w:ind w:left="2114" w:hanging="180"/>
      </w:pPr>
    </w:lvl>
    <w:lvl w:ilvl="3" w:tplc="0415000F" w:tentative="1">
      <w:start w:val="1"/>
      <w:numFmt w:val="decimal"/>
      <w:lvlText w:val="%4."/>
      <w:lvlJc w:val="left"/>
      <w:pPr>
        <w:ind w:left="2834" w:hanging="360"/>
      </w:pPr>
    </w:lvl>
    <w:lvl w:ilvl="4" w:tplc="04150019" w:tentative="1">
      <w:start w:val="1"/>
      <w:numFmt w:val="lowerLetter"/>
      <w:lvlText w:val="%5."/>
      <w:lvlJc w:val="left"/>
      <w:pPr>
        <w:ind w:left="3554" w:hanging="360"/>
      </w:pPr>
    </w:lvl>
    <w:lvl w:ilvl="5" w:tplc="0415001B" w:tentative="1">
      <w:start w:val="1"/>
      <w:numFmt w:val="lowerRoman"/>
      <w:lvlText w:val="%6."/>
      <w:lvlJc w:val="right"/>
      <w:pPr>
        <w:ind w:left="4274" w:hanging="180"/>
      </w:pPr>
    </w:lvl>
    <w:lvl w:ilvl="6" w:tplc="0415000F" w:tentative="1">
      <w:start w:val="1"/>
      <w:numFmt w:val="decimal"/>
      <w:lvlText w:val="%7."/>
      <w:lvlJc w:val="left"/>
      <w:pPr>
        <w:ind w:left="4994" w:hanging="360"/>
      </w:pPr>
    </w:lvl>
    <w:lvl w:ilvl="7" w:tplc="04150019" w:tentative="1">
      <w:start w:val="1"/>
      <w:numFmt w:val="lowerLetter"/>
      <w:lvlText w:val="%8."/>
      <w:lvlJc w:val="left"/>
      <w:pPr>
        <w:ind w:left="5714" w:hanging="360"/>
      </w:pPr>
    </w:lvl>
    <w:lvl w:ilvl="8" w:tplc="0415001B" w:tentative="1">
      <w:start w:val="1"/>
      <w:numFmt w:val="lowerRoman"/>
      <w:lvlText w:val="%9."/>
      <w:lvlJc w:val="right"/>
      <w:pPr>
        <w:ind w:left="6434" w:hanging="180"/>
      </w:pPr>
    </w:lvl>
  </w:abstractNum>
  <w:abstractNum w:abstractNumId="51" w15:restartNumberingAfterBreak="0">
    <w:nsid w:val="67AA3380"/>
    <w:multiLevelType w:val="hybridMultilevel"/>
    <w:tmpl w:val="A6CEC5D8"/>
    <w:lvl w:ilvl="0" w:tplc="7188CB4C">
      <w:start w:val="1"/>
      <w:numFmt w:val="decimal"/>
      <w:lvlText w:val="(%1)"/>
      <w:lvlJc w:val="left"/>
      <w:pPr>
        <w:ind w:left="677" w:hanging="360"/>
      </w:pPr>
      <w:rPr>
        <w:rFonts w:hint="default"/>
      </w:rPr>
    </w:lvl>
    <w:lvl w:ilvl="1" w:tplc="04150019" w:tentative="1">
      <w:start w:val="1"/>
      <w:numFmt w:val="lowerLetter"/>
      <w:lvlText w:val="%2."/>
      <w:lvlJc w:val="left"/>
      <w:pPr>
        <w:ind w:left="1397" w:hanging="360"/>
      </w:pPr>
    </w:lvl>
    <w:lvl w:ilvl="2" w:tplc="0415001B" w:tentative="1">
      <w:start w:val="1"/>
      <w:numFmt w:val="lowerRoman"/>
      <w:lvlText w:val="%3."/>
      <w:lvlJc w:val="right"/>
      <w:pPr>
        <w:ind w:left="2117" w:hanging="180"/>
      </w:pPr>
    </w:lvl>
    <w:lvl w:ilvl="3" w:tplc="0415000F" w:tentative="1">
      <w:start w:val="1"/>
      <w:numFmt w:val="decimal"/>
      <w:lvlText w:val="%4."/>
      <w:lvlJc w:val="left"/>
      <w:pPr>
        <w:ind w:left="2837" w:hanging="360"/>
      </w:pPr>
    </w:lvl>
    <w:lvl w:ilvl="4" w:tplc="04150019" w:tentative="1">
      <w:start w:val="1"/>
      <w:numFmt w:val="lowerLetter"/>
      <w:lvlText w:val="%5."/>
      <w:lvlJc w:val="left"/>
      <w:pPr>
        <w:ind w:left="3557" w:hanging="360"/>
      </w:pPr>
    </w:lvl>
    <w:lvl w:ilvl="5" w:tplc="0415001B" w:tentative="1">
      <w:start w:val="1"/>
      <w:numFmt w:val="lowerRoman"/>
      <w:lvlText w:val="%6."/>
      <w:lvlJc w:val="right"/>
      <w:pPr>
        <w:ind w:left="4277" w:hanging="180"/>
      </w:pPr>
    </w:lvl>
    <w:lvl w:ilvl="6" w:tplc="0415000F" w:tentative="1">
      <w:start w:val="1"/>
      <w:numFmt w:val="decimal"/>
      <w:lvlText w:val="%7."/>
      <w:lvlJc w:val="left"/>
      <w:pPr>
        <w:ind w:left="4997" w:hanging="360"/>
      </w:pPr>
    </w:lvl>
    <w:lvl w:ilvl="7" w:tplc="04150019" w:tentative="1">
      <w:start w:val="1"/>
      <w:numFmt w:val="lowerLetter"/>
      <w:lvlText w:val="%8."/>
      <w:lvlJc w:val="left"/>
      <w:pPr>
        <w:ind w:left="5717" w:hanging="360"/>
      </w:pPr>
    </w:lvl>
    <w:lvl w:ilvl="8" w:tplc="0415001B" w:tentative="1">
      <w:start w:val="1"/>
      <w:numFmt w:val="lowerRoman"/>
      <w:lvlText w:val="%9."/>
      <w:lvlJc w:val="right"/>
      <w:pPr>
        <w:ind w:left="6437" w:hanging="180"/>
      </w:pPr>
    </w:lvl>
  </w:abstractNum>
  <w:abstractNum w:abstractNumId="52" w15:restartNumberingAfterBreak="0">
    <w:nsid w:val="6B1E3562"/>
    <w:multiLevelType w:val="hybridMultilevel"/>
    <w:tmpl w:val="E28E0DAC"/>
    <w:lvl w:ilvl="0" w:tplc="74D69FC6">
      <w:start w:val="1"/>
      <w:numFmt w:val="decimal"/>
      <w:suff w:val="space"/>
      <w:lvlText w:val="Zalecenie strategiczne %1."/>
      <w:lvlJc w:val="left"/>
      <w:pPr>
        <w:ind w:left="2325" w:hanging="2325"/>
      </w:pPr>
      <w:rPr>
        <w:rFonts w:ascii="Calibri" w:hAnsi="Calibri" w:hint="default"/>
        <w:b/>
        <w:i w:val="0"/>
        <w:color w:val="00206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F00117E"/>
    <w:multiLevelType w:val="hybridMultilevel"/>
    <w:tmpl w:val="9118B762"/>
    <w:lvl w:ilvl="0" w:tplc="9B7454C8">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0E00187"/>
    <w:multiLevelType w:val="hybridMultilevel"/>
    <w:tmpl w:val="8EBAFD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19710B1"/>
    <w:multiLevelType w:val="hybridMultilevel"/>
    <w:tmpl w:val="FCA6165A"/>
    <w:lvl w:ilvl="0" w:tplc="9488928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24752BB"/>
    <w:multiLevelType w:val="hybridMultilevel"/>
    <w:tmpl w:val="328EEF3A"/>
    <w:lvl w:ilvl="0" w:tplc="0415000D">
      <w:start w:val="1"/>
      <w:numFmt w:val="bullet"/>
      <w:lvlText w:val=""/>
      <w:lvlJc w:val="left"/>
      <w:pPr>
        <w:ind w:left="772" w:hanging="360"/>
      </w:pPr>
      <w:rPr>
        <w:rFonts w:ascii="Wingdings" w:hAnsi="Wingdings"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57" w15:restartNumberingAfterBreak="0">
    <w:nsid w:val="746A4790"/>
    <w:multiLevelType w:val="hybridMultilevel"/>
    <w:tmpl w:val="00762518"/>
    <w:lvl w:ilvl="0" w:tplc="55BC6BB2">
      <w:start w:val="1"/>
      <w:numFmt w:val="decimal"/>
      <w:lvlText w:val="Wniosek %1."/>
      <w:lvlJc w:val="left"/>
      <w:pPr>
        <w:ind w:left="720" w:hanging="360"/>
      </w:pPr>
      <w:rPr>
        <w:rFonts w:hint="default"/>
        <w:color w:val="00206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6573FBE"/>
    <w:multiLevelType w:val="hybridMultilevel"/>
    <w:tmpl w:val="B2DC14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8650530"/>
    <w:multiLevelType w:val="hybridMultilevel"/>
    <w:tmpl w:val="6512F7C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C117818"/>
    <w:multiLevelType w:val="hybridMultilevel"/>
    <w:tmpl w:val="0B505F1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C37177E"/>
    <w:multiLevelType w:val="hybridMultilevel"/>
    <w:tmpl w:val="EC7CDA8A"/>
    <w:lvl w:ilvl="0" w:tplc="0415000D">
      <w:start w:val="1"/>
      <w:numFmt w:val="bullet"/>
      <w:lvlText w:val=""/>
      <w:lvlJc w:val="left"/>
      <w:pPr>
        <w:ind w:left="768" w:hanging="360"/>
      </w:pPr>
      <w:rPr>
        <w:rFonts w:ascii="Wingdings" w:hAnsi="Wingdings"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62" w15:restartNumberingAfterBreak="0">
    <w:nsid w:val="7DD7083B"/>
    <w:multiLevelType w:val="multilevel"/>
    <w:tmpl w:val="975297A8"/>
    <w:lvl w:ilvl="0">
      <w:start w:val="1"/>
      <w:numFmt w:val="decimal"/>
      <w:lvlText w:val="%1."/>
      <w:lvlJc w:val="left"/>
      <w:pPr>
        <w:ind w:left="360" w:hanging="360"/>
      </w:pPr>
      <w:rPr>
        <w:rFonts w:hint="default"/>
        <w:b/>
        <w:bCs w:val="0"/>
        <w:i w:val="0"/>
        <w:iCs w:val="0"/>
        <w:caps w:val="0"/>
        <w:smallCaps w:val="0"/>
        <w:strike w:val="0"/>
        <w:dstrike w:val="0"/>
        <w:noProof w:val="0"/>
        <w:snapToGrid w:val="0"/>
        <w:vanish w:val="0"/>
        <w:color w:val="002060"/>
        <w:spacing w:val="0"/>
        <w:w w:val="0"/>
        <w:kern w:val="0"/>
        <w:position w:val="0"/>
        <w:szCs w:val="0"/>
        <w:u w:val="none"/>
        <w:vertAlign w:val="baseline"/>
        <w:em w:val="none"/>
      </w:rPr>
    </w:lvl>
    <w:lvl w:ilvl="1">
      <w:start w:val="1"/>
      <w:numFmt w:val="decimal"/>
      <w:lvlText w:val="%1.%2."/>
      <w:lvlJc w:val="left"/>
      <w:pPr>
        <w:tabs>
          <w:tab w:val="num" w:pos="2069"/>
        </w:tabs>
        <w:ind w:left="2069" w:hanging="794"/>
      </w:pPr>
      <w:rPr>
        <w:rFonts w:ascii="Calibri" w:hAnsi="Calibri" w:cs="Times New Roman" w:hint="default"/>
        <w:b/>
        <w:i w:val="0"/>
        <w:caps w:val="0"/>
        <w:color w:val="002060"/>
        <w:sz w:val="32"/>
        <w:szCs w:val="32"/>
      </w:rPr>
    </w:lvl>
    <w:lvl w:ilvl="2">
      <w:start w:val="1"/>
      <w:numFmt w:val="decimal"/>
      <w:pStyle w:val="Nagwek3a"/>
      <w:lvlText w:val="%1.%2.%3."/>
      <w:lvlJc w:val="left"/>
      <w:pPr>
        <w:tabs>
          <w:tab w:val="num" w:pos="1078"/>
        </w:tabs>
        <w:ind w:left="1078" w:hanging="794"/>
      </w:pPr>
      <w:rPr>
        <w:rFonts w:ascii="Calibri" w:hAnsi="Calibri" w:cs="Times New Roman" w:hint="default"/>
        <w:b/>
        <w:i w:val="0"/>
        <w:color w:val="002060"/>
        <w:sz w:val="28"/>
        <w:szCs w:val="28"/>
      </w:rPr>
    </w:lvl>
    <w:lvl w:ilvl="3">
      <w:start w:val="1"/>
      <w:numFmt w:val="decimal"/>
      <w:lvlText w:val="%1.%2.%3.%4."/>
      <w:lvlJc w:val="left"/>
      <w:pPr>
        <w:tabs>
          <w:tab w:val="num" w:pos="794"/>
        </w:tabs>
        <w:ind w:left="2382" w:hanging="2382"/>
      </w:pPr>
      <w:rPr>
        <w:rFonts w:hint="default"/>
        <w:bCs w:val="0"/>
        <w:i w:val="0"/>
        <w:iCs w:val="0"/>
        <w:caps w:val="0"/>
        <w:strike w:val="0"/>
        <w:dstrike w:val="0"/>
        <w:noProof w:val="0"/>
        <w:vanish w:val="0"/>
        <w:color w:val="002060"/>
        <w:spacing w:val="0"/>
        <w:kern w:val="0"/>
        <w:position w:val="0"/>
        <w:u w:val="none"/>
        <w:vertAlign w:val="baseline"/>
        <w:em w:val="none"/>
      </w:rPr>
    </w:lvl>
    <w:lvl w:ilvl="4">
      <w:start w:val="1"/>
      <w:numFmt w:val="decimal"/>
      <w:lvlText w:val="%1.%2.%3.%4.%5."/>
      <w:lvlJc w:val="left"/>
      <w:pPr>
        <w:tabs>
          <w:tab w:val="num" w:pos="3536"/>
        </w:tabs>
        <w:ind w:left="3176" w:firstLine="0"/>
      </w:pPr>
      <w:rPr>
        <w:rFonts w:cs="Times New Roman" w:hint="default"/>
      </w:rPr>
    </w:lvl>
    <w:lvl w:ilvl="5">
      <w:start w:val="1"/>
      <w:numFmt w:val="decimal"/>
      <w:lvlText w:val="%1.%2.%3.%4.%5.%6."/>
      <w:lvlJc w:val="left"/>
      <w:pPr>
        <w:tabs>
          <w:tab w:val="num" w:pos="4330"/>
        </w:tabs>
        <w:ind w:left="3970" w:firstLine="0"/>
      </w:pPr>
      <w:rPr>
        <w:rFonts w:cs="Times New Roman" w:hint="default"/>
      </w:rPr>
    </w:lvl>
    <w:lvl w:ilvl="6">
      <w:start w:val="1"/>
      <w:numFmt w:val="decimal"/>
      <w:lvlText w:val="%1.%2.%3.%4.%5.%6.%7."/>
      <w:lvlJc w:val="left"/>
      <w:pPr>
        <w:tabs>
          <w:tab w:val="num" w:pos="5124"/>
        </w:tabs>
        <w:ind w:left="4764" w:firstLine="0"/>
      </w:pPr>
      <w:rPr>
        <w:rFonts w:cs="Times New Roman" w:hint="default"/>
      </w:rPr>
    </w:lvl>
    <w:lvl w:ilvl="7">
      <w:start w:val="1"/>
      <w:numFmt w:val="decimal"/>
      <w:lvlText w:val="%1.%2.%3.%4.%5.%6.%7.%8."/>
      <w:lvlJc w:val="left"/>
      <w:pPr>
        <w:tabs>
          <w:tab w:val="num" w:pos="5918"/>
        </w:tabs>
        <w:ind w:left="5558" w:firstLine="0"/>
      </w:pPr>
      <w:rPr>
        <w:rFonts w:cs="Times New Roman" w:hint="default"/>
      </w:rPr>
    </w:lvl>
    <w:lvl w:ilvl="8">
      <w:start w:val="1"/>
      <w:numFmt w:val="decimal"/>
      <w:lvlText w:val="%1.%2.%3.%4.%5.%6.%7.%8.%9."/>
      <w:lvlJc w:val="left"/>
      <w:pPr>
        <w:tabs>
          <w:tab w:val="num" w:pos="6712"/>
        </w:tabs>
        <w:ind w:left="6352" w:firstLine="0"/>
      </w:pPr>
      <w:rPr>
        <w:rFonts w:cs="Times New Roman" w:hint="default"/>
      </w:rPr>
    </w:lvl>
  </w:abstractNum>
  <w:num w:numId="1">
    <w:abstractNumId w:val="38"/>
  </w:num>
  <w:num w:numId="2">
    <w:abstractNumId w:val="62"/>
  </w:num>
  <w:num w:numId="3">
    <w:abstractNumId w:val="40"/>
  </w:num>
  <w:num w:numId="4">
    <w:abstractNumId w:val="31"/>
  </w:num>
  <w:num w:numId="5">
    <w:abstractNumId w:val="32"/>
  </w:num>
  <w:num w:numId="6">
    <w:abstractNumId w:val="54"/>
  </w:num>
  <w:num w:numId="7">
    <w:abstractNumId w:val="37"/>
  </w:num>
  <w:num w:numId="8">
    <w:abstractNumId w:val="24"/>
  </w:num>
  <w:num w:numId="9">
    <w:abstractNumId w:val="11"/>
  </w:num>
  <w:num w:numId="10">
    <w:abstractNumId w:val="20"/>
  </w:num>
  <w:num w:numId="11">
    <w:abstractNumId w:val="27"/>
    <w:lvlOverride w:ilvl="0">
      <w:startOverride w:val="1"/>
    </w:lvlOverride>
  </w:num>
  <w:num w:numId="12">
    <w:abstractNumId w:val="35"/>
  </w:num>
  <w:num w:numId="13">
    <w:abstractNumId w:val="17"/>
  </w:num>
  <w:num w:numId="14">
    <w:abstractNumId w:val="55"/>
  </w:num>
  <w:num w:numId="15">
    <w:abstractNumId w:val="4"/>
  </w:num>
  <w:num w:numId="16">
    <w:abstractNumId w:val="33"/>
  </w:num>
  <w:num w:numId="17">
    <w:abstractNumId w:val="15"/>
  </w:num>
  <w:num w:numId="18">
    <w:abstractNumId w:val="51"/>
  </w:num>
  <w:num w:numId="19">
    <w:abstractNumId w:val="50"/>
  </w:num>
  <w:num w:numId="20">
    <w:abstractNumId w:val="41"/>
  </w:num>
  <w:num w:numId="21">
    <w:abstractNumId w:val="47"/>
  </w:num>
  <w:num w:numId="22">
    <w:abstractNumId w:val="10"/>
  </w:num>
  <w:num w:numId="23">
    <w:abstractNumId w:val="39"/>
  </w:num>
  <w:num w:numId="24">
    <w:abstractNumId w:val="5"/>
  </w:num>
  <w:num w:numId="25">
    <w:abstractNumId w:val="19"/>
  </w:num>
  <w:num w:numId="26">
    <w:abstractNumId w:val="7"/>
  </w:num>
  <w:num w:numId="27">
    <w:abstractNumId w:val="48"/>
  </w:num>
  <w:num w:numId="28">
    <w:abstractNumId w:val="30"/>
  </w:num>
  <w:num w:numId="29">
    <w:abstractNumId w:val="1"/>
  </w:num>
  <w:num w:numId="30">
    <w:abstractNumId w:val="57"/>
  </w:num>
  <w:num w:numId="31">
    <w:abstractNumId w:val="58"/>
  </w:num>
  <w:num w:numId="32">
    <w:abstractNumId w:val="28"/>
  </w:num>
  <w:num w:numId="33">
    <w:abstractNumId w:val="9"/>
  </w:num>
  <w:num w:numId="34">
    <w:abstractNumId w:val="43"/>
  </w:num>
  <w:num w:numId="35">
    <w:abstractNumId w:val="14"/>
  </w:num>
  <w:num w:numId="36">
    <w:abstractNumId w:val="13"/>
  </w:num>
  <w:num w:numId="37">
    <w:abstractNumId w:val="29"/>
  </w:num>
  <w:num w:numId="38">
    <w:abstractNumId w:val="49"/>
  </w:num>
  <w:num w:numId="39">
    <w:abstractNumId w:val="26"/>
  </w:num>
  <w:num w:numId="40">
    <w:abstractNumId w:val="46"/>
  </w:num>
  <w:num w:numId="41">
    <w:abstractNumId w:val="16"/>
  </w:num>
  <w:num w:numId="42">
    <w:abstractNumId w:val="8"/>
  </w:num>
  <w:num w:numId="43">
    <w:abstractNumId w:val="59"/>
  </w:num>
  <w:num w:numId="44">
    <w:abstractNumId w:val="2"/>
  </w:num>
  <w:num w:numId="45">
    <w:abstractNumId w:val="45"/>
  </w:num>
  <w:num w:numId="46">
    <w:abstractNumId w:val="34"/>
  </w:num>
  <w:num w:numId="47">
    <w:abstractNumId w:val="3"/>
  </w:num>
  <w:num w:numId="48">
    <w:abstractNumId w:val="42"/>
  </w:num>
  <w:num w:numId="49">
    <w:abstractNumId w:val="22"/>
  </w:num>
  <w:num w:numId="50">
    <w:abstractNumId w:val="12"/>
  </w:num>
  <w:num w:numId="51">
    <w:abstractNumId w:val="44"/>
  </w:num>
  <w:num w:numId="52">
    <w:abstractNumId w:val="60"/>
  </w:num>
  <w:num w:numId="53">
    <w:abstractNumId w:val="56"/>
  </w:num>
  <w:num w:numId="54">
    <w:abstractNumId w:val="6"/>
  </w:num>
  <w:num w:numId="55">
    <w:abstractNumId w:val="53"/>
  </w:num>
  <w:num w:numId="56">
    <w:abstractNumId w:val="36"/>
  </w:num>
  <w:num w:numId="57">
    <w:abstractNumId w:val="21"/>
  </w:num>
  <w:num w:numId="58">
    <w:abstractNumId w:val="61"/>
  </w:num>
  <w:num w:numId="59">
    <w:abstractNumId w:val="23"/>
  </w:num>
  <w:num w:numId="60">
    <w:abstractNumId w:val="52"/>
  </w:num>
  <w:num w:numId="61">
    <w:abstractNumId w:val="18"/>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PersonalInformation/>
  <w:removeDateAndTime/>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DEA"/>
    <w:rsid w:val="000000E5"/>
    <w:rsid w:val="00000530"/>
    <w:rsid w:val="00000671"/>
    <w:rsid w:val="00000988"/>
    <w:rsid w:val="00000B29"/>
    <w:rsid w:val="00000E8F"/>
    <w:rsid w:val="00000F28"/>
    <w:rsid w:val="0000119E"/>
    <w:rsid w:val="000012DE"/>
    <w:rsid w:val="00001329"/>
    <w:rsid w:val="00001460"/>
    <w:rsid w:val="000015DE"/>
    <w:rsid w:val="0000192D"/>
    <w:rsid w:val="00001954"/>
    <w:rsid w:val="00001A14"/>
    <w:rsid w:val="00001CB9"/>
    <w:rsid w:val="00001DBA"/>
    <w:rsid w:val="00002254"/>
    <w:rsid w:val="000028D0"/>
    <w:rsid w:val="00002A19"/>
    <w:rsid w:val="00002D73"/>
    <w:rsid w:val="0000308B"/>
    <w:rsid w:val="00003463"/>
    <w:rsid w:val="0000356B"/>
    <w:rsid w:val="0000358A"/>
    <w:rsid w:val="0000377E"/>
    <w:rsid w:val="00004183"/>
    <w:rsid w:val="00004216"/>
    <w:rsid w:val="00004244"/>
    <w:rsid w:val="00004321"/>
    <w:rsid w:val="0000440F"/>
    <w:rsid w:val="00004445"/>
    <w:rsid w:val="000044D8"/>
    <w:rsid w:val="00004AC1"/>
    <w:rsid w:val="00004E0B"/>
    <w:rsid w:val="00005161"/>
    <w:rsid w:val="000056F9"/>
    <w:rsid w:val="000056FB"/>
    <w:rsid w:val="00005CFA"/>
    <w:rsid w:val="00006192"/>
    <w:rsid w:val="0000659E"/>
    <w:rsid w:val="000066BF"/>
    <w:rsid w:val="000069B6"/>
    <w:rsid w:val="00006B8A"/>
    <w:rsid w:val="00006C49"/>
    <w:rsid w:val="00006E68"/>
    <w:rsid w:val="00006F14"/>
    <w:rsid w:val="00006FD2"/>
    <w:rsid w:val="0000717D"/>
    <w:rsid w:val="0000739F"/>
    <w:rsid w:val="000079F6"/>
    <w:rsid w:val="00007CCC"/>
    <w:rsid w:val="00007E0B"/>
    <w:rsid w:val="00007FD9"/>
    <w:rsid w:val="00007FDB"/>
    <w:rsid w:val="0001028C"/>
    <w:rsid w:val="0001036A"/>
    <w:rsid w:val="00010386"/>
    <w:rsid w:val="00010624"/>
    <w:rsid w:val="00010923"/>
    <w:rsid w:val="00010924"/>
    <w:rsid w:val="00010D26"/>
    <w:rsid w:val="00010F12"/>
    <w:rsid w:val="00011352"/>
    <w:rsid w:val="000114F2"/>
    <w:rsid w:val="000116D6"/>
    <w:rsid w:val="000116F2"/>
    <w:rsid w:val="00011703"/>
    <w:rsid w:val="00011B8C"/>
    <w:rsid w:val="00011B8E"/>
    <w:rsid w:val="00011CFA"/>
    <w:rsid w:val="00011EDA"/>
    <w:rsid w:val="00011F5B"/>
    <w:rsid w:val="00011FFE"/>
    <w:rsid w:val="000120F6"/>
    <w:rsid w:val="000122FD"/>
    <w:rsid w:val="0001230D"/>
    <w:rsid w:val="0001248B"/>
    <w:rsid w:val="00012885"/>
    <w:rsid w:val="000128EC"/>
    <w:rsid w:val="00012BD8"/>
    <w:rsid w:val="00012CC1"/>
    <w:rsid w:val="00012E1D"/>
    <w:rsid w:val="00013107"/>
    <w:rsid w:val="0001330C"/>
    <w:rsid w:val="00013407"/>
    <w:rsid w:val="00013A6B"/>
    <w:rsid w:val="00013BCD"/>
    <w:rsid w:val="00013F88"/>
    <w:rsid w:val="0001410F"/>
    <w:rsid w:val="000141F0"/>
    <w:rsid w:val="00014433"/>
    <w:rsid w:val="0001448A"/>
    <w:rsid w:val="000145D7"/>
    <w:rsid w:val="00014678"/>
    <w:rsid w:val="00014A08"/>
    <w:rsid w:val="00014BB1"/>
    <w:rsid w:val="000150C5"/>
    <w:rsid w:val="0001550E"/>
    <w:rsid w:val="00015605"/>
    <w:rsid w:val="000156EE"/>
    <w:rsid w:val="00015C12"/>
    <w:rsid w:val="00015C2A"/>
    <w:rsid w:val="00015EDC"/>
    <w:rsid w:val="00016684"/>
    <w:rsid w:val="000167D0"/>
    <w:rsid w:val="00016CDB"/>
    <w:rsid w:val="00016FDC"/>
    <w:rsid w:val="00016FF0"/>
    <w:rsid w:val="0001721E"/>
    <w:rsid w:val="000172F1"/>
    <w:rsid w:val="00017572"/>
    <w:rsid w:val="00017746"/>
    <w:rsid w:val="000178FE"/>
    <w:rsid w:val="00017955"/>
    <w:rsid w:val="00017AA3"/>
    <w:rsid w:val="00017ACC"/>
    <w:rsid w:val="00020013"/>
    <w:rsid w:val="0002002E"/>
    <w:rsid w:val="00020136"/>
    <w:rsid w:val="00020794"/>
    <w:rsid w:val="0002090F"/>
    <w:rsid w:val="00020973"/>
    <w:rsid w:val="00020977"/>
    <w:rsid w:val="00020A5D"/>
    <w:rsid w:val="00020F35"/>
    <w:rsid w:val="000210F9"/>
    <w:rsid w:val="000212FF"/>
    <w:rsid w:val="00021423"/>
    <w:rsid w:val="000215C6"/>
    <w:rsid w:val="00021838"/>
    <w:rsid w:val="00021859"/>
    <w:rsid w:val="000219EE"/>
    <w:rsid w:val="00021B45"/>
    <w:rsid w:val="00021C5E"/>
    <w:rsid w:val="00021CC6"/>
    <w:rsid w:val="000220C5"/>
    <w:rsid w:val="00022207"/>
    <w:rsid w:val="00022284"/>
    <w:rsid w:val="0002290E"/>
    <w:rsid w:val="00022B58"/>
    <w:rsid w:val="00022C06"/>
    <w:rsid w:val="00022ED6"/>
    <w:rsid w:val="00022F8D"/>
    <w:rsid w:val="000230BF"/>
    <w:rsid w:val="00023660"/>
    <w:rsid w:val="0002375B"/>
    <w:rsid w:val="0002396F"/>
    <w:rsid w:val="00023988"/>
    <w:rsid w:val="000239CB"/>
    <w:rsid w:val="00023A79"/>
    <w:rsid w:val="00023A89"/>
    <w:rsid w:val="00023AE4"/>
    <w:rsid w:val="00023D26"/>
    <w:rsid w:val="00023E21"/>
    <w:rsid w:val="00023F31"/>
    <w:rsid w:val="00023FF3"/>
    <w:rsid w:val="00024101"/>
    <w:rsid w:val="00024315"/>
    <w:rsid w:val="00024587"/>
    <w:rsid w:val="00024729"/>
    <w:rsid w:val="00024E49"/>
    <w:rsid w:val="000250BE"/>
    <w:rsid w:val="000250FA"/>
    <w:rsid w:val="00025231"/>
    <w:rsid w:val="0002530C"/>
    <w:rsid w:val="0002576F"/>
    <w:rsid w:val="00025C30"/>
    <w:rsid w:val="0002648C"/>
    <w:rsid w:val="00026667"/>
    <w:rsid w:val="000267F5"/>
    <w:rsid w:val="00026852"/>
    <w:rsid w:val="00026BE1"/>
    <w:rsid w:val="00026C2E"/>
    <w:rsid w:val="000272A1"/>
    <w:rsid w:val="00027AD3"/>
    <w:rsid w:val="00027D7C"/>
    <w:rsid w:val="000301D2"/>
    <w:rsid w:val="00030226"/>
    <w:rsid w:val="000302C0"/>
    <w:rsid w:val="0003036F"/>
    <w:rsid w:val="00030773"/>
    <w:rsid w:val="0003090E"/>
    <w:rsid w:val="0003093B"/>
    <w:rsid w:val="00030BC1"/>
    <w:rsid w:val="00031001"/>
    <w:rsid w:val="00031120"/>
    <w:rsid w:val="000316D6"/>
    <w:rsid w:val="000318A6"/>
    <w:rsid w:val="00031973"/>
    <w:rsid w:val="0003216C"/>
    <w:rsid w:val="0003219C"/>
    <w:rsid w:val="000322B8"/>
    <w:rsid w:val="00032C43"/>
    <w:rsid w:val="00032D96"/>
    <w:rsid w:val="000330EF"/>
    <w:rsid w:val="0003326C"/>
    <w:rsid w:val="0003386A"/>
    <w:rsid w:val="00034215"/>
    <w:rsid w:val="000343CB"/>
    <w:rsid w:val="00034454"/>
    <w:rsid w:val="00034694"/>
    <w:rsid w:val="00034A17"/>
    <w:rsid w:val="00034A32"/>
    <w:rsid w:val="00034E30"/>
    <w:rsid w:val="00035142"/>
    <w:rsid w:val="00035858"/>
    <w:rsid w:val="000359D7"/>
    <w:rsid w:val="000359E1"/>
    <w:rsid w:val="00035BB0"/>
    <w:rsid w:val="00035EA3"/>
    <w:rsid w:val="000361EB"/>
    <w:rsid w:val="000363C8"/>
    <w:rsid w:val="00036664"/>
    <w:rsid w:val="000366AE"/>
    <w:rsid w:val="00036A6F"/>
    <w:rsid w:val="000370BA"/>
    <w:rsid w:val="0003738B"/>
    <w:rsid w:val="000376AF"/>
    <w:rsid w:val="000377B4"/>
    <w:rsid w:val="00037931"/>
    <w:rsid w:val="00037969"/>
    <w:rsid w:val="00037C1E"/>
    <w:rsid w:val="00040092"/>
    <w:rsid w:val="000404B5"/>
    <w:rsid w:val="000408DF"/>
    <w:rsid w:val="00040FC5"/>
    <w:rsid w:val="000416EC"/>
    <w:rsid w:val="0004192A"/>
    <w:rsid w:val="00041E87"/>
    <w:rsid w:val="0004201B"/>
    <w:rsid w:val="0004209E"/>
    <w:rsid w:val="000428D1"/>
    <w:rsid w:val="00042931"/>
    <w:rsid w:val="00042A5C"/>
    <w:rsid w:val="00042E92"/>
    <w:rsid w:val="00042F32"/>
    <w:rsid w:val="00042F3F"/>
    <w:rsid w:val="000431E3"/>
    <w:rsid w:val="00043349"/>
    <w:rsid w:val="00043937"/>
    <w:rsid w:val="00043B6E"/>
    <w:rsid w:val="00043EE1"/>
    <w:rsid w:val="0004401D"/>
    <w:rsid w:val="0004405A"/>
    <w:rsid w:val="0004439A"/>
    <w:rsid w:val="00044766"/>
    <w:rsid w:val="0004528B"/>
    <w:rsid w:val="000456EF"/>
    <w:rsid w:val="00045708"/>
    <w:rsid w:val="00045733"/>
    <w:rsid w:val="00045BE9"/>
    <w:rsid w:val="00045CEC"/>
    <w:rsid w:val="00046166"/>
    <w:rsid w:val="00046287"/>
    <w:rsid w:val="000462C5"/>
    <w:rsid w:val="000465E2"/>
    <w:rsid w:val="0004660E"/>
    <w:rsid w:val="00046912"/>
    <w:rsid w:val="00046AAC"/>
    <w:rsid w:val="00046DC4"/>
    <w:rsid w:val="00046EBE"/>
    <w:rsid w:val="00047032"/>
    <w:rsid w:val="000474A2"/>
    <w:rsid w:val="000474FB"/>
    <w:rsid w:val="00047503"/>
    <w:rsid w:val="00047F13"/>
    <w:rsid w:val="00050510"/>
    <w:rsid w:val="00050511"/>
    <w:rsid w:val="000506E5"/>
    <w:rsid w:val="00050758"/>
    <w:rsid w:val="000508B6"/>
    <w:rsid w:val="0005099E"/>
    <w:rsid w:val="00051286"/>
    <w:rsid w:val="00051BC2"/>
    <w:rsid w:val="00051CE0"/>
    <w:rsid w:val="00051D51"/>
    <w:rsid w:val="00051E63"/>
    <w:rsid w:val="00051EB1"/>
    <w:rsid w:val="00052210"/>
    <w:rsid w:val="00052592"/>
    <w:rsid w:val="00052A56"/>
    <w:rsid w:val="00052AE5"/>
    <w:rsid w:val="000531CB"/>
    <w:rsid w:val="00053322"/>
    <w:rsid w:val="0005359F"/>
    <w:rsid w:val="00053822"/>
    <w:rsid w:val="00053EAE"/>
    <w:rsid w:val="000542DA"/>
    <w:rsid w:val="00054509"/>
    <w:rsid w:val="000546D2"/>
    <w:rsid w:val="00054762"/>
    <w:rsid w:val="00054B52"/>
    <w:rsid w:val="00054D4B"/>
    <w:rsid w:val="00054DAA"/>
    <w:rsid w:val="00054EAD"/>
    <w:rsid w:val="00054F51"/>
    <w:rsid w:val="000552A7"/>
    <w:rsid w:val="0005545F"/>
    <w:rsid w:val="000555D2"/>
    <w:rsid w:val="000555F2"/>
    <w:rsid w:val="00055AAE"/>
    <w:rsid w:val="00055C99"/>
    <w:rsid w:val="000564DF"/>
    <w:rsid w:val="0005661B"/>
    <w:rsid w:val="00056A77"/>
    <w:rsid w:val="00056D42"/>
    <w:rsid w:val="0005715F"/>
    <w:rsid w:val="00057424"/>
    <w:rsid w:val="00057BFC"/>
    <w:rsid w:val="00057E3B"/>
    <w:rsid w:val="00057F40"/>
    <w:rsid w:val="00060038"/>
    <w:rsid w:val="0006013B"/>
    <w:rsid w:val="0006035D"/>
    <w:rsid w:val="0006087A"/>
    <w:rsid w:val="00060909"/>
    <w:rsid w:val="00060AC4"/>
    <w:rsid w:val="00060BF3"/>
    <w:rsid w:val="00060C87"/>
    <w:rsid w:val="00060D1C"/>
    <w:rsid w:val="00060DF0"/>
    <w:rsid w:val="00061055"/>
    <w:rsid w:val="00061242"/>
    <w:rsid w:val="0006151C"/>
    <w:rsid w:val="000615C4"/>
    <w:rsid w:val="00061A72"/>
    <w:rsid w:val="00061D08"/>
    <w:rsid w:val="000624AC"/>
    <w:rsid w:val="00062527"/>
    <w:rsid w:val="00062760"/>
    <w:rsid w:val="000628AA"/>
    <w:rsid w:val="00063012"/>
    <w:rsid w:val="0006311B"/>
    <w:rsid w:val="00063405"/>
    <w:rsid w:val="00063854"/>
    <w:rsid w:val="00063CDD"/>
    <w:rsid w:val="00063EEE"/>
    <w:rsid w:val="000642BD"/>
    <w:rsid w:val="0006455C"/>
    <w:rsid w:val="00064867"/>
    <w:rsid w:val="0006491D"/>
    <w:rsid w:val="00064B43"/>
    <w:rsid w:val="0006501C"/>
    <w:rsid w:val="0006539F"/>
    <w:rsid w:val="00065507"/>
    <w:rsid w:val="0006580E"/>
    <w:rsid w:val="00065826"/>
    <w:rsid w:val="00065E72"/>
    <w:rsid w:val="00066051"/>
    <w:rsid w:val="00066058"/>
    <w:rsid w:val="000661A3"/>
    <w:rsid w:val="000661AF"/>
    <w:rsid w:val="00066341"/>
    <w:rsid w:val="000669E6"/>
    <w:rsid w:val="00066B42"/>
    <w:rsid w:val="00066E1E"/>
    <w:rsid w:val="00066E92"/>
    <w:rsid w:val="00066F25"/>
    <w:rsid w:val="00067615"/>
    <w:rsid w:val="00067793"/>
    <w:rsid w:val="00067964"/>
    <w:rsid w:val="00067E74"/>
    <w:rsid w:val="00067F1C"/>
    <w:rsid w:val="000703E6"/>
    <w:rsid w:val="000707F3"/>
    <w:rsid w:val="00070A39"/>
    <w:rsid w:val="00070A92"/>
    <w:rsid w:val="00070B54"/>
    <w:rsid w:val="00071123"/>
    <w:rsid w:val="0007116F"/>
    <w:rsid w:val="00071799"/>
    <w:rsid w:val="00071B4D"/>
    <w:rsid w:val="00071BA2"/>
    <w:rsid w:val="00072066"/>
    <w:rsid w:val="0007263C"/>
    <w:rsid w:val="00072917"/>
    <w:rsid w:val="00072AD9"/>
    <w:rsid w:val="00072F19"/>
    <w:rsid w:val="000730AC"/>
    <w:rsid w:val="0007366B"/>
    <w:rsid w:val="000736FC"/>
    <w:rsid w:val="00073846"/>
    <w:rsid w:val="00073963"/>
    <w:rsid w:val="00073B1D"/>
    <w:rsid w:val="000741B4"/>
    <w:rsid w:val="00074280"/>
    <w:rsid w:val="00074A81"/>
    <w:rsid w:val="00074BF3"/>
    <w:rsid w:val="00074C6E"/>
    <w:rsid w:val="00074D14"/>
    <w:rsid w:val="00075118"/>
    <w:rsid w:val="000751EC"/>
    <w:rsid w:val="000752F7"/>
    <w:rsid w:val="00075B28"/>
    <w:rsid w:val="00076631"/>
    <w:rsid w:val="0007664A"/>
    <w:rsid w:val="0007687C"/>
    <w:rsid w:val="00076A9D"/>
    <w:rsid w:val="00077003"/>
    <w:rsid w:val="00077373"/>
    <w:rsid w:val="00077431"/>
    <w:rsid w:val="000774D6"/>
    <w:rsid w:val="000776C3"/>
    <w:rsid w:val="00077714"/>
    <w:rsid w:val="00077782"/>
    <w:rsid w:val="00077820"/>
    <w:rsid w:val="00077932"/>
    <w:rsid w:val="00077A9B"/>
    <w:rsid w:val="00077F1D"/>
    <w:rsid w:val="00080406"/>
    <w:rsid w:val="00080483"/>
    <w:rsid w:val="00080792"/>
    <w:rsid w:val="00080ADD"/>
    <w:rsid w:val="00080AF4"/>
    <w:rsid w:val="00080B3A"/>
    <w:rsid w:val="00080CB1"/>
    <w:rsid w:val="0008108F"/>
    <w:rsid w:val="000817E6"/>
    <w:rsid w:val="00082003"/>
    <w:rsid w:val="0008206C"/>
    <w:rsid w:val="00082140"/>
    <w:rsid w:val="00082342"/>
    <w:rsid w:val="000824F1"/>
    <w:rsid w:val="000826B9"/>
    <w:rsid w:val="0008282C"/>
    <w:rsid w:val="00082B72"/>
    <w:rsid w:val="00082B80"/>
    <w:rsid w:val="00082F13"/>
    <w:rsid w:val="0008326B"/>
    <w:rsid w:val="000836D0"/>
    <w:rsid w:val="0008390C"/>
    <w:rsid w:val="00083920"/>
    <w:rsid w:val="00083C28"/>
    <w:rsid w:val="00083C2A"/>
    <w:rsid w:val="00083EEF"/>
    <w:rsid w:val="00083F4C"/>
    <w:rsid w:val="00084379"/>
    <w:rsid w:val="000845AC"/>
    <w:rsid w:val="000847B0"/>
    <w:rsid w:val="000849C8"/>
    <w:rsid w:val="0008539A"/>
    <w:rsid w:val="00085847"/>
    <w:rsid w:val="00085940"/>
    <w:rsid w:val="000859CA"/>
    <w:rsid w:val="00085A77"/>
    <w:rsid w:val="000864D1"/>
    <w:rsid w:val="000869A2"/>
    <w:rsid w:val="00086CF6"/>
    <w:rsid w:val="00086D30"/>
    <w:rsid w:val="00086DC9"/>
    <w:rsid w:val="00086EE6"/>
    <w:rsid w:val="00087079"/>
    <w:rsid w:val="000870A3"/>
    <w:rsid w:val="0008722B"/>
    <w:rsid w:val="000874F9"/>
    <w:rsid w:val="0009000D"/>
    <w:rsid w:val="00090153"/>
    <w:rsid w:val="00090254"/>
    <w:rsid w:val="00090457"/>
    <w:rsid w:val="00090C00"/>
    <w:rsid w:val="00090C85"/>
    <w:rsid w:val="00090E69"/>
    <w:rsid w:val="00090E6F"/>
    <w:rsid w:val="00090F0E"/>
    <w:rsid w:val="00091585"/>
    <w:rsid w:val="000916DC"/>
    <w:rsid w:val="00091B50"/>
    <w:rsid w:val="00091C15"/>
    <w:rsid w:val="0009231C"/>
    <w:rsid w:val="00092462"/>
    <w:rsid w:val="00092471"/>
    <w:rsid w:val="00092B63"/>
    <w:rsid w:val="00092B6D"/>
    <w:rsid w:val="00092F53"/>
    <w:rsid w:val="00093073"/>
    <w:rsid w:val="00093429"/>
    <w:rsid w:val="000935E7"/>
    <w:rsid w:val="0009385E"/>
    <w:rsid w:val="00093AF9"/>
    <w:rsid w:val="00093DDD"/>
    <w:rsid w:val="000943EA"/>
    <w:rsid w:val="00094535"/>
    <w:rsid w:val="000947C6"/>
    <w:rsid w:val="0009484C"/>
    <w:rsid w:val="00094A04"/>
    <w:rsid w:val="00094B0F"/>
    <w:rsid w:val="00094EEA"/>
    <w:rsid w:val="00094F1F"/>
    <w:rsid w:val="0009500C"/>
    <w:rsid w:val="00095083"/>
    <w:rsid w:val="000950A7"/>
    <w:rsid w:val="000955FC"/>
    <w:rsid w:val="000960F2"/>
    <w:rsid w:val="0009649C"/>
    <w:rsid w:val="0009665D"/>
    <w:rsid w:val="00096CA9"/>
    <w:rsid w:val="00096CBF"/>
    <w:rsid w:val="00096D8A"/>
    <w:rsid w:val="00097304"/>
    <w:rsid w:val="0009739A"/>
    <w:rsid w:val="0009750A"/>
    <w:rsid w:val="00097BD4"/>
    <w:rsid w:val="00097C5A"/>
    <w:rsid w:val="000A010C"/>
    <w:rsid w:val="000A03E6"/>
    <w:rsid w:val="000A0474"/>
    <w:rsid w:val="000A0F65"/>
    <w:rsid w:val="000A107A"/>
    <w:rsid w:val="000A10AD"/>
    <w:rsid w:val="000A13B9"/>
    <w:rsid w:val="000A159E"/>
    <w:rsid w:val="000A1A68"/>
    <w:rsid w:val="000A1B36"/>
    <w:rsid w:val="000A2193"/>
    <w:rsid w:val="000A2377"/>
    <w:rsid w:val="000A2414"/>
    <w:rsid w:val="000A24E6"/>
    <w:rsid w:val="000A2A5B"/>
    <w:rsid w:val="000A2DF8"/>
    <w:rsid w:val="000A2E6D"/>
    <w:rsid w:val="000A30F7"/>
    <w:rsid w:val="000A329B"/>
    <w:rsid w:val="000A3315"/>
    <w:rsid w:val="000A347A"/>
    <w:rsid w:val="000A3753"/>
    <w:rsid w:val="000A3851"/>
    <w:rsid w:val="000A3B25"/>
    <w:rsid w:val="000A3BAA"/>
    <w:rsid w:val="000A3C06"/>
    <w:rsid w:val="000A3DFB"/>
    <w:rsid w:val="000A408C"/>
    <w:rsid w:val="000A4271"/>
    <w:rsid w:val="000A4461"/>
    <w:rsid w:val="000A472B"/>
    <w:rsid w:val="000A488C"/>
    <w:rsid w:val="000A48E3"/>
    <w:rsid w:val="000A499B"/>
    <w:rsid w:val="000A49B2"/>
    <w:rsid w:val="000A4C5F"/>
    <w:rsid w:val="000A4DC1"/>
    <w:rsid w:val="000A51D8"/>
    <w:rsid w:val="000A524D"/>
    <w:rsid w:val="000A5324"/>
    <w:rsid w:val="000A53DB"/>
    <w:rsid w:val="000A55A5"/>
    <w:rsid w:val="000A5765"/>
    <w:rsid w:val="000A5AF4"/>
    <w:rsid w:val="000A61DB"/>
    <w:rsid w:val="000A6595"/>
    <w:rsid w:val="000A6621"/>
    <w:rsid w:val="000A6DB2"/>
    <w:rsid w:val="000A6F0D"/>
    <w:rsid w:val="000A74B2"/>
    <w:rsid w:val="000A7564"/>
    <w:rsid w:val="000A797F"/>
    <w:rsid w:val="000A79C7"/>
    <w:rsid w:val="000A7EA0"/>
    <w:rsid w:val="000A7EB1"/>
    <w:rsid w:val="000B0100"/>
    <w:rsid w:val="000B03AA"/>
    <w:rsid w:val="000B05AA"/>
    <w:rsid w:val="000B0A2B"/>
    <w:rsid w:val="000B1649"/>
    <w:rsid w:val="000B167B"/>
    <w:rsid w:val="000B16CC"/>
    <w:rsid w:val="000B1A98"/>
    <w:rsid w:val="000B1BEB"/>
    <w:rsid w:val="000B1C09"/>
    <w:rsid w:val="000B1FC6"/>
    <w:rsid w:val="000B2246"/>
    <w:rsid w:val="000B2581"/>
    <w:rsid w:val="000B2629"/>
    <w:rsid w:val="000B289D"/>
    <w:rsid w:val="000B2C0F"/>
    <w:rsid w:val="000B2D02"/>
    <w:rsid w:val="000B2E1A"/>
    <w:rsid w:val="000B2F98"/>
    <w:rsid w:val="000B321A"/>
    <w:rsid w:val="000B3274"/>
    <w:rsid w:val="000B3336"/>
    <w:rsid w:val="000B339E"/>
    <w:rsid w:val="000B37A4"/>
    <w:rsid w:val="000B3866"/>
    <w:rsid w:val="000B3D01"/>
    <w:rsid w:val="000B3D1B"/>
    <w:rsid w:val="000B4033"/>
    <w:rsid w:val="000B436B"/>
    <w:rsid w:val="000B4432"/>
    <w:rsid w:val="000B4836"/>
    <w:rsid w:val="000B4889"/>
    <w:rsid w:val="000B495D"/>
    <w:rsid w:val="000B4BEC"/>
    <w:rsid w:val="000B4C4B"/>
    <w:rsid w:val="000B4D26"/>
    <w:rsid w:val="000B4DF4"/>
    <w:rsid w:val="000B50B4"/>
    <w:rsid w:val="000B530A"/>
    <w:rsid w:val="000B55CE"/>
    <w:rsid w:val="000B57C5"/>
    <w:rsid w:val="000B5AD7"/>
    <w:rsid w:val="000B5C56"/>
    <w:rsid w:val="000B5E55"/>
    <w:rsid w:val="000B5F8B"/>
    <w:rsid w:val="000B632E"/>
    <w:rsid w:val="000B65B2"/>
    <w:rsid w:val="000B6737"/>
    <w:rsid w:val="000B6756"/>
    <w:rsid w:val="000B6836"/>
    <w:rsid w:val="000B7255"/>
    <w:rsid w:val="000B78BF"/>
    <w:rsid w:val="000B7916"/>
    <w:rsid w:val="000B79DD"/>
    <w:rsid w:val="000B7AE9"/>
    <w:rsid w:val="000C07F9"/>
    <w:rsid w:val="000C0941"/>
    <w:rsid w:val="000C113E"/>
    <w:rsid w:val="000C1239"/>
    <w:rsid w:val="000C1515"/>
    <w:rsid w:val="000C16B3"/>
    <w:rsid w:val="000C198E"/>
    <w:rsid w:val="000C1B83"/>
    <w:rsid w:val="000C1C54"/>
    <w:rsid w:val="000C2059"/>
    <w:rsid w:val="000C2193"/>
    <w:rsid w:val="000C21F5"/>
    <w:rsid w:val="000C26DD"/>
    <w:rsid w:val="000C289A"/>
    <w:rsid w:val="000C2C72"/>
    <w:rsid w:val="000C2CED"/>
    <w:rsid w:val="000C2EBC"/>
    <w:rsid w:val="000C2FB4"/>
    <w:rsid w:val="000C309D"/>
    <w:rsid w:val="000C32AC"/>
    <w:rsid w:val="000C3351"/>
    <w:rsid w:val="000C3451"/>
    <w:rsid w:val="000C374F"/>
    <w:rsid w:val="000C3B88"/>
    <w:rsid w:val="000C3DD2"/>
    <w:rsid w:val="000C410C"/>
    <w:rsid w:val="000C42EA"/>
    <w:rsid w:val="000C431C"/>
    <w:rsid w:val="000C480A"/>
    <w:rsid w:val="000C4D14"/>
    <w:rsid w:val="000C4ECA"/>
    <w:rsid w:val="000C5015"/>
    <w:rsid w:val="000C507F"/>
    <w:rsid w:val="000C511D"/>
    <w:rsid w:val="000C522A"/>
    <w:rsid w:val="000C528C"/>
    <w:rsid w:val="000C56E1"/>
    <w:rsid w:val="000C5892"/>
    <w:rsid w:val="000C5B0A"/>
    <w:rsid w:val="000C5C1A"/>
    <w:rsid w:val="000C5F74"/>
    <w:rsid w:val="000C6278"/>
    <w:rsid w:val="000C64A2"/>
    <w:rsid w:val="000C6567"/>
    <w:rsid w:val="000C6591"/>
    <w:rsid w:val="000C6598"/>
    <w:rsid w:val="000C6797"/>
    <w:rsid w:val="000C6BC9"/>
    <w:rsid w:val="000C6E00"/>
    <w:rsid w:val="000C7D1E"/>
    <w:rsid w:val="000C7DAA"/>
    <w:rsid w:val="000D02C6"/>
    <w:rsid w:val="000D04D4"/>
    <w:rsid w:val="000D0567"/>
    <w:rsid w:val="000D05D1"/>
    <w:rsid w:val="000D08DF"/>
    <w:rsid w:val="000D0AD3"/>
    <w:rsid w:val="000D0C57"/>
    <w:rsid w:val="000D0EF9"/>
    <w:rsid w:val="000D15AE"/>
    <w:rsid w:val="000D1821"/>
    <w:rsid w:val="000D1D56"/>
    <w:rsid w:val="000D1FDE"/>
    <w:rsid w:val="000D299B"/>
    <w:rsid w:val="000D2A26"/>
    <w:rsid w:val="000D2ACC"/>
    <w:rsid w:val="000D2F95"/>
    <w:rsid w:val="000D3141"/>
    <w:rsid w:val="000D334B"/>
    <w:rsid w:val="000D35D0"/>
    <w:rsid w:val="000D360B"/>
    <w:rsid w:val="000D3674"/>
    <w:rsid w:val="000D3A5D"/>
    <w:rsid w:val="000D3EF6"/>
    <w:rsid w:val="000D415D"/>
    <w:rsid w:val="000D4BE9"/>
    <w:rsid w:val="000D4F0D"/>
    <w:rsid w:val="000D4F7E"/>
    <w:rsid w:val="000D50C2"/>
    <w:rsid w:val="000D515D"/>
    <w:rsid w:val="000D55B2"/>
    <w:rsid w:val="000D55D1"/>
    <w:rsid w:val="000D56E6"/>
    <w:rsid w:val="000D587C"/>
    <w:rsid w:val="000D594F"/>
    <w:rsid w:val="000D59B1"/>
    <w:rsid w:val="000D5A0D"/>
    <w:rsid w:val="000D6545"/>
    <w:rsid w:val="000D65E4"/>
    <w:rsid w:val="000D685C"/>
    <w:rsid w:val="000D686F"/>
    <w:rsid w:val="000D68FB"/>
    <w:rsid w:val="000D6994"/>
    <w:rsid w:val="000D69A8"/>
    <w:rsid w:val="000D6BFD"/>
    <w:rsid w:val="000D7348"/>
    <w:rsid w:val="000D74C2"/>
    <w:rsid w:val="000D7547"/>
    <w:rsid w:val="000D75C9"/>
    <w:rsid w:val="000D79ED"/>
    <w:rsid w:val="000D7CC8"/>
    <w:rsid w:val="000D7F69"/>
    <w:rsid w:val="000D7F7F"/>
    <w:rsid w:val="000D7F9B"/>
    <w:rsid w:val="000E0028"/>
    <w:rsid w:val="000E0317"/>
    <w:rsid w:val="000E0395"/>
    <w:rsid w:val="000E03CE"/>
    <w:rsid w:val="000E0475"/>
    <w:rsid w:val="000E0476"/>
    <w:rsid w:val="000E0685"/>
    <w:rsid w:val="000E0830"/>
    <w:rsid w:val="000E0D24"/>
    <w:rsid w:val="000E16CF"/>
    <w:rsid w:val="000E1940"/>
    <w:rsid w:val="000E20A1"/>
    <w:rsid w:val="000E20A9"/>
    <w:rsid w:val="000E21E2"/>
    <w:rsid w:val="000E2234"/>
    <w:rsid w:val="000E2540"/>
    <w:rsid w:val="000E257E"/>
    <w:rsid w:val="000E290B"/>
    <w:rsid w:val="000E2B3D"/>
    <w:rsid w:val="000E2CB0"/>
    <w:rsid w:val="000E2E07"/>
    <w:rsid w:val="000E32AE"/>
    <w:rsid w:val="000E3D5A"/>
    <w:rsid w:val="000E3DF9"/>
    <w:rsid w:val="000E46F7"/>
    <w:rsid w:val="000E47F5"/>
    <w:rsid w:val="000E4C37"/>
    <w:rsid w:val="000E4CE0"/>
    <w:rsid w:val="000E4D8D"/>
    <w:rsid w:val="000E5361"/>
    <w:rsid w:val="000E5425"/>
    <w:rsid w:val="000E548A"/>
    <w:rsid w:val="000E5527"/>
    <w:rsid w:val="000E55CF"/>
    <w:rsid w:val="000E5A11"/>
    <w:rsid w:val="000E5C06"/>
    <w:rsid w:val="000E5D9B"/>
    <w:rsid w:val="000E5F8F"/>
    <w:rsid w:val="000E681A"/>
    <w:rsid w:val="000E6BF3"/>
    <w:rsid w:val="000E6C73"/>
    <w:rsid w:val="000E6E39"/>
    <w:rsid w:val="000E7494"/>
    <w:rsid w:val="000E7A4B"/>
    <w:rsid w:val="000E7A5F"/>
    <w:rsid w:val="000E7A8E"/>
    <w:rsid w:val="000E7BB0"/>
    <w:rsid w:val="000F00DA"/>
    <w:rsid w:val="000F054D"/>
    <w:rsid w:val="000F0953"/>
    <w:rsid w:val="000F11A4"/>
    <w:rsid w:val="000F125E"/>
    <w:rsid w:val="000F1716"/>
    <w:rsid w:val="000F1870"/>
    <w:rsid w:val="000F1A43"/>
    <w:rsid w:val="000F1BC5"/>
    <w:rsid w:val="000F1EE6"/>
    <w:rsid w:val="000F200E"/>
    <w:rsid w:val="000F2AB9"/>
    <w:rsid w:val="000F2C71"/>
    <w:rsid w:val="000F3182"/>
    <w:rsid w:val="000F3352"/>
    <w:rsid w:val="000F35DB"/>
    <w:rsid w:val="000F3657"/>
    <w:rsid w:val="000F3C74"/>
    <w:rsid w:val="000F3CEC"/>
    <w:rsid w:val="000F3E20"/>
    <w:rsid w:val="000F3F30"/>
    <w:rsid w:val="000F4847"/>
    <w:rsid w:val="000F4A32"/>
    <w:rsid w:val="000F5125"/>
    <w:rsid w:val="000F52C3"/>
    <w:rsid w:val="000F5320"/>
    <w:rsid w:val="000F54D5"/>
    <w:rsid w:val="000F56D9"/>
    <w:rsid w:val="000F5AC2"/>
    <w:rsid w:val="000F5FA3"/>
    <w:rsid w:val="000F64BB"/>
    <w:rsid w:val="000F6D50"/>
    <w:rsid w:val="000F6FC4"/>
    <w:rsid w:val="000F705C"/>
    <w:rsid w:val="000F70C9"/>
    <w:rsid w:val="000F7413"/>
    <w:rsid w:val="000F767A"/>
    <w:rsid w:val="000F77D8"/>
    <w:rsid w:val="000F7964"/>
    <w:rsid w:val="000F7971"/>
    <w:rsid w:val="000F7C8B"/>
    <w:rsid w:val="000F7DB6"/>
    <w:rsid w:val="000F7FEB"/>
    <w:rsid w:val="001000C2"/>
    <w:rsid w:val="001001C2"/>
    <w:rsid w:val="001001E4"/>
    <w:rsid w:val="00100C3D"/>
    <w:rsid w:val="00100D1B"/>
    <w:rsid w:val="00100E74"/>
    <w:rsid w:val="0010118C"/>
    <w:rsid w:val="00101660"/>
    <w:rsid w:val="00101773"/>
    <w:rsid w:val="0010184C"/>
    <w:rsid w:val="00101917"/>
    <w:rsid w:val="0010198E"/>
    <w:rsid w:val="00101D15"/>
    <w:rsid w:val="0010236F"/>
    <w:rsid w:val="00102454"/>
    <w:rsid w:val="00102973"/>
    <w:rsid w:val="00102B7E"/>
    <w:rsid w:val="00102C7A"/>
    <w:rsid w:val="00102DC6"/>
    <w:rsid w:val="00102E2E"/>
    <w:rsid w:val="00103262"/>
    <w:rsid w:val="00103586"/>
    <w:rsid w:val="00103673"/>
    <w:rsid w:val="00103732"/>
    <w:rsid w:val="00103AA4"/>
    <w:rsid w:val="00103D68"/>
    <w:rsid w:val="00104280"/>
    <w:rsid w:val="00104467"/>
    <w:rsid w:val="001044ED"/>
    <w:rsid w:val="001045DC"/>
    <w:rsid w:val="00104BCC"/>
    <w:rsid w:val="00105299"/>
    <w:rsid w:val="001052C9"/>
    <w:rsid w:val="00105326"/>
    <w:rsid w:val="0010543A"/>
    <w:rsid w:val="001058FF"/>
    <w:rsid w:val="00105A04"/>
    <w:rsid w:val="00105AF8"/>
    <w:rsid w:val="00105B64"/>
    <w:rsid w:val="0010641E"/>
    <w:rsid w:val="00106A3C"/>
    <w:rsid w:val="00106CC1"/>
    <w:rsid w:val="00106DBA"/>
    <w:rsid w:val="00106E0D"/>
    <w:rsid w:val="001072B3"/>
    <w:rsid w:val="001074A1"/>
    <w:rsid w:val="001077F8"/>
    <w:rsid w:val="00107972"/>
    <w:rsid w:val="00107B3B"/>
    <w:rsid w:val="0011048E"/>
    <w:rsid w:val="00110502"/>
    <w:rsid w:val="00110891"/>
    <w:rsid w:val="001109A8"/>
    <w:rsid w:val="00110A82"/>
    <w:rsid w:val="00110B13"/>
    <w:rsid w:val="00110B4D"/>
    <w:rsid w:val="00111001"/>
    <w:rsid w:val="001116E6"/>
    <w:rsid w:val="0011179E"/>
    <w:rsid w:val="00111A0B"/>
    <w:rsid w:val="00111CD9"/>
    <w:rsid w:val="0011280B"/>
    <w:rsid w:val="001129AD"/>
    <w:rsid w:val="00112D1A"/>
    <w:rsid w:val="00112D6A"/>
    <w:rsid w:val="00112FD5"/>
    <w:rsid w:val="00113293"/>
    <w:rsid w:val="001136FA"/>
    <w:rsid w:val="00113A05"/>
    <w:rsid w:val="00113D3D"/>
    <w:rsid w:val="00113D5F"/>
    <w:rsid w:val="00113DE4"/>
    <w:rsid w:val="00113E39"/>
    <w:rsid w:val="00113EFA"/>
    <w:rsid w:val="001141BF"/>
    <w:rsid w:val="001146E9"/>
    <w:rsid w:val="001147C3"/>
    <w:rsid w:val="001148BF"/>
    <w:rsid w:val="00114B7C"/>
    <w:rsid w:val="00115129"/>
    <w:rsid w:val="001153B9"/>
    <w:rsid w:val="00115B47"/>
    <w:rsid w:val="00115E5A"/>
    <w:rsid w:val="0011622A"/>
    <w:rsid w:val="0011635D"/>
    <w:rsid w:val="001163D5"/>
    <w:rsid w:val="00116455"/>
    <w:rsid w:val="00116573"/>
    <w:rsid w:val="001166E9"/>
    <w:rsid w:val="00116967"/>
    <w:rsid w:val="00116B72"/>
    <w:rsid w:val="001173EA"/>
    <w:rsid w:val="00117432"/>
    <w:rsid w:val="0011756C"/>
    <w:rsid w:val="001177F4"/>
    <w:rsid w:val="00117C9E"/>
    <w:rsid w:val="00117DE0"/>
    <w:rsid w:val="00117F8B"/>
    <w:rsid w:val="00120159"/>
    <w:rsid w:val="00120215"/>
    <w:rsid w:val="0012030F"/>
    <w:rsid w:val="00120364"/>
    <w:rsid w:val="001203DE"/>
    <w:rsid w:val="00120506"/>
    <w:rsid w:val="00120B27"/>
    <w:rsid w:val="00120BB8"/>
    <w:rsid w:val="00120C51"/>
    <w:rsid w:val="00120F96"/>
    <w:rsid w:val="001211A0"/>
    <w:rsid w:val="001213FB"/>
    <w:rsid w:val="001215BA"/>
    <w:rsid w:val="00121BA2"/>
    <w:rsid w:val="00121CA5"/>
    <w:rsid w:val="00121CDE"/>
    <w:rsid w:val="00121DC6"/>
    <w:rsid w:val="001221EB"/>
    <w:rsid w:val="001224F9"/>
    <w:rsid w:val="00122807"/>
    <w:rsid w:val="0012287D"/>
    <w:rsid w:val="00122C8B"/>
    <w:rsid w:val="00122CB8"/>
    <w:rsid w:val="00122D63"/>
    <w:rsid w:val="0012330A"/>
    <w:rsid w:val="001237AA"/>
    <w:rsid w:val="00123A03"/>
    <w:rsid w:val="001241D5"/>
    <w:rsid w:val="00124359"/>
    <w:rsid w:val="00124395"/>
    <w:rsid w:val="001246F9"/>
    <w:rsid w:val="00124C5D"/>
    <w:rsid w:val="0012511C"/>
    <w:rsid w:val="001253BB"/>
    <w:rsid w:val="00125564"/>
    <w:rsid w:val="00126081"/>
    <w:rsid w:val="001260B5"/>
    <w:rsid w:val="001266F0"/>
    <w:rsid w:val="001266FE"/>
    <w:rsid w:val="001269F1"/>
    <w:rsid w:val="00126EB4"/>
    <w:rsid w:val="001272E9"/>
    <w:rsid w:val="0012751F"/>
    <w:rsid w:val="001277DC"/>
    <w:rsid w:val="0012787C"/>
    <w:rsid w:val="001279E4"/>
    <w:rsid w:val="00127B52"/>
    <w:rsid w:val="00127EF3"/>
    <w:rsid w:val="00130090"/>
    <w:rsid w:val="0013074A"/>
    <w:rsid w:val="001307AD"/>
    <w:rsid w:val="001308E9"/>
    <w:rsid w:val="00130903"/>
    <w:rsid w:val="001309D9"/>
    <w:rsid w:val="00130AC9"/>
    <w:rsid w:val="00130E13"/>
    <w:rsid w:val="00130F1E"/>
    <w:rsid w:val="00131008"/>
    <w:rsid w:val="00131244"/>
    <w:rsid w:val="001313F4"/>
    <w:rsid w:val="00131420"/>
    <w:rsid w:val="001318C8"/>
    <w:rsid w:val="001319A2"/>
    <w:rsid w:val="00132964"/>
    <w:rsid w:val="00132D9A"/>
    <w:rsid w:val="00132FE6"/>
    <w:rsid w:val="001332BC"/>
    <w:rsid w:val="00133694"/>
    <w:rsid w:val="00133BC4"/>
    <w:rsid w:val="00133D21"/>
    <w:rsid w:val="00133D9B"/>
    <w:rsid w:val="00133ECA"/>
    <w:rsid w:val="00133EE6"/>
    <w:rsid w:val="001344DE"/>
    <w:rsid w:val="0013460A"/>
    <w:rsid w:val="001346F1"/>
    <w:rsid w:val="00134B08"/>
    <w:rsid w:val="001357DF"/>
    <w:rsid w:val="0013586E"/>
    <w:rsid w:val="0013593F"/>
    <w:rsid w:val="00135A68"/>
    <w:rsid w:val="00135B60"/>
    <w:rsid w:val="00135BDC"/>
    <w:rsid w:val="00135C78"/>
    <w:rsid w:val="001365D5"/>
    <w:rsid w:val="001367A6"/>
    <w:rsid w:val="001368F9"/>
    <w:rsid w:val="00136CDD"/>
    <w:rsid w:val="00136E55"/>
    <w:rsid w:val="0013785B"/>
    <w:rsid w:val="00137A7F"/>
    <w:rsid w:val="00137DBE"/>
    <w:rsid w:val="00137E96"/>
    <w:rsid w:val="00140185"/>
    <w:rsid w:val="001403AE"/>
    <w:rsid w:val="001403F8"/>
    <w:rsid w:val="001404AF"/>
    <w:rsid w:val="00140587"/>
    <w:rsid w:val="00140A1C"/>
    <w:rsid w:val="00140A4F"/>
    <w:rsid w:val="0014104E"/>
    <w:rsid w:val="001413B6"/>
    <w:rsid w:val="001413F3"/>
    <w:rsid w:val="0014142C"/>
    <w:rsid w:val="0014163E"/>
    <w:rsid w:val="001418C1"/>
    <w:rsid w:val="001420E7"/>
    <w:rsid w:val="001429A5"/>
    <w:rsid w:val="00142B4B"/>
    <w:rsid w:val="00143007"/>
    <w:rsid w:val="001431BF"/>
    <w:rsid w:val="00143235"/>
    <w:rsid w:val="001435CA"/>
    <w:rsid w:val="00143C82"/>
    <w:rsid w:val="00143ED7"/>
    <w:rsid w:val="001440F9"/>
    <w:rsid w:val="0014414B"/>
    <w:rsid w:val="001441E4"/>
    <w:rsid w:val="0014436C"/>
    <w:rsid w:val="001444DF"/>
    <w:rsid w:val="00144787"/>
    <w:rsid w:val="001451A3"/>
    <w:rsid w:val="0014535D"/>
    <w:rsid w:val="00145521"/>
    <w:rsid w:val="0014555F"/>
    <w:rsid w:val="00145581"/>
    <w:rsid w:val="0014570B"/>
    <w:rsid w:val="00145C02"/>
    <w:rsid w:val="0014647C"/>
    <w:rsid w:val="00146636"/>
    <w:rsid w:val="00146A8A"/>
    <w:rsid w:val="00146DD6"/>
    <w:rsid w:val="00146DE9"/>
    <w:rsid w:val="00146EBB"/>
    <w:rsid w:val="00146EFB"/>
    <w:rsid w:val="00146FE2"/>
    <w:rsid w:val="00147253"/>
    <w:rsid w:val="00147352"/>
    <w:rsid w:val="001473CA"/>
    <w:rsid w:val="00147BAB"/>
    <w:rsid w:val="00147C73"/>
    <w:rsid w:val="001501A7"/>
    <w:rsid w:val="00150452"/>
    <w:rsid w:val="00150766"/>
    <w:rsid w:val="0015095C"/>
    <w:rsid w:val="00150C7D"/>
    <w:rsid w:val="00150E73"/>
    <w:rsid w:val="00151BC9"/>
    <w:rsid w:val="001525F7"/>
    <w:rsid w:val="00152A40"/>
    <w:rsid w:val="00152F3E"/>
    <w:rsid w:val="00153173"/>
    <w:rsid w:val="001531E6"/>
    <w:rsid w:val="0015353C"/>
    <w:rsid w:val="00153553"/>
    <w:rsid w:val="00153E3D"/>
    <w:rsid w:val="00153F20"/>
    <w:rsid w:val="00153FFB"/>
    <w:rsid w:val="001540E6"/>
    <w:rsid w:val="0015412A"/>
    <w:rsid w:val="00154233"/>
    <w:rsid w:val="001543BB"/>
    <w:rsid w:val="001546A5"/>
    <w:rsid w:val="00154905"/>
    <w:rsid w:val="00154DC2"/>
    <w:rsid w:val="00154EDC"/>
    <w:rsid w:val="00155245"/>
    <w:rsid w:val="00155329"/>
    <w:rsid w:val="0015574F"/>
    <w:rsid w:val="00155C58"/>
    <w:rsid w:val="00155C9F"/>
    <w:rsid w:val="0015674A"/>
    <w:rsid w:val="00156F83"/>
    <w:rsid w:val="001572E4"/>
    <w:rsid w:val="00157369"/>
    <w:rsid w:val="001573AF"/>
    <w:rsid w:val="00157776"/>
    <w:rsid w:val="00157A27"/>
    <w:rsid w:val="00157AC7"/>
    <w:rsid w:val="00157B62"/>
    <w:rsid w:val="00157F9E"/>
    <w:rsid w:val="001601D1"/>
    <w:rsid w:val="001608C1"/>
    <w:rsid w:val="001608E6"/>
    <w:rsid w:val="00160998"/>
    <w:rsid w:val="00160A5F"/>
    <w:rsid w:val="00160B3C"/>
    <w:rsid w:val="00160D4C"/>
    <w:rsid w:val="001611BB"/>
    <w:rsid w:val="0016129D"/>
    <w:rsid w:val="001613DF"/>
    <w:rsid w:val="00161965"/>
    <w:rsid w:val="00161B04"/>
    <w:rsid w:val="00161D45"/>
    <w:rsid w:val="00161FE5"/>
    <w:rsid w:val="001620F0"/>
    <w:rsid w:val="001624E8"/>
    <w:rsid w:val="001626C9"/>
    <w:rsid w:val="001627DF"/>
    <w:rsid w:val="00162F3A"/>
    <w:rsid w:val="0016329C"/>
    <w:rsid w:val="0016394F"/>
    <w:rsid w:val="00163A2C"/>
    <w:rsid w:val="00163F91"/>
    <w:rsid w:val="00163FB2"/>
    <w:rsid w:val="00164264"/>
    <w:rsid w:val="001643A6"/>
    <w:rsid w:val="001643D8"/>
    <w:rsid w:val="0016448F"/>
    <w:rsid w:val="00164620"/>
    <w:rsid w:val="001647EB"/>
    <w:rsid w:val="00164BEB"/>
    <w:rsid w:val="00164D26"/>
    <w:rsid w:val="00164E1B"/>
    <w:rsid w:val="00165EB3"/>
    <w:rsid w:val="00166228"/>
    <w:rsid w:val="00166A1F"/>
    <w:rsid w:val="00166B11"/>
    <w:rsid w:val="00166C82"/>
    <w:rsid w:val="00166F9A"/>
    <w:rsid w:val="00167695"/>
    <w:rsid w:val="00167F63"/>
    <w:rsid w:val="001700EC"/>
    <w:rsid w:val="00170261"/>
    <w:rsid w:val="001703E2"/>
    <w:rsid w:val="00170486"/>
    <w:rsid w:val="0017049B"/>
    <w:rsid w:val="00170826"/>
    <w:rsid w:val="0017093D"/>
    <w:rsid w:val="00171188"/>
    <w:rsid w:val="001713CA"/>
    <w:rsid w:val="00171A9E"/>
    <w:rsid w:val="00171C59"/>
    <w:rsid w:val="0017217F"/>
    <w:rsid w:val="001722C2"/>
    <w:rsid w:val="0017237A"/>
    <w:rsid w:val="00172446"/>
    <w:rsid w:val="0017278E"/>
    <w:rsid w:val="00172CA6"/>
    <w:rsid w:val="00172DF0"/>
    <w:rsid w:val="001730A5"/>
    <w:rsid w:val="001732B1"/>
    <w:rsid w:val="00173463"/>
    <w:rsid w:val="0017349D"/>
    <w:rsid w:val="001737AF"/>
    <w:rsid w:val="00173803"/>
    <w:rsid w:val="00173AAF"/>
    <w:rsid w:val="00173C64"/>
    <w:rsid w:val="00173CF9"/>
    <w:rsid w:val="00173E86"/>
    <w:rsid w:val="00174151"/>
    <w:rsid w:val="001742FC"/>
    <w:rsid w:val="00174458"/>
    <w:rsid w:val="001744FF"/>
    <w:rsid w:val="001747C2"/>
    <w:rsid w:val="001747F8"/>
    <w:rsid w:val="00174A3C"/>
    <w:rsid w:val="00174D45"/>
    <w:rsid w:val="00175847"/>
    <w:rsid w:val="001759B9"/>
    <w:rsid w:val="0017600E"/>
    <w:rsid w:val="001762AC"/>
    <w:rsid w:val="00176764"/>
    <w:rsid w:val="00176BF7"/>
    <w:rsid w:val="00176F46"/>
    <w:rsid w:val="00176F60"/>
    <w:rsid w:val="001772A2"/>
    <w:rsid w:val="001772FE"/>
    <w:rsid w:val="00177400"/>
    <w:rsid w:val="0017747D"/>
    <w:rsid w:val="0017778C"/>
    <w:rsid w:val="00177908"/>
    <w:rsid w:val="001779E5"/>
    <w:rsid w:val="00177E3F"/>
    <w:rsid w:val="00177EF0"/>
    <w:rsid w:val="00177FEE"/>
    <w:rsid w:val="0018033E"/>
    <w:rsid w:val="00180736"/>
    <w:rsid w:val="00180E8A"/>
    <w:rsid w:val="001810BC"/>
    <w:rsid w:val="001810FB"/>
    <w:rsid w:val="0018118F"/>
    <w:rsid w:val="0018139C"/>
    <w:rsid w:val="001814DC"/>
    <w:rsid w:val="00181684"/>
    <w:rsid w:val="00181D19"/>
    <w:rsid w:val="00181ED4"/>
    <w:rsid w:val="00182299"/>
    <w:rsid w:val="0018249C"/>
    <w:rsid w:val="00182642"/>
    <w:rsid w:val="0018270D"/>
    <w:rsid w:val="00182859"/>
    <w:rsid w:val="00182C36"/>
    <w:rsid w:val="0018309C"/>
    <w:rsid w:val="001830A2"/>
    <w:rsid w:val="001832D8"/>
    <w:rsid w:val="001835D2"/>
    <w:rsid w:val="00183630"/>
    <w:rsid w:val="00183AC2"/>
    <w:rsid w:val="00183CE2"/>
    <w:rsid w:val="00184364"/>
    <w:rsid w:val="0018442D"/>
    <w:rsid w:val="0018456B"/>
    <w:rsid w:val="0018478C"/>
    <w:rsid w:val="00184DBB"/>
    <w:rsid w:val="00185188"/>
    <w:rsid w:val="00185876"/>
    <w:rsid w:val="001859CF"/>
    <w:rsid w:val="00185E1A"/>
    <w:rsid w:val="00185E5E"/>
    <w:rsid w:val="001861C3"/>
    <w:rsid w:val="00186611"/>
    <w:rsid w:val="00186A81"/>
    <w:rsid w:val="00186ABB"/>
    <w:rsid w:val="00186B95"/>
    <w:rsid w:val="00186E6D"/>
    <w:rsid w:val="001870C1"/>
    <w:rsid w:val="00187957"/>
    <w:rsid w:val="00187A1A"/>
    <w:rsid w:val="00187D73"/>
    <w:rsid w:val="00187E01"/>
    <w:rsid w:val="00187E34"/>
    <w:rsid w:val="00187E51"/>
    <w:rsid w:val="0019060C"/>
    <w:rsid w:val="00190B3D"/>
    <w:rsid w:val="00190EBA"/>
    <w:rsid w:val="00190FE3"/>
    <w:rsid w:val="001915FB"/>
    <w:rsid w:val="001916F0"/>
    <w:rsid w:val="0019189F"/>
    <w:rsid w:val="00191A29"/>
    <w:rsid w:val="00191AD8"/>
    <w:rsid w:val="00191F02"/>
    <w:rsid w:val="00191FF7"/>
    <w:rsid w:val="00192241"/>
    <w:rsid w:val="001923E7"/>
    <w:rsid w:val="00192420"/>
    <w:rsid w:val="00192B24"/>
    <w:rsid w:val="00192C81"/>
    <w:rsid w:val="00192E8D"/>
    <w:rsid w:val="00192F52"/>
    <w:rsid w:val="0019311B"/>
    <w:rsid w:val="00193123"/>
    <w:rsid w:val="00193160"/>
    <w:rsid w:val="00193334"/>
    <w:rsid w:val="00193560"/>
    <w:rsid w:val="001935F8"/>
    <w:rsid w:val="00193909"/>
    <w:rsid w:val="001939E2"/>
    <w:rsid w:val="00193AD2"/>
    <w:rsid w:val="00193D9C"/>
    <w:rsid w:val="00193F19"/>
    <w:rsid w:val="00193FFA"/>
    <w:rsid w:val="0019479A"/>
    <w:rsid w:val="00194B5C"/>
    <w:rsid w:val="00194CC8"/>
    <w:rsid w:val="00194D6A"/>
    <w:rsid w:val="00194FAF"/>
    <w:rsid w:val="0019549F"/>
    <w:rsid w:val="001959E4"/>
    <w:rsid w:val="00195AA1"/>
    <w:rsid w:val="00195EB7"/>
    <w:rsid w:val="00195FC1"/>
    <w:rsid w:val="00196043"/>
    <w:rsid w:val="00196131"/>
    <w:rsid w:val="00196153"/>
    <w:rsid w:val="00196C8D"/>
    <w:rsid w:val="00196EAD"/>
    <w:rsid w:val="00196EBD"/>
    <w:rsid w:val="00196FE4"/>
    <w:rsid w:val="00197105"/>
    <w:rsid w:val="0019710F"/>
    <w:rsid w:val="00197305"/>
    <w:rsid w:val="0019743D"/>
    <w:rsid w:val="00197646"/>
    <w:rsid w:val="001979A5"/>
    <w:rsid w:val="00197A18"/>
    <w:rsid w:val="00197D0C"/>
    <w:rsid w:val="00197E7C"/>
    <w:rsid w:val="00197ED5"/>
    <w:rsid w:val="001A015F"/>
    <w:rsid w:val="001A0232"/>
    <w:rsid w:val="001A024C"/>
    <w:rsid w:val="001A0314"/>
    <w:rsid w:val="001A0484"/>
    <w:rsid w:val="001A048F"/>
    <w:rsid w:val="001A0497"/>
    <w:rsid w:val="001A049A"/>
    <w:rsid w:val="001A0CB7"/>
    <w:rsid w:val="001A111F"/>
    <w:rsid w:val="001A1228"/>
    <w:rsid w:val="001A1798"/>
    <w:rsid w:val="001A1A09"/>
    <w:rsid w:val="001A1B92"/>
    <w:rsid w:val="001A1BC1"/>
    <w:rsid w:val="001A1DDB"/>
    <w:rsid w:val="001A1F61"/>
    <w:rsid w:val="001A1F76"/>
    <w:rsid w:val="001A21A5"/>
    <w:rsid w:val="001A2259"/>
    <w:rsid w:val="001A24D8"/>
    <w:rsid w:val="001A28FD"/>
    <w:rsid w:val="001A2A22"/>
    <w:rsid w:val="001A2C28"/>
    <w:rsid w:val="001A35B1"/>
    <w:rsid w:val="001A389E"/>
    <w:rsid w:val="001A3CF3"/>
    <w:rsid w:val="001A3E72"/>
    <w:rsid w:val="001A3E90"/>
    <w:rsid w:val="001A3ED8"/>
    <w:rsid w:val="001A4521"/>
    <w:rsid w:val="001A4633"/>
    <w:rsid w:val="001A464B"/>
    <w:rsid w:val="001A46E4"/>
    <w:rsid w:val="001A48F7"/>
    <w:rsid w:val="001A4A06"/>
    <w:rsid w:val="001A4D46"/>
    <w:rsid w:val="001A4E64"/>
    <w:rsid w:val="001A50CA"/>
    <w:rsid w:val="001A559E"/>
    <w:rsid w:val="001A5A44"/>
    <w:rsid w:val="001A5A49"/>
    <w:rsid w:val="001A5DA1"/>
    <w:rsid w:val="001A62B6"/>
    <w:rsid w:val="001A65DF"/>
    <w:rsid w:val="001A6823"/>
    <w:rsid w:val="001A6893"/>
    <w:rsid w:val="001A6A6D"/>
    <w:rsid w:val="001A6F26"/>
    <w:rsid w:val="001A722F"/>
    <w:rsid w:val="001A7262"/>
    <w:rsid w:val="001A74E9"/>
    <w:rsid w:val="001A7525"/>
    <w:rsid w:val="001A777C"/>
    <w:rsid w:val="001A7998"/>
    <w:rsid w:val="001A7A81"/>
    <w:rsid w:val="001B0349"/>
    <w:rsid w:val="001B07E6"/>
    <w:rsid w:val="001B0801"/>
    <w:rsid w:val="001B0AD0"/>
    <w:rsid w:val="001B0C55"/>
    <w:rsid w:val="001B0CD5"/>
    <w:rsid w:val="001B10E6"/>
    <w:rsid w:val="001B131E"/>
    <w:rsid w:val="001B17E0"/>
    <w:rsid w:val="001B1B29"/>
    <w:rsid w:val="001B1B93"/>
    <w:rsid w:val="001B1E72"/>
    <w:rsid w:val="001B24F7"/>
    <w:rsid w:val="001B27C7"/>
    <w:rsid w:val="001B2A4B"/>
    <w:rsid w:val="001B2B15"/>
    <w:rsid w:val="001B2D24"/>
    <w:rsid w:val="001B33F3"/>
    <w:rsid w:val="001B397D"/>
    <w:rsid w:val="001B3D70"/>
    <w:rsid w:val="001B4150"/>
    <w:rsid w:val="001B428D"/>
    <w:rsid w:val="001B43D7"/>
    <w:rsid w:val="001B47A5"/>
    <w:rsid w:val="001B47C7"/>
    <w:rsid w:val="001B4DF1"/>
    <w:rsid w:val="001B4FA9"/>
    <w:rsid w:val="001B5431"/>
    <w:rsid w:val="001B56F9"/>
    <w:rsid w:val="001B586E"/>
    <w:rsid w:val="001B59A8"/>
    <w:rsid w:val="001B6181"/>
    <w:rsid w:val="001B6BDD"/>
    <w:rsid w:val="001B7371"/>
    <w:rsid w:val="001B74C8"/>
    <w:rsid w:val="001B7A0B"/>
    <w:rsid w:val="001B7C1A"/>
    <w:rsid w:val="001B7CC7"/>
    <w:rsid w:val="001B7E59"/>
    <w:rsid w:val="001B7E79"/>
    <w:rsid w:val="001B7ED3"/>
    <w:rsid w:val="001C00CA"/>
    <w:rsid w:val="001C086A"/>
    <w:rsid w:val="001C08D8"/>
    <w:rsid w:val="001C0901"/>
    <w:rsid w:val="001C0996"/>
    <w:rsid w:val="001C09C5"/>
    <w:rsid w:val="001C1066"/>
    <w:rsid w:val="001C1101"/>
    <w:rsid w:val="001C124F"/>
    <w:rsid w:val="001C164F"/>
    <w:rsid w:val="001C16D8"/>
    <w:rsid w:val="001C180A"/>
    <w:rsid w:val="001C19F6"/>
    <w:rsid w:val="001C1A07"/>
    <w:rsid w:val="001C20AA"/>
    <w:rsid w:val="001C20ED"/>
    <w:rsid w:val="001C2153"/>
    <w:rsid w:val="001C220D"/>
    <w:rsid w:val="001C2699"/>
    <w:rsid w:val="001C2784"/>
    <w:rsid w:val="001C2DC7"/>
    <w:rsid w:val="001C2EBF"/>
    <w:rsid w:val="001C2F75"/>
    <w:rsid w:val="001C3135"/>
    <w:rsid w:val="001C31C2"/>
    <w:rsid w:val="001C31E6"/>
    <w:rsid w:val="001C3203"/>
    <w:rsid w:val="001C320F"/>
    <w:rsid w:val="001C38BE"/>
    <w:rsid w:val="001C3AC9"/>
    <w:rsid w:val="001C3BDC"/>
    <w:rsid w:val="001C4454"/>
    <w:rsid w:val="001C45BF"/>
    <w:rsid w:val="001C4942"/>
    <w:rsid w:val="001C49A3"/>
    <w:rsid w:val="001C5116"/>
    <w:rsid w:val="001C568F"/>
    <w:rsid w:val="001C56EB"/>
    <w:rsid w:val="001C5819"/>
    <w:rsid w:val="001C5F65"/>
    <w:rsid w:val="001C616A"/>
    <w:rsid w:val="001C6550"/>
    <w:rsid w:val="001C6579"/>
    <w:rsid w:val="001C6695"/>
    <w:rsid w:val="001C674F"/>
    <w:rsid w:val="001C6764"/>
    <w:rsid w:val="001C67E6"/>
    <w:rsid w:val="001C68CF"/>
    <w:rsid w:val="001C68FC"/>
    <w:rsid w:val="001C729E"/>
    <w:rsid w:val="001C754A"/>
    <w:rsid w:val="001C7B1A"/>
    <w:rsid w:val="001C7B63"/>
    <w:rsid w:val="001C7C47"/>
    <w:rsid w:val="001C7C73"/>
    <w:rsid w:val="001C7CA0"/>
    <w:rsid w:val="001C7D14"/>
    <w:rsid w:val="001D00F5"/>
    <w:rsid w:val="001D0314"/>
    <w:rsid w:val="001D0604"/>
    <w:rsid w:val="001D06EB"/>
    <w:rsid w:val="001D0868"/>
    <w:rsid w:val="001D0AFA"/>
    <w:rsid w:val="001D0BCE"/>
    <w:rsid w:val="001D0C15"/>
    <w:rsid w:val="001D0C99"/>
    <w:rsid w:val="001D0D8F"/>
    <w:rsid w:val="001D1319"/>
    <w:rsid w:val="001D18FA"/>
    <w:rsid w:val="001D190E"/>
    <w:rsid w:val="001D19FB"/>
    <w:rsid w:val="001D1A29"/>
    <w:rsid w:val="001D1B3D"/>
    <w:rsid w:val="001D1B4F"/>
    <w:rsid w:val="001D1BB8"/>
    <w:rsid w:val="001D1D89"/>
    <w:rsid w:val="001D1F17"/>
    <w:rsid w:val="001D1FB4"/>
    <w:rsid w:val="001D2128"/>
    <w:rsid w:val="001D2278"/>
    <w:rsid w:val="001D24E6"/>
    <w:rsid w:val="001D2601"/>
    <w:rsid w:val="001D28F4"/>
    <w:rsid w:val="001D2B0F"/>
    <w:rsid w:val="001D3AF2"/>
    <w:rsid w:val="001D3C5E"/>
    <w:rsid w:val="001D3F10"/>
    <w:rsid w:val="001D4354"/>
    <w:rsid w:val="001D45FF"/>
    <w:rsid w:val="001D4724"/>
    <w:rsid w:val="001D474E"/>
    <w:rsid w:val="001D4A79"/>
    <w:rsid w:val="001D4F31"/>
    <w:rsid w:val="001D51B3"/>
    <w:rsid w:val="001D51C1"/>
    <w:rsid w:val="001D5243"/>
    <w:rsid w:val="001D5718"/>
    <w:rsid w:val="001D58B5"/>
    <w:rsid w:val="001D58FA"/>
    <w:rsid w:val="001D5951"/>
    <w:rsid w:val="001D5991"/>
    <w:rsid w:val="001D5A47"/>
    <w:rsid w:val="001D5DE7"/>
    <w:rsid w:val="001D604B"/>
    <w:rsid w:val="001D677C"/>
    <w:rsid w:val="001D6C6E"/>
    <w:rsid w:val="001D6DC2"/>
    <w:rsid w:val="001D6E9B"/>
    <w:rsid w:val="001D6FFE"/>
    <w:rsid w:val="001D7309"/>
    <w:rsid w:val="001D7443"/>
    <w:rsid w:val="001D75B4"/>
    <w:rsid w:val="001D7AB0"/>
    <w:rsid w:val="001D7C53"/>
    <w:rsid w:val="001D7FA1"/>
    <w:rsid w:val="001E0B31"/>
    <w:rsid w:val="001E0E9C"/>
    <w:rsid w:val="001E1282"/>
    <w:rsid w:val="001E1765"/>
    <w:rsid w:val="001E1E15"/>
    <w:rsid w:val="001E26C6"/>
    <w:rsid w:val="001E27B5"/>
    <w:rsid w:val="001E2BB1"/>
    <w:rsid w:val="001E305D"/>
    <w:rsid w:val="001E306D"/>
    <w:rsid w:val="001E32DE"/>
    <w:rsid w:val="001E3AB4"/>
    <w:rsid w:val="001E4B41"/>
    <w:rsid w:val="001E4C73"/>
    <w:rsid w:val="001E4F2B"/>
    <w:rsid w:val="001E55C7"/>
    <w:rsid w:val="001E56FF"/>
    <w:rsid w:val="001E5765"/>
    <w:rsid w:val="001E5C00"/>
    <w:rsid w:val="001E5D97"/>
    <w:rsid w:val="001E5DA5"/>
    <w:rsid w:val="001E6331"/>
    <w:rsid w:val="001E67F7"/>
    <w:rsid w:val="001E6829"/>
    <w:rsid w:val="001E694E"/>
    <w:rsid w:val="001E69B7"/>
    <w:rsid w:val="001E6D7F"/>
    <w:rsid w:val="001E6ED9"/>
    <w:rsid w:val="001E71C8"/>
    <w:rsid w:val="001E724E"/>
    <w:rsid w:val="001E74A1"/>
    <w:rsid w:val="001E74D7"/>
    <w:rsid w:val="001E75C3"/>
    <w:rsid w:val="001E77CA"/>
    <w:rsid w:val="001E7802"/>
    <w:rsid w:val="001E7AD9"/>
    <w:rsid w:val="001E7B4E"/>
    <w:rsid w:val="001E7EE7"/>
    <w:rsid w:val="001F01A9"/>
    <w:rsid w:val="001F01AD"/>
    <w:rsid w:val="001F09D1"/>
    <w:rsid w:val="001F09FD"/>
    <w:rsid w:val="001F0F0B"/>
    <w:rsid w:val="001F1023"/>
    <w:rsid w:val="001F1205"/>
    <w:rsid w:val="001F1C1E"/>
    <w:rsid w:val="001F1DF1"/>
    <w:rsid w:val="001F21BA"/>
    <w:rsid w:val="001F2237"/>
    <w:rsid w:val="001F2561"/>
    <w:rsid w:val="001F2818"/>
    <w:rsid w:val="001F28F2"/>
    <w:rsid w:val="001F2904"/>
    <w:rsid w:val="001F2A2C"/>
    <w:rsid w:val="001F2B75"/>
    <w:rsid w:val="001F343D"/>
    <w:rsid w:val="001F34A4"/>
    <w:rsid w:val="001F34FE"/>
    <w:rsid w:val="001F36F5"/>
    <w:rsid w:val="001F37B3"/>
    <w:rsid w:val="001F39A7"/>
    <w:rsid w:val="001F40EB"/>
    <w:rsid w:val="001F43D2"/>
    <w:rsid w:val="001F459C"/>
    <w:rsid w:val="001F4668"/>
    <w:rsid w:val="001F4920"/>
    <w:rsid w:val="001F4BBE"/>
    <w:rsid w:val="001F53FE"/>
    <w:rsid w:val="001F56BF"/>
    <w:rsid w:val="001F5719"/>
    <w:rsid w:val="001F6052"/>
    <w:rsid w:val="001F6113"/>
    <w:rsid w:val="001F678D"/>
    <w:rsid w:val="001F681E"/>
    <w:rsid w:val="001F6B86"/>
    <w:rsid w:val="001F6BC3"/>
    <w:rsid w:val="001F7398"/>
    <w:rsid w:val="001F7695"/>
    <w:rsid w:val="001F77EE"/>
    <w:rsid w:val="001F7A1B"/>
    <w:rsid w:val="001F7F2B"/>
    <w:rsid w:val="002004F3"/>
    <w:rsid w:val="00200E09"/>
    <w:rsid w:val="00200E36"/>
    <w:rsid w:val="0020104F"/>
    <w:rsid w:val="002010D9"/>
    <w:rsid w:val="00201544"/>
    <w:rsid w:val="002019A6"/>
    <w:rsid w:val="002019A8"/>
    <w:rsid w:val="00201AB9"/>
    <w:rsid w:val="00201F42"/>
    <w:rsid w:val="00201FFD"/>
    <w:rsid w:val="00202409"/>
    <w:rsid w:val="0020241C"/>
    <w:rsid w:val="0020255D"/>
    <w:rsid w:val="00202599"/>
    <w:rsid w:val="00202C04"/>
    <w:rsid w:val="00202F98"/>
    <w:rsid w:val="002030A3"/>
    <w:rsid w:val="00203629"/>
    <w:rsid w:val="00203AFC"/>
    <w:rsid w:val="00203DCE"/>
    <w:rsid w:val="00203DD1"/>
    <w:rsid w:val="00204824"/>
    <w:rsid w:val="00204BBA"/>
    <w:rsid w:val="00204CC3"/>
    <w:rsid w:val="002050E3"/>
    <w:rsid w:val="002051AE"/>
    <w:rsid w:val="002055BD"/>
    <w:rsid w:val="0020589D"/>
    <w:rsid w:val="002058FE"/>
    <w:rsid w:val="00205963"/>
    <w:rsid w:val="00205B57"/>
    <w:rsid w:val="00205B8C"/>
    <w:rsid w:val="00205CA8"/>
    <w:rsid w:val="0020603A"/>
    <w:rsid w:val="0020636F"/>
    <w:rsid w:val="00206407"/>
    <w:rsid w:val="00206587"/>
    <w:rsid w:val="002066AB"/>
    <w:rsid w:val="0020694E"/>
    <w:rsid w:val="00206D6A"/>
    <w:rsid w:val="0020703D"/>
    <w:rsid w:val="00207534"/>
    <w:rsid w:val="00207597"/>
    <w:rsid w:val="0020794A"/>
    <w:rsid w:val="00207C6D"/>
    <w:rsid w:val="0021048B"/>
    <w:rsid w:val="002104D7"/>
    <w:rsid w:val="00210561"/>
    <w:rsid w:val="00210827"/>
    <w:rsid w:val="00210884"/>
    <w:rsid w:val="002109A1"/>
    <w:rsid w:val="00211095"/>
    <w:rsid w:val="002110CF"/>
    <w:rsid w:val="00211276"/>
    <w:rsid w:val="00211417"/>
    <w:rsid w:val="00211588"/>
    <w:rsid w:val="00211678"/>
    <w:rsid w:val="00211831"/>
    <w:rsid w:val="00211994"/>
    <w:rsid w:val="00211AE4"/>
    <w:rsid w:val="00211C00"/>
    <w:rsid w:val="002124C8"/>
    <w:rsid w:val="00212536"/>
    <w:rsid w:val="00212686"/>
    <w:rsid w:val="00212A76"/>
    <w:rsid w:val="00212C13"/>
    <w:rsid w:val="0021315E"/>
    <w:rsid w:val="002131E9"/>
    <w:rsid w:val="002132EE"/>
    <w:rsid w:val="002133BF"/>
    <w:rsid w:val="002134F8"/>
    <w:rsid w:val="002138F8"/>
    <w:rsid w:val="00213CC5"/>
    <w:rsid w:val="00213CCD"/>
    <w:rsid w:val="00213F40"/>
    <w:rsid w:val="002144F1"/>
    <w:rsid w:val="002146C8"/>
    <w:rsid w:val="002146F8"/>
    <w:rsid w:val="002148E5"/>
    <w:rsid w:val="002157DD"/>
    <w:rsid w:val="002158FC"/>
    <w:rsid w:val="00215B59"/>
    <w:rsid w:val="00215F62"/>
    <w:rsid w:val="00215FF3"/>
    <w:rsid w:val="00216743"/>
    <w:rsid w:val="00216921"/>
    <w:rsid w:val="00216DA9"/>
    <w:rsid w:val="00216EFE"/>
    <w:rsid w:val="002175BD"/>
    <w:rsid w:val="00217630"/>
    <w:rsid w:val="00217A94"/>
    <w:rsid w:val="00217BF2"/>
    <w:rsid w:val="00217C72"/>
    <w:rsid w:val="00217EA5"/>
    <w:rsid w:val="002204AB"/>
    <w:rsid w:val="0022069A"/>
    <w:rsid w:val="002206CB"/>
    <w:rsid w:val="002206F4"/>
    <w:rsid w:val="0022070B"/>
    <w:rsid w:val="00220731"/>
    <w:rsid w:val="00220936"/>
    <w:rsid w:val="00220967"/>
    <w:rsid w:val="00220B70"/>
    <w:rsid w:val="00220DA1"/>
    <w:rsid w:val="00221417"/>
    <w:rsid w:val="002217DF"/>
    <w:rsid w:val="00221850"/>
    <w:rsid w:val="002218A1"/>
    <w:rsid w:val="002219AE"/>
    <w:rsid w:val="002219AF"/>
    <w:rsid w:val="00221B9D"/>
    <w:rsid w:val="00221D8C"/>
    <w:rsid w:val="00221DCB"/>
    <w:rsid w:val="00221EAF"/>
    <w:rsid w:val="0022214D"/>
    <w:rsid w:val="00222185"/>
    <w:rsid w:val="0022275E"/>
    <w:rsid w:val="00222B23"/>
    <w:rsid w:val="00223436"/>
    <w:rsid w:val="002236CF"/>
    <w:rsid w:val="00223718"/>
    <w:rsid w:val="0022383B"/>
    <w:rsid w:val="00223D53"/>
    <w:rsid w:val="00223E99"/>
    <w:rsid w:val="00224166"/>
    <w:rsid w:val="0022427E"/>
    <w:rsid w:val="002245B7"/>
    <w:rsid w:val="0022495C"/>
    <w:rsid w:val="00224C6B"/>
    <w:rsid w:val="00224E1A"/>
    <w:rsid w:val="002256EA"/>
    <w:rsid w:val="0022590B"/>
    <w:rsid w:val="00225926"/>
    <w:rsid w:val="00226117"/>
    <w:rsid w:val="0022633F"/>
    <w:rsid w:val="00226418"/>
    <w:rsid w:val="00226A7B"/>
    <w:rsid w:val="00226CCB"/>
    <w:rsid w:val="00226D0E"/>
    <w:rsid w:val="00226F5D"/>
    <w:rsid w:val="00227166"/>
    <w:rsid w:val="0022732A"/>
    <w:rsid w:val="00227397"/>
    <w:rsid w:val="002273CE"/>
    <w:rsid w:val="00227728"/>
    <w:rsid w:val="00227788"/>
    <w:rsid w:val="00227983"/>
    <w:rsid w:val="00227C7D"/>
    <w:rsid w:val="00227D97"/>
    <w:rsid w:val="002303F8"/>
    <w:rsid w:val="00230A6B"/>
    <w:rsid w:val="00230FF7"/>
    <w:rsid w:val="00231291"/>
    <w:rsid w:val="002313C5"/>
    <w:rsid w:val="002314E5"/>
    <w:rsid w:val="00231549"/>
    <w:rsid w:val="00231655"/>
    <w:rsid w:val="00231967"/>
    <w:rsid w:val="00231B8E"/>
    <w:rsid w:val="00231E4F"/>
    <w:rsid w:val="002320ED"/>
    <w:rsid w:val="002322CA"/>
    <w:rsid w:val="00232441"/>
    <w:rsid w:val="00232689"/>
    <w:rsid w:val="00232CA2"/>
    <w:rsid w:val="00232D5C"/>
    <w:rsid w:val="00232E07"/>
    <w:rsid w:val="0023313F"/>
    <w:rsid w:val="00233150"/>
    <w:rsid w:val="0023360B"/>
    <w:rsid w:val="002336EE"/>
    <w:rsid w:val="002338C8"/>
    <w:rsid w:val="00233BD0"/>
    <w:rsid w:val="002341F3"/>
    <w:rsid w:val="002345BD"/>
    <w:rsid w:val="00234818"/>
    <w:rsid w:val="00234978"/>
    <w:rsid w:val="00234A25"/>
    <w:rsid w:val="00234C12"/>
    <w:rsid w:val="00234F23"/>
    <w:rsid w:val="00234F31"/>
    <w:rsid w:val="00235225"/>
    <w:rsid w:val="002356F1"/>
    <w:rsid w:val="00235BBD"/>
    <w:rsid w:val="00235BEC"/>
    <w:rsid w:val="002364A7"/>
    <w:rsid w:val="002364F9"/>
    <w:rsid w:val="002365D9"/>
    <w:rsid w:val="00236802"/>
    <w:rsid w:val="00236AE9"/>
    <w:rsid w:val="00236C9C"/>
    <w:rsid w:val="00236DA7"/>
    <w:rsid w:val="00236DCE"/>
    <w:rsid w:val="00236E2F"/>
    <w:rsid w:val="00236FA1"/>
    <w:rsid w:val="00237067"/>
    <w:rsid w:val="00237130"/>
    <w:rsid w:val="00237343"/>
    <w:rsid w:val="0023734E"/>
    <w:rsid w:val="00237484"/>
    <w:rsid w:val="00237758"/>
    <w:rsid w:val="002379D2"/>
    <w:rsid w:val="00237A96"/>
    <w:rsid w:val="00240B15"/>
    <w:rsid w:val="00240D72"/>
    <w:rsid w:val="00240E92"/>
    <w:rsid w:val="0024121D"/>
    <w:rsid w:val="00241948"/>
    <w:rsid w:val="002419F9"/>
    <w:rsid w:val="00241BE0"/>
    <w:rsid w:val="00241DB2"/>
    <w:rsid w:val="0024204E"/>
    <w:rsid w:val="00242671"/>
    <w:rsid w:val="0024267F"/>
    <w:rsid w:val="00242A06"/>
    <w:rsid w:val="00242BF2"/>
    <w:rsid w:val="00242BFA"/>
    <w:rsid w:val="00242F32"/>
    <w:rsid w:val="00243028"/>
    <w:rsid w:val="002430CC"/>
    <w:rsid w:val="002435E1"/>
    <w:rsid w:val="002438FC"/>
    <w:rsid w:val="00243D80"/>
    <w:rsid w:val="00244079"/>
    <w:rsid w:val="00244284"/>
    <w:rsid w:val="002443D1"/>
    <w:rsid w:val="00244400"/>
    <w:rsid w:val="002444FC"/>
    <w:rsid w:val="0024485B"/>
    <w:rsid w:val="00244B94"/>
    <w:rsid w:val="00244C8E"/>
    <w:rsid w:val="00244CC4"/>
    <w:rsid w:val="00244D89"/>
    <w:rsid w:val="00245142"/>
    <w:rsid w:val="0024516D"/>
    <w:rsid w:val="002452A8"/>
    <w:rsid w:val="00245306"/>
    <w:rsid w:val="0024576E"/>
    <w:rsid w:val="00245892"/>
    <w:rsid w:val="00245CD7"/>
    <w:rsid w:val="0024604D"/>
    <w:rsid w:val="00246318"/>
    <w:rsid w:val="00246762"/>
    <w:rsid w:val="00246AF1"/>
    <w:rsid w:val="00246C07"/>
    <w:rsid w:val="00246E9E"/>
    <w:rsid w:val="00246F69"/>
    <w:rsid w:val="00247034"/>
    <w:rsid w:val="002470C4"/>
    <w:rsid w:val="002474F5"/>
    <w:rsid w:val="002476D8"/>
    <w:rsid w:val="002476F0"/>
    <w:rsid w:val="0024773B"/>
    <w:rsid w:val="002477E0"/>
    <w:rsid w:val="002477F4"/>
    <w:rsid w:val="00247880"/>
    <w:rsid w:val="002478AA"/>
    <w:rsid w:val="00247A33"/>
    <w:rsid w:val="00247C5F"/>
    <w:rsid w:val="00247DD2"/>
    <w:rsid w:val="00247FD0"/>
    <w:rsid w:val="0025047A"/>
    <w:rsid w:val="0025087C"/>
    <w:rsid w:val="00250E40"/>
    <w:rsid w:val="00251340"/>
    <w:rsid w:val="002518F8"/>
    <w:rsid w:val="0025191E"/>
    <w:rsid w:val="0025200B"/>
    <w:rsid w:val="002525AF"/>
    <w:rsid w:val="00252909"/>
    <w:rsid w:val="00252B82"/>
    <w:rsid w:val="00252C02"/>
    <w:rsid w:val="00252FC5"/>
    <w:rsid w:val="00253160"/>
    <w:rsid w:val="00253334"/>
    <w:rsid w:val="0025340D"/>
    <w:rsid w:val="0025357B"/>
    <w:rsid w:val="002536A2"/>
    <w:rsid w:val="002537DA"/>
    <w:rsid w:val="00254134"/>
    <w:rsid w:val="002541E8"/>
    <w:rsid w:val="00254261"/>
    <w:rsid w:val="0025437E"/>
    <w:rsid w:val="00254C01"/>
    <w:rsid w:val="00255025"/>
    <w:rsid w:val="00255114"/>
    <w:rsid w:val="00255766"/>
    <w:rsid w:val="002557D6"/>
    <w:rsid w:val="002558A8"/>
    <w:rsid w:val="00255C00"/>
    <w:rsid w:val="00255EA1"/>
    <w:rsid w:val="0025603E"/>
    <w:rsid w:val="00256069"/>
    <w:rsid w:val="00256182"/>
    <w:rsid w:val="002561D3"/>
    <w:rsid w:val="002562B3"/>
    <w:rsid w:val="00256364"/>
    <w:rsid w:val="00256423"/>
    <w:rsid w:val="002564A2"/>
    <w:rsid w:val="00256CE9"/>
    <w:rsid w:val="00256F08"/>
    <w:rsid w:val="00257014"/>
    <w:rsid w:val="002576E5"/>
    <w:rsid w:val="0025786C"/>
    <w:rsid w:val="00257870"/>
    <w:rsid w:val="00257AC2"/>
    <w:rsid w:val="00257BC7"/>
    <w:rsid w:val="002601C8"/>
    <w:rsid w:val="002601F7"/>
    <w:rsid w:val="002602B8"/>
    <w:rsid w:val="002602E2"/>
    <w:rsid w:val="00260476"/>
    <w:rsid w:val="002607FD"/>
    <w:rsid w:val="00260A5B"/>
    <w:rsid w:val="00260B94"/>
    <w:rsid w:val="00261199"/>
    <w:rsid w:val="00261349"/>
    <w:rsid w:val="002613FA"/>
    <w:rsid w:val="00261EA1"/>
    <w:rsid w:val="00262038"/>
    <w:rsid w:val="00262048"/>
    <w:rsid w:val="00262703"/>
    <w:rsid w:val="002627C3"/>
    <w:rsid w:val="00262840"/>
    <w:rsid w:val="00262B8B"/>
    <w:rsid w:val="00262B9E"/>
    <w:rsid w:val="0026354F"/>
    <w:rsid w:val="00263746"/>
    <w:rsid w:val="0026381A"/>
    <w:rsid w:val="00263B93"/>
    <w:rsid w:val="00263BB2"/>
    <w:rsid w:val="002641AF"/>
    <w:rsid w:val="00264264"/>
    <w:rsid w:val="002644D8"/>
    <w:rsid w:val="00264503"/>
    <w:rsid w:val="0026456F"/>
    <w:rsid w:val="002646D8"/>
    <w:rsid w:val="00264F88"/>
    <w:rsid w:val="00265571"/>
    <w:rsid w:val="00265B6D"/>
    <w:rsid w:val="00265C81"/>
    <w:rsid w:val="00265E8C"/>
    <w:rsid w:val="00266261"/>
    <w:rsid w:val="00266512"/>
    <w:rsid w:val="00266513"/>
    <w:rsid w:val="00266541"/>
    <w:rsid w:val="0026679E"/>
    <w:rsid w:val="00266A19"/>
    <w:rsid w:val="00266AA2"/>
    <w:rsid w:val="00266CF6"/>
    <w:rsid w:val="00266D13"/>
    <w:rsid w:val="0026713A"/>
    <w:rsid w:val="002671E0"/>
    <w:rsid w:val="002672CC"/>
    <w:rsid w:val="00267360"/>
    <w:rsid w:val="0026755E"/>
    <w:rsid w:val="00267867"/>
    <w:rsid w:val="002700E5"/>
    <w:rsid w:val="002706AC"/>
    <w:rsid w:val="0027080B"/>
    <w:rsid w:val="00270AF4"/>
    <w:rsid w:val="002719A4"/>
    <w:rsid w:val="002719BB"/>
    <w:rsid w:val="00271B80"/>
    <w:rsid w:val="00271E18"/>
    <w:rsid w:val="0027213E"/>
    <w:rsid w:val="002722CB"/>
    <w:rsid w:val="002725F0"/>
    <w:rsid w:val="0027297B"/>
    <w:rsid w:val="00272C06"/>
    <w:rsid w:val="00272FDE"/>
    <w:rsid w:val="00273299"/>
    <w:rsid w:val="00273415"/>
    <w:rsid w:val="002735FB"/>
    <w:rsid w:val="00273659"/>
    <w:rsid w:val="00273AFC"/>
    <w:rsid w:val="00273B9D"/>
    <w:rsid w:val="00273E44"/>
    <w:rsid w:val="00273F96"/>
    <w:rsid w:val="0027478B"/>
    <w:rsid w:val="00274C49"/>
    <w:rsid w:val="002752FB"/>
    <w:rsid w:val="002754F1"/>
    <w:rsid w:val="00275B0A"/>
    <w:rsid w:val="00275EA1"/>
    <w:rsid w:val="002765F4"/>
    <w:rsid w:val="00276CB6"/>
    <w:rsid w:val="00276CED"/>
    <w:rsid w:val="00276FD5"/>
    <w:rsid w:val="0027745C"/>
    <w:rsid w:val="002778C2"/>
    <w:rsid w:val="00277E9F"/>
    <w:rsid w:val="0028085D"/>
    <w:rsid w:val="00280AD6"/>
    <w:rsid w:val="00280B30"/>
    <w:rsid w:val="002814FD"/>
    <w:rsid w:val="0028158C"/>
    <w:rsid w:val="002817A0"/>
    <w:rsid w:val="002818AD"/>
    <w:rsid w:val="002818CF"/>
    <w:rsid w:val="00281993"/>
    <w:rsid w:val="00281E6C"/>
    <w:rsid w:val="00282028"/>
    <w:rsid w:val="00282231"/>
    <w:rsid w:val="0028257D"/>
    <w:rsid w:val="0028285A"/>
    <w:rsid w:val="00282B7A"/>
    <w:rsid w:val="00282DC4"/>
    <w:rsid w:val="002834A9"/>
    <w:rsid w:val="00283A82"/>
    <w:rsid w:val="00283A92"/>
    <w:rsid w:val="00283E09"/>
    <w:rsid w:val="00283EA7"/>
    <w:rsid w:val="00284063"/>
    <w:rsid w:val="00284412"/>
    <w:rsid w:val="0028456A"/>
    <w:rsid w:val="00284725"/>
    <w:rsid w:val="002847F7"/>
    <w:rsid w:val="00284BB6"/>
    <w:rsid w:val="00284D9D"/>
    <w:rsid w:val="00284F57"/>
    <w:rsid w:val="0028518A"/>
    <w:rsid w:val="0028519E"/>
    <w:rsid w:val="002853A9"/>
    <w:rsid w:val="00285E22"/>
    <w:rsid w:val="00285EB5"/>
    <w:rsid w:val="00286067"/>
    <w:rsid w:val="00286359"/>
    <w:rsid w:val="0028645C"/>
    <w:rsid w:val="002865A5"/>
    <w:rsid w:val="002867C9"/>
    <w:rsid w:val="00286960"/>
    <w:rsid w:val="00286B50"/>
    <w:rsid w:val="00287313"/>
    <w:rsid w:val="0028732C"/>
    <w:rsid w:val="002875E3"/>
    <w:rsid w:val="00290782"/>
    <w:rsid w:val="002908D7"/>
    <w:rsid w:val="00290B4C"/>
    <w:rsid w:val="00290D07"/>
    <w:rsid w:val="00290F3C"/>
    <w:rsid w:val="0029144E"/>
    <w:rsid w:val="0029149F"/>
    <w:rsid w:val="0029150B"/>
    <w:rsid w:val="002916EF"/>
    <w:rsid w:val="0029225D"/>
    <w:rsid w:val="002926B2"/>
    <w:rsid w:val="00292886"/>
    <w:rsid w:val="0029297B"/>
    <w:rsid w:val="002929B2"/>
    <w:rsid w:val="0029321B"/>
    <w:rsid w:val="0029321E"/>
    <w:rsid w:val="0029338B"/>
    <w:rsid w:val="002935F2"/>
    <w:rsid w:val="00293645"/>
    <w:rsid w:val="00293768"/>
    <w:rsid w:val="00293C86"/>
    <w:rsid w:val="00293FCB"/>
    <w:rsid w:val="0029446B"/>
    <w:rsid w:val="00294626"/>
    <w:rsid w:val="0029472A"/>
    <w:rsid w:val="00294817"/>
    <w:rsid w:val="0029490A"/>
    <w:rsid w:val="00294DCD"/>
    <w:rsid w:val="00294EF9"/>
    <w:rsid w:val="0029528A"/>
    <w:rsid w:val="002952EF"/>
    <w:rsid w:val="0029538E"/>
    <w:rsid w:val="00295827"/>
    <w:rsid w:val="00295B2D"/>
    <w:rsid w:val="00295DB1"/>
    <w:rsid w:val="00295F9F"/>
    <w:rsid w:val="00296044"/>
    <w:rsid w:val="0029617F"/>
    <w:rsid w:val="0029662E"/>
    <w:rsid w:val="00296BA2"/>
    <w:rsid w:val="00296C3A"/>
    <w:rsid w:val="00296DBF"/>
    <w:rsid w:val="00296EF7"/>
    <w:rsid w:val="00297251"/>
    <w:rsid w:val="002974F4"/>
    <w:rsid w:val="002A0130"/>
    <w:rsid w:val="002A01D9"/>
    <w:rsid w:val="002A0255"/>
    <w:rsid w:val="002A02BA"/>
    <w:rsid w:val="002A065A"/>
    <w:rsid w:val="002A067D"/>
    <w:rsid w:val="002A0BF6"/>
    <w:rsid w:val="002A0D4C"/>
    <w:rsid w:val="002A10FE"/>
    <w:rsid w:val="002A1242"/>
    <w:rsid w:val="002A1759"/>
    <w:rsid w:val="002A17E4"/>
    <w:rsid w:val="002A2214"/>
    <w:rsid w:val="002A22CF"/>
    <w:rsid w:val="002A2692"/>
    <w:rsid w:val="002A29DB"/>
    <w:rsid w:val="002A2AC4"/>
    <w:rsid w:val="002A2D89"/>
    <w:rsid w:val="002A2F13"/>
    <w:rsid w:val="002A2F55"/>
    <w:rsid w:val="002A310C"/>
    <w:rsid w:val="002A31A8"/>
    <w:rsid w:val="002A33DC"/>
    <w:rsid w:val="002A3420"/>
    <w:rsid w:val="002A38ED"/>
    <w:rsid w:val="002A39A9"/>
    <w:rsid w:val="002A3A09"/>
    <w:rsid w:val="002A3ACE"/>
    <w:rsid w:val="002A3B78"/>
    <w:rsid w:val="002A435C"/>
    <w:rsid w:val="002A43C0"/>
    <w:rsid w:val="002A4AA8"/>
    <w:rsid w:val="002A4E37"/>
    <w:rsid w:val="002A5011"/>
    <w:rsid w:val="002A53E2"/>
    <w:rsid w:val="002A5BAC"/>
    <w:rsid w:val="002A5D62"/>
    <w:rsid w:val="002A60AE"/>
    <w:rsid w:val="002A63AF"/>
    <w:rsid w:val="002A644A"/>
    <w:rsid w:val="002A6657"/>
    <w:rsid w:val="002A68DE"/>
    <w:rsid w:val="002A7069"/>
    <w:rsid w:val="002A7260"/>
    <w:rsid w:val="002A74AE"/>
    <w:rsid w:val="002A75DA"/>
    <w:rsid w:val="002A75EE"/>
    <w:rsid w:val="002A78CA"/>
    <w:rsid w:val="002A79BC"/>
    <w:rsid w:val="002A7F69"/>
    <w:rsid w:val="002B0153"/>
    <w:rsid w:val="002B06BD"/>
    <w:rsid w:val="002B0D80"/>
    <w:rsid w:val="002B0EF6"/>
    <w:rsid w:val="002B1039"/>
    <w:rsid w:val="002B14A3"/>
    <w:rsid w:val="002B1626"/>
    <w:rsid w:val="002B1ABB"/>
    <w:rsid w:val="002B1B21"/>
    <w:rsid w:val="002B1CDF"/>
    <w:rsid w:val="002B1D95"/>
    <w:rsid w:val="002B1DD2"/>
    <w:rsid w:val="002B212B"/>
    <w:rsid w:val="002B2185"/>
    <w:rsid w:val="002B221B"/>
    <w:rsid w:val="002B297B"/>
    <w:rsid w:val="002B2A6C"/>
    <w:rsid w:val="002B2B32"/>
    <w:rsid w:val="002B2F4B"/>
    <w:rsid w:val="002B341E"/>
    <w:rsid w:val="002B34DB"/>
    <w:rsid w:val="002B355B"/>
    <w:rsid w:val="002B3758"/>
    <w:rsid w:val="002B376D"/>
    <w:rsid w:val="002B399A"/>
    <w:rsid w:val="002B3A48"/>
    <w:rsid w:val="002B3C95"/>
    <w:rsid w:val="002B4179"/>
    <w:rsid w:val="002B434B"/>
    <w:rsid w:val="002B44A8"/>
    <w:rsid w:val="002B47D2"/>
    <w:rsid w:val="002B48EA"/>
    <w:rsid w:val="002B4BC7"/>
    <w:rsid w:val="002B4C21"/>
    <w:rsid w:val="002B4C82"/>
    <w:rsid w:val="002B5167"/>
    <w:rsid w:val="002B52DA"/>
    <w:rsid w:val="002B5499"/>
    <w:rsid w:val="002B554E"/>
    <w:rsid w:val="002B5823"/>
    <w:rsid w:val="002B5A58"/>
    <w:rsid w:val="002B5BEB"/>
    <w:rsid w:val="002B6802"/>
    <w:rsid w:val="002B6A1C"/>
    <w:rsid w:val="002B6A2C"/>
    <w:rsid w:val="002B6B74"/>
    <w:rsid w:val="002B7776"/>
    <w:rsid w:val="002B78F7"/>
    <w:rsid w:val="002B7C84"/>
    <w:rsid w:val="002B7E73"/>
    <w:rsid w:val="002C014E"/>
    <w:rsid w:val="002C08D1"/>
    <w:rsid w:val="002C13DA"/>
    <w:rsid w:val="002C190B"/>
    <w:rsid w:val="002C190F"/>
    <w:rsid w:val="002C2139"/>
    <w:rsid w:val="002C2855"/>
    <w:rsid w:val="002C2A93"/>
    <w:rsid w:val="002C2A9A"/>
    <w:rsid w:val="002C2BF1"/>
    <w:rsid w:val="002C2C91"/>
    <w:rsid w:val="002C3139"/>
    <w:rsid w:val="002C31C8"/>
    <w:rsid w:val="002C335C"/>
    <w:rsid w:val="002C39A1"/>
    <w:rsid w:val="002C3AEE"/>
    <w:rsid w:val="002C3D28"/>
    <w:rsid w:val="002C3D5A"/>
    <w:rsid w:val="002C3E0C"/>
    <w:rsid w:val="002C3FA8"/>
    <w:rsid w:val="002C3FFD"/>
    <w:rsid w:val="002C41B3"/>
    <w:rsid w:val="002C4335"/>
    <w:rsid w:val="002C4349"/>
    <w:rsid w:val="002C4385"/>
    <w:rsid w:val="002C4799"/>
    <w:rsid w:val="002C4854"/>
    <w:rsid w:val="002C489C"/>
    <w:rsid w:val="002C490B"/>
    <w:rsid w:val="002C4BA2"/>
    <w:rsid w:val="002C4D2D"/>
    <w:rsid w:val="002C4E40"/>
    <w:rsid w:val="002C502F"/>
    <w:rsid w:val="002C5213"/>
    <w:rsid w:val="002C5730"/>
    <w:rsid w:val="002C576A"/>
    <w:rsid w:val="002C5788"/>
    <w:rsid w:val="002C5792"/>
    <w:rsid w:val="002C5A90"/>
    <w:rsid w:val="002C5E09"/>
    <w:rsid w:val="002C5F2E"/>
    <w:rsid w:val="002C6047"/>
    <w:rsid w:val="002C6216"/>
    <w:rsid w:val="002C63A7"/>
    <w:rsid w:val="002C698A"/>
    <w:rsid w:val="002C69BD"/>
    <w:rsid w:val="002C6DC2"/>
    <w:rsid w:val="002C704B"/>
    <w:rsid w:val="002C70C0"/>
    <w:rsid w:val="002C7117"/>
    <w:rsid w:val="002C724E"/>
    <w:rsid w:val="002C7385"/>
    <w:rsid w:val="002C7827"/>
    <w:rsid w:val="002C78B6"/>
    <w:rsid w:val="002C7DAF"/>
    <w:rsid w:val="002D01AA"/>
    <w:rsid w:val="002D066B"/>
    <w:rsid w:val="002D13BC"/>
    <w:rsid w:val="002D1470"/>
    <w:rsid w:val="002D16AA"/>
    <w:rsid w:val="002D19DB"/>
    <w:rsid w:val="002D1A86"/>
    <w:rsid w:val="002D1D79"/>
    <w:rsid w:val="002D1F20"/>
    <w:rsid w:val="002D230A"/>
    <w:rsid w:val="002D23B2"/>
    <w:rsid w:val="002D27CD"/>
    <w:rsid w:val="002D2B73"/>
    <w:rsid w:val="002D2D2F"/>
    <w:rsid w:val="002D2EFC"/>
    <w:rsid w:val="002D3081"/>
    <w:rsid w:val="002D30E2"/>
    <w:rsid w:val="002D3231"/>
    <w:rsid w:val="002D32CE"/>
    <w:rsid w:val="002D335B"/>
    <w:rsid w:val="002D3425"/>
    <w:rsid w:val="002D35F2"/>
    <w:rsid w:val="002D39EC"/>
    <w:rsid w:val="002D3DD3"/>
    <w:rsid w:val="002D4248"/>
    <w:rsid w:val="002D42AC"/>
    <w:rsid w:val="002D45F4"/>
    <w:rsid w:val="002D4F9E"/>
    <w:rsid w:val="002D5681"/>
    <w:rsid w:val="002D57EB"/>
    <w:rsid w:val="002D5804"/>
    <w:rsid w:val="002D5943"/>
    <w:rsid w:val="002D5A29"/>
    <w:rsid w:val="002D5E5F"/>
    <w:rsid w:val="002D615F"/>
    <w:rsid w:val="002D6318"/>
    <w:rsid w:val="002D63BB"/>
    <w:rsid w:val="002D6471"/>
    <w:rsid w:val="002D713D"/>
    <w:rsid w:val="002D756E"/>
    <w:rsid w:val="002D7793"/>
    <w:rsid w:val="002D7D6D"/>
    <w:rsid w:val="002E00AD"/>
    <w:rsid w:val="002E05F5"/>
    <w:rsid w:val="002E0615"/>
    <w:rsid w:val="002E062E"/>
    <w:rsid w:val="002E077F"/>
    <w:rsid w:val="002E081A"/>
    <w:rsid w:val="002E0902"/>
    <w:rsid w:val="002E0BE0"/>
    <w:rsid w:val="002E0D71"/>
    <w:rsid w:val="002E143D"/>
    <w:rsid w:val="002E1849"/>
    <w:rsid w:val="002E213B"/>
    <w:rsid w:val="002E2184"/>
    <w:rsid w:val="002E231E"/>
    <w:rsid w:val="002E241C"/>
    <w:rsid w:val="002E2437"/>
    <w:rsid w:val="002E256D"/>
    <w:rsid w:val="002E2607"/>
    <w:rsid w:val="002E29C9"/>
    <w:rsid w:val="002E2C8B"/>
    <w:rsid w:val="002E30C1"/>
    <w:rsid w:val="002E3390"/>
    <w:rsid w:val="002E36DB"/>
    <w:rsid w:val="002E37EC"/>
    <w:rsid w:val="002E3F46"/>
    <w:rsid w:val="002E4950"/>
    <w:rsid w:val="002E49B2"/>
    <w:rsid w:val="002E49FD"/>
    <w:rsid w:val="002E4D2F"/>
    <w:rsid w:val="002E5191"/>
    <w:rsid w:val="002E53D6"/>
    <w:rsid w:val="002E54CB"/>
    <w:rsid w:val="002E54D8"/>
    <w:rsid w:val="002E5BE5"/>
    <w:rsid w:val="002E5D27"/>
    <w:rsid w:val="002E5E26"/>
    <w:rsid w:val="002E5FB5"/>
    <w:rsid w:val="002E60AF"/>
    <w:rsid w:val="002E626A"/>
    <w:rsid w:val="002E65F9"/>
    <w:rsid w:val="002E69D2"/>
    <w:rsid w:val="002E6CCD"/>
    <w:rsid w:val="002E6DDC"/>
    <w:rsid w:val="002E6F5B"/>
    <w:rsid w:val="002E725E"/>
    <w:rsid w:val="002E771D"/>
    <w:rsid w:val="002E7721"/>
    <w:rsid w:val="002E7B67"/>
    <w:rsid w:val="002F0137"/>
    <w:rsid w:val="002F0491"/>
    <w:rsid w:val="002F0A00"/>
    <w:rsid w:val="002F0FC5"/>
    <w:rsid w:val="002F124B"/>
    <w:rsid w:val="002F13AD"/>
    <w:rsid w:val="002F1422"/>
    <w:rsid w:val="002F1453"/>
    <w:rsid w:val="002F1913"/>
    <w:rsid w:val="002F196E"/>
    <w:rsid w:val="002F1AA0"/>
    <w:rsid w:val="002F1CD5"/>
    <w:rsid w:val="002F1DE3"/>
    <w:rsid w:val="002F1F57"/>
    <w:rsid w:val="002F2232"/>
    <w:rsid w:val="002F22A8"/>
    <w:rsid w:val="002F2529"/>
    <w:rsid w:val="002F2632"/>
    <w:rsid w:val="002F270D"/>
    <w:rsid w:val="002F2CE5"/>
    <w:rsid w:val="002F2E2F"/>
    <w:rsid w:val="002F2FCF"/>
    <w:rsid w:val="002F3181"/>
    <w:rsid w:val="002F3850"/>
    <w:rsid w:val="002F3AD2"/>
    <w:rsid w:val="002F3D2D"/>
    <w:rsid w:val="002F4402"/>
    <w:rsid w:val="002F4540"/>
    <w:rsid w:val="002F4A86"/>
    <w:rsid w:val="002F4AE3"/>
    <w:rsid w:val="002F4D21"/>
    <w:rsid w:val="002F4F47"/>
    <w:rsid w:val="002F5171"/>
    <w:rsid w:val="002F567D"/>
    <w:rsid w:val="002F5692"/>
    <w:rsid w:val="002F577B"/>
    <w:rsid w:val="002F5B7D"/>
    <w:rsid w:val="002F5BBA"/>
    <w:rsid w:val="002F5EF5"/>
    <w:rsid w:val="002F60BF"/>
    <w:rsid w:val="002F63C3"/>
    <w:rsid w:val="002F65F1"/>
    <w:rsid w:val="002F6BF7"/>
    <w:rsid w:val="002F6FFF"/>
    <w:rsid w:val="002F70D6"/>
    <w:rsid w:val="002F7127"/>
    <w:rsid w:val="002F742D"/>
    <w:rsid w:val="002F7503"/>
    <w:rsid w:val="002F7559"/>
    <w:rsid w:val="002F7639"/>
    <w:rsid w:val="002F78D5"/>
    <w:rsid w:val="002F793C"/>
    <w:rsid w:val="002F7E59"/>
    <w:rsid w:val="002F7FD3"/>
    <w:rsid w:val="00300030"/>
    <w:rsid w:val="0030055C"/>
    <w:rsid w:val="0030073C"/>
    <w:rsid w:val="00300F80"/>
    <w:rsid w:val="00300FE6"/>
    <w:rsid w:val="003014B4"/>
    <w:rsid w:val="00301880"/>
    <w:rsid w:val="00301C8E"/>
    <w:rsid w:val="00301D52"/>
    <w:rsid w:val="003022E8"/>
    <w:rsid w:val="00302374"/>
    <w:rsid w:val="00302866"/>
    <w:rsid w:val="003029C7"/>
    <w:rsid w:val="00302B9B"/>
    <w:rsid w:val="00302D94"/>
    <w:rsid w:val="00302E55"/>
    <w:rsid w:val="003032D4"/>
    <w:rsid w:val="003033E7"/>
    <w:rsid w:val="00303DB8"/>
    <w:rsid w:val="00304269"/>
    <w:rsid w:val="00304741"/>
    <w:rsid w:val="003048BA"/>
    <w:rsid w:val="00304D4F"/>
    <w:rsid w:val="003051A2"/>
    <w:rsid w:val="003052B0"/>
    <w:rsid w:val="003053D2"/>
    <w:rsid w:val="00305657"/>
    <w:rsid w:val="00305B9E"/>
    <w:rsid w:val="00305F7D"/>
    <w:rsid w:val="00305FF9"/>
    <w:rsid w:val="00306055"/>
    <w:rsid w:val="003062FB"/>
    <w:rsid w:val="003063D3"/>
    <w:rsid w:val="00306623"/>
    <w:rsid w:val="00306836"/>
    <w:rsid w:val="00306AB0"/>
    <w:rsid w:val="00306C43"/>
    <w:rsid w:val="00306CC7"/>
    <w:rsid w:val="00306CD6"/>
    <w:rsid w:val="00306FAF"/>
    <w:rsid w:val="003071E0"/>
    <w:rsid w:val="003073B9"/>
    <w:rsid w:val="00307436"/>
    <w:rsid w:val="00307588"/>
    <w:rsid w:val="003075CC"/>
    <w:rsid w:val="00307988"/>
    <w:rsid w:val="00307AFE"/>
    <w:rsid w:val="00307D54"/>
    <w:rsid w:val="00307DE9"/>
    <w:rsid w:val="00307E95"/>
    <w:rsid w:val="00307FB6"/>
    <w:rsid w:val="00310BD0"/>
    <w:rsid w:val="00310D96"/>
    <w:rsid w:val="00311377"/>
    <w:rsid w:val="003119B4"/>
    <w:rsid w:val="00311D8F"/>
    <w:rsid w:val="00311E48"/>
    <w:rsid w:val="00311F9A"/>
    <w:rsid w:val="003120AD"/>
    <w:rsid w:val="00312867"/>
    <w:rsid w:val="00312DA6"/>
    <w:rsid w:val="00312ED4"/>
    <w:rsid w:val="00313058"/>
    <w:rsid w:val="003130C5"/>
    <w:rsid w:val="00313125"/>
    <w:rsid w:val="00313171"/>
    <w:rsid w:val="003132BF"/>
    <w:rsid w:val="003132F2"/>
    <w:rsid w:val="00313357"/>
    <w:rsid w:val="0031359B"/>
    <w:rsid w:val="00313A38"/>
    <w:rsid w:val="00313C24"/>
    <w:rsid w:val="00313D12"/>
    <w:rsid w:val="00313DEC"/>
    <w:rsid w:val="00313EDF"/>
    <w:rsid w:val="00313F59"/>
    <w:rsid w:val="00313FBF"/>
    <w:rsid w:val="0031422A"/>
    <w:rsid w:val="00314574"/>
    <w:rsid w:val="00314854"/>
    <w:rsid w:val="003148E4"/>
    <w:rsid w:val="00314F22"/>
    <w:rsid w:val="00315201"/>
    <w:rsid w:val="0031538D"/>
    <w:rsid w:val="00315685"/>
    <w:rsid w:val="003158AA"/>
    <w:rsid w:val="00315AD8"/>
    <w:rsid w:val="00315C3F"/>
    <w:rsid w:val="00315F3C"/>
    <w:rsid w:val="0031605E"/>
    <w:rsid w:val="00316199"/>
    <w:rsid w:val="0031643C"/>
    <w:rsid w:val="003165CF"/>
    <w:rsid w:val="0031694D"/>
    <w:rsid w:val="00316BD2"/>
    <w:rsid w:val="00317356"/>
    <w:rsid w:val="00317392"/>
    <w:rsid w:val="003175B7"/>
    <w:rsid w:val="00317ADD"/>
    <w:rsid w:val="00317C75"/>
    <w:rsid w:val="00317D48"/>
    <w:rsid w:val="00317EFD"/>
    <w:rsid w:val="00317F1C"/>
    <w:rsid w:val="00320356"/>
    <w:rsid w:val="003203FE"/>
    <w:rsid w:val="0032065C"/>
    <w:rsid w:val="003207E0"/>
    <w:rsid w:val="003209D9"/>
    <w:rsid w:val="00320B60"/>
    <w:rsid w:val="00320EF0"/>
    <w:rsid w:val="0032119E"/>
    <w:rsid w:val="00321689"/>
    <w:rsid w:val="00321CC7"/>
    <w:rsid w:val="00321CF3"/>
    <w:rsid w:val="003224C6"/>
    <w:rsid w:val="003225B8"/>
    <w:rsid w:val="003232CD"/>
    <w:rsid w:val="0032344F"/>
    <w:rsid w:val="003234C9"/>
    <w:rsid w:val="0032352A"/>
    <w:rsid w:val="0032356D"/>
    <w:rsid w:val="0032362D"/>
    <w:rsid w:val="00323818"/>
    <w:rsid w:val="00323BF7"/>
    <w:rsid w:val="0032409C"/>
    <w:rsid w:val="00324340"/>
    <w:rsid w:val="003246EF"/>
    <w:rsid w:val="003248E3"/>
    <w:rsid w:val="0032490D"/>
    <w:rsid w:val="00324E37"/>
    <w:rsid w:val="00324FD3"/>
    <w:rsid w:val="00325012"/>
    <w:rsid w:val="00325355"/>
    <w:rsid w:val="003255CB"/>
    <w:rsid w:val="00325684"/>
    <w:rsid w:val="00325760"/>
    <w:rsid w:val="00325D7A"/>
    <w:rsid w:val="00326088"/>
    <w:rsid w:val="0032614B"/>
    <w:rsid w:val="00326185"/>
    <w:rsid w:val="0032654A"/>
    <w:rsid w:val="003265D2"/>
    <w:rsid w:val="00326664"/>
    <w:rsid w:val="003266AB"/>
    <w:rsid w:val="00326828"/>
    <w:rsid w:val="0032685D"/>
    <w:rsid w:val="00326D94"/>
    <w:rsid w:val="003273CB"/>
    <w:rsid w:val="00327522"/>
    <w:rsid w:val="0032763E"/>
    <w:rsid w:val="003276E4"/>
    <w:rsid w:val="003278CE"/>
    <w:rsid w:val="00327CB2"/>
    <w:rsid w:val="00330356"/>
    <w:rsid w:val="0033053B"/>
    <w:rsid w:val="00330F03"/>
    <w:rsid w:val="00330F38"/>
    <w:rsid w:val="003310D9"/>
    <w:rsid w:val="003313F0"/>
    <w:rsid w:val="003316BB"/>
    <w:rsid w:val="0033180A"/>
    <w:rsid w:val="00331AE0"/>
    <w:rsid w:val="00331D3B"/>
    <w:rsid w:val="0033272D"/>
    <w:rsid w:val="0033285A"/>
    <w:rsid w:val="00332E22"/>
    <w:rsid w:val="003336FF"/>
    <w:rsid w:val="00333BF7"/>
    <w:rsid w:val="00333CA0"/>
    <w:rsid w:val="00333D77"/>
    <w:rsid w:val="00333E1A"/>
    <w:rsid w:val="00333E40"/>
    <w:rsid w:val="00334285"/>
    <w:rsid w:val="0033434A"/>
    <w:rsid w:val="003344C4"/>
    <w:rsid w:val="003346B7"/>
    <w:rsid w:val="003349B1"/>
    <w:rsid w:val="00335166"/>
    <w:rsid w:val="00335845"/>
    <w:rsid w:val="0033588B"/>
    <w:rsid w:val="003358E8"/>
    <w:rsid w:val="003359B5"/>
    <w:rsid w:val="00335B05"/>
    <w:rsid w:val="0033638C"/>
    <w:rsid w:val="003363E3"/>
    <w:rsid w:val="00336688"/>
    <w:rsid w:val="00336853"/>
    <w:rsid w:val="00336BC5"/>
    <w:rsid w:val="00336C1C"/>
    <w:rsid w:val="00336D2F"/>
    <w:rsid w:val="00337311"/>
    <w:rsid w:val="0033767C"/>
    <w:rsid w:val="003376ED"/>
    <w:rsid w:val="0033785E"/>
    <w:rsid w:val="00340446"/>
    <w:rsid w:val="00340A27"/>
    <w:rsid w:val="00340AEA"/>
    <w:rsid w:val="00340C97"/>
    <w:rsid w:val="00340DA2"/>
    <w:rsid w:val="00340DDB"/>
    <w:rsid w:val="0034123E"/>
    <w:rsid w:val="00341246"/>
    <w:rsid w:val="003412B2"/>
    <w:rsid w:val="0034150B"/>
    <w:rsid w:val="0034173C"/>
    <w:rsid w:val="00341876"/>
    <w:rsid w:val="00341ADA"/>
    <w:rsid w:val="00341B2E"/>
    <w:rsid w:val="00341B60"/>
    <w:rsid w:val="00341F5F"/>
    <w:rsid w:val="0034205B"/>
    <w:rsid w:val="003421F8"/>
    <w:rsid w:val="00342224"/>
    <w:rsid w:val="003424DD"/>
    <w:rsid w:val="00342C03"/>
    <w:rsid w:val="00342F37"/>
    <w:rsid w:val="0034304C"/>
    <w:rsid w:val="00343057"/>
    <w:rsid w:val="003430EE"/>
    <w:rsid w:val="0034364D"/>
    <w:rsid w:val="00343AAA"/>
    <w:rsid w:val="00343B12"/>
    <w:rsid w:val="00343B62"/>
    <w:rsid w:val="00344070"/>
    <w:rsid w:val="00344418"/>
    <w:rsid w:val="003444D6"/>
    <w:rsid w:val="0034463F"/>
    <w:rsid w:val="00344AAB"/>
    <w:rsid w:val="00344B07"/>
    <w:rsid w:val="00344D6F"/>
    <w:rsid w:val="00344D78"/>
    <w:rsid w:val="00344F88"/>
    <w:rsid w:val="003451D8"/>
    <w:rsid w:val="003454CB"/>
    <w:rsid w:val="00345BC4"/>
    <w:rsid w:val="00346029"/>
    <w:rsid w:val="003463C0"/>
    <w:rsid w:val="0034672F"/>
    <w:rsid w:val="003469EC"/>
    <w:rsid w:val="00346D88"/>
    <w:rsid w:val="00346F39"/>
    <w:rsid w:val="0034713C"/>
    <w:rsid w:val="00347BA3"/>
    <w:rsid w:val="00347BD4"/>
    <w:rsid w:val="00347F25"/>
    <w:rsid w:val="00347F2E"/>
    <w:rsid w:val="00350587"/>
    <w:rsid w:val="003505F0"/>
    <w:rsid w:val="003506B8"/>
    <w:rsid w:val="00350792"/>
    <w:rsid w:val="003507E6"/>
    <w:rsid w:val="00350A13"/>
    <w:rsid w:val="00350B4B"/>
    <w:rsid w:val="00350B79"/>
    <w:rsid w:val="00350F49"/>
    <w:rsid w:val="003510E8"/>
    <w:rsid w:val="00351189"/>
    <w:rsid w:val="0035118A"/>
    <w:rsid w:val="003511A7"/>
    <w:rsid w:val="003515F7"/>
    <w:rsid w:val="00351799"/>
    <w:rsid w:val="003517C1"/>
    <w:rsid w:val="003517F4"/>
    <w:rsid w:val="00351CAF"/>
    <w:rsid w:val="00352623"/>
    <w:rsid w:val="00352748"/>
    <w:rsid w:val="00352BC2"/>
    <w:rsid w:val="00352D14"/>
    <w:rsid w:val="0035324E"/>
    <w:rsid w:val="00353277"/>
    <w:rsid w:val="003532A0"/>
    <w:rsid w:val="00353714"/>
    <w:rsid w:val="00353D1A"/>
    <w:rsid w:val="00353F43"/>
    <w:rsid w:val="003544DD"/>
    <w:rsid w:val="00354686"/>
    <w:rsid w:val="00354CA1"/>
    <w:rsid w:val="00355375"/>
    <w:rsid w:val="00355623"/>
    <w:rsid w:val="00355700"/>
    <w:rsid w:val="003557B2"/>
    <w:rsid w:val="00355A06"/>
    <w:rsid w:val="00355B28"/>
    <w:rsid w:val="003567C1"/>
    <w:rsid w:val="0035684C"/>
    <w:rsid w:val="00356AAE"/>
    <w:rsid w:val="00356B61"/>
    <w:rsid w:val="00356C68"/>
    <w:rsid w:val="0035718B"/>
    <w:rsid w:val="0035718C"/>
    <w:rsid w:val="0035727F"/>
    <w:rsid w:val="00357368"/>
    <w:rsid w:val="0035796C"/>
    <w:rsid w:val="00357AAA"/>
    <w:rsid w:val="00357F11"/>
    <w:rsid w:val="00357F1B"/>
    <w:rsid w:val="00357F20"/>
    <w:rsid w:val="0036006F"/>
    <w:rsid w:val="003605B8"/>
    <w:rsid w:val="00360853"/>
    <w:rsid w:val="00360B16"/>
    <w:rsid w:val="003611AA"/>
    <w:rsid w:val="003613D4"/>
    <w:rsid w:val="003613F4"/>
    <w:rsid w:val="003617A0"/>
    <w:rsid w:val="00361BDE"/>
    <w:rsid w:val="00361E6E"/>
    <w:rsid w:val="00361F6C"/>
    <w:rsid w:val="00362455"/>
    <w:rsid w:val="0036260F"/>
    <w:rsid w:val="003626A4"/>
    <w:rsid w:val="00362AAC"/>
    <w:rsid w:val="0036306A"/>
    <w:rsid w:val="0036308D"/>
    <w:rsid w:val="0036320F"/>
    <w:rsid w:val="00363BA9"/>
    <w:rsid w:val="00363D2C"/>
    <w:rsid w:val="00363DCA"/>
    <w:rsid w:val="00363E6D"/>
    <w:rsid w:val="003646F9"/>
    <w:rsid w:val="003647CB"/>
    <w:rsid w:val="00364A35"/>
    <w:rsid w:val="00364E9F"/>
    <w:rsid w:val="00365156"/>
    <w:rsid w:val="003652C2"/>
    <w:rsid w:val="003653FD"/>
    <w:rsid w:val="003654A7"/>
    <w:rsid w:val="003654A9"/>
    <w:rsid w:val="003655E0"/>
    <w:rsid w:val="00365AD0"/>
    <w:rsid w:val="00366227"/>
    <w:rsid w:val="003665B7"/>
    <w:rsid w:val="00366A60"/>
    <w:rsid w:val="00366C81"/>
    <w:rsid w:val="00367028"/>
    <w:rsid w:val="00367036"/>
    <w:rsid w:val="00367104"/>
    <w:rsid w:val="00367299"/>
    <w:rsid w:val="00367566"/>
    <w:rsid w:val="0036791D"/>
    <w:rsid w:val="0037020A"/>
    <w:rsid w:val="00370248"/>
    <w:rsid w:val="00370948"/>
    <w:rsid w:val="00370B6D"/>
    <w:rsid w:val="00370E13"/>
    <w:rsid w:val="00370E17"/>
    <w:rsid w:val="00371326"/>
    <w:rsid w:val="00371768"/>
    <w:rsid w:val="003718B0"/>
    <w:rsid w:val="00371F7D"/>
    <w:rsid w:val="00372863"/>
    <w:rsid w:val="00372DAB"/>
    <w:rsid w:val="00373BCB"/>
    <w:rsid w:val="00373BD0"/>
    <w:rsid w:val="00373F81"/>
    <w:rsid w:val="00374017"/>
    <w:rsid w:val="003743C0"/>
    <w:rsid w:val="00374485"/>
    <w:rsid w:val="0037490F"/>
    <w:rsid w:val="00374BFB"/>
    <w:rsid w:val="00374C6D"/>
    <w:rsid w:val="0037537D"/>
    <w:rsid w:val="003754BC"/>
    <w:rsid w:val="00375994"/>
    <w:rsid w:val="00375AFC"/>
    <w:rsid w:val="00375F01"/>
    <w:rsid w:val="003762BF"/>
    <w:rsid w:val="0037676E"/>
    <w:rsid w:val="00376A3D"/>
    <w:rsid w:val="00376FD4"/>
    <w:rsid w:val="003770DB"/>
    <w:rsid w:val="003774C9"/>
    <w:rsid w:val="00377A43"/>
    <w:rsid w:val="00377EBD"/>
    <w:rsid w:val="00377EC1"/>
    <w:rsid w:val="0038026E"/>
    <w:rsid w:val="00380280"/>
    <w:rsid w:val="0038047A"/>
    <w:rsid w:val="0038063B"/>
    <w:rsid w:val="00380AD6"/>
    <w:rsid w:val="00380D0C"/>
    <w:rsid w:val="003811E5"/>
    <w:rsid w:val="003811EA"/>
    <w:rsid w:val="00381523"/>
    <w:rsid w:val="00381A15"/>
    <w:rsid w:val="00381ED7"/>
    <w:rsid w:val="00382166"/>
    <w:rsid w:val="0038218A"/>
    <w:rsid w:val="00382230"/>
    <w:rsid w:val="0038234F"/>
    <w:rsid w:val="00382951"/>
    <w:rsid w:val="00382B8E"/>
    <w:rsid w:val="00382C14"/>
    <w:rsid w:val="00382C54"/>
    <w:rsid w:val="003833A8"/>
    <w:rsid w:val="00383C74"/>
    <w:rsid w:val="00383E18"/>
    <w:rsid w:val="00384010"/>
    <w:rsid w:val="00384674"/>
    <w:rsid w:val="00384723"/>
    <w:rsid w:val="00384775"/>
    <w:rsid w:val="0038501A"/>
    <w:rsid w:val="0038512E"/>
    <w:rsid w:val="003852FE"/>
    <w:rsid w:val="00385818"/>
    <w:rsid w:val="0038591B"/>
    <w:rsid w:val="00385C20"/>
    <w:rsid w:val="00385EA9"/>
    <w:rsid w:val="00385FB5"/>
    <w:rsid w:val="003860CF"/>
    <w:rsid w:val="003866B2"/>
    <w:rsid w:val="00386DB7"/>
    <w:rsid w:val="00386DD8"/>
    <w:rsid w:val="00386EC6"/>
    <w:rsid w:val="00386F0D"/>
    <w:rsid w:val="00387571"/>
    <w:rsid w:val="003875EE"/>
    <w:rsid w:val="00387903"/>
    <w:rsid w:val="00387CA9"/>
    <w:rsid w:val="00390290"/>
    <w:rsid w:val="003903FF"/>
    <w:rsid w:val="003906AC"/>
    <w:rsid w:val="0039081B"/>
    <w:rsid w:val="0039090B"/>
    <w:rsid w:val="00390A03"/>
    <w:rsid w:val="00390B89"/>
    <w:rsid w:val="00390D29"/>
    <w:rsid w:val="00390FB8"/>
    <w:rsid w:val="00390FE0"/>
    <w:rsid w:val="003911E5"/>
    <w:rsid w:val="003916DF"/>
    <w:rsid w:val="0039178F"/>
    <w:rsid w:val="0039197B"/>
    <w:rsid w:val="00391AE7"/>
    <w:rsid w:val="003920EB"/>
    <w:rsid w:val="00392143"/>
    <w:rsid w:val="00392155"/>
    <w:rsid w:val="00392B40"/>
    <w:rsid w:val="00392C42"/>
    <w:rsid w:val="00392D2D"/>
    <w:rsid w:val="00392D5F"/>
    <w:rsid w:val="00392FAC"/>
    <w:rsid w:val="003934B0"/>
    <w:rsid w:val="003934D8"/>
    <w:rsid w:val="003937B1"/>
    <w:rsid w:val="00393B97"/>
    <w:rsid w:val="00393D92"/>
    <w:rsid w:val="00393EC9"/>
    <w:rsid w:val="003943DC"/>
    <w:rsid w:val="003943F4"/>
    <w:rsid w:val="00394ADC"/>
    <w:rsid w:val="00394C1E"/>
    <w:rsid w:val="003952F4"/>
    <w:rsid w:val="003954AE"/>
    <w:rsid w:val="0039576B"/>
    <w:rsid w:val="00395786"/>
    <w:rsid w:val="00395EBC"/>
    <w:rsid w:val="00395F88"/>
    <w:rsid w:val="00396AB5"/>
    <w:rsid w:val="00396B8C"/>
    <w:rsid w:val="00396C11"/>
    <w:rsid w:val="00396C4B"/>
    <w:rsid w:val="0039704E"/>
    <w:rsid w:val="00397050"/>
    <w:rsid w:val="003971C9"/>
    <w:rsid w:val="003973DB"/>
    <w:rsid w:val="00397816"/>
    <w:rsid w:val="00397DBE"/>
    <w:rsid w:val="003A01CD"/>
    <w:rsid w:val="003A0344"/>
    <w:rsid w:val="003A0602"/>
    <w:rsid w:val="003A0616"/>
    <w:rsid w:val="003A06CE"/>
    <w:rsid w:val="003A07B4"/>
    <w:rsid w:val="003A08A9"/>
    <w:rsid w:val="003A0A22"/>
    <w:rsid w:val="003A0A72"/>
    <w:rsid w:val="003A0AFF"/>
    <w:rsid w:val="003A0BC6"/>
    <w:rsid w:val="003A0C1E"/>
    <w:rsid w:val="003A0E06"/>
    <w:rsid w:val="003A155C"/>
    <w:rsid w:val="003A189D"/>
    <w:rsid w:val="003A20FA"/>
    <w:rsid w:val="003A216B"/>
    <w:rsid w:val="003A21A7"/>
    <w:rsid w:val="003A24B4"/>
    <w:rsid w:val="003A24BE"/>
    <w:rsid w:val="003A27F0"/>
    <w:rsid w:val="003A2B88"/>
    <w:rsid w:val="003A2BC6"/>
    <w:rsid w:val="003A2CDC"/>
    <w:rsid w:val="003A2ECF"/>
    <w:rsid w:val="003A2F60"/>
    <w:rsid w:val="003A329F"/>
    <w:rsid w:val="003A3797"/>
    <w:rsid w:val="003A3D40"/>
    <w:rsid w:val="003A3DC7"/>
    <w:rsid w:val="003A3DEF"/>
    <w:rsid w:val="003A3E73"/>
    <w:rsid w:val="003A40AF"/>
    <w:rsid w:val="003A41D2"/>
    <w:rsid w:val="003A45E1"/>
    <w:rsid w:val="003A4F1B"/>
    <w:rsid w:val="003A4F98"/>
    <w:rsid w:val="003A5218"/>
    <w:rsid w:val="003A536D"/>
    <w:rsid w:val="003A5779"/>
    <w:rsid w:val="003A594D"/>
    <w:rsid w:val="003A5A19"/>
    <w:rsid w:val="003A620B"/>
    <w:rsid w:val="003A6311"/>
    <w:rsid w:val="003A6328"/>
    <w:rsid w:val="003A637F"/>
    <w:rsid w:val="003A6441"/>
    <w:rsid w:val="003A648D"/>
    <w:rsid w:val="003A66CA"/>
    <w:rsid w:val="003A67A8"/>
    <w:rsid w:val="003A6A8E"/>
    <w:rsid w:val="003A6BDE"/>
    <w:rsid w:val="003A6C55"/>
    <w:rsid w:val="003A6D15"/>
    <w:rsid w:val="003A6FB4"/>
    <w:rsid w:val="003A7154"/>
    <w:rsid w:val="003A7B6B"/>
    <w:rsid w:val="003A7B7F"/>
    <w:rsid w:val="003A7C30"/>
    <w:rsid w:val="003A7F47"/>
    <w:rsid w:val="003B0108"/>
    <w:rsid w:val="003B060D"/>
    <w:rsid w:val="003B06BE"/>
    <w:rsid w:val="003B080D"/>
    <w:rsid w:val="003B08D0"/>
    <w:rsid w:val="003B13E5"/>
    <w:rsid w:val="003B1426"/>
    <w:rsid w:val="003B1429"/>
    <w:rsid w:val="003B15F8"/>
    <w:rsid w:val="003B16F3"/>
    <w:rsid w:val="003B1716"/>
    <w:rsid w:val="003B17FB"/>
    <w:rsid w:val="003B1AC0"/>
    <w:rsid w:val="003B1CEE"/>
    <w:rsid w:val="003B1D1D"/>
    <w:rsid w:val="003B245A"/>
    <w:rsid w:val="003B26DD"/>
    <w:rsid w:val="003B2A77"/>
    <w:rsid w:val="003B2B40"/>
    <w:rsid w:val="003B2C27"/>
    <w:rsid w:val="003B2C83"/>
    <w:rsid w:val="003B3007"/>
    <w:rsid w:val="003B305A"/>
    <w:rsid w:val="003B30B6"/>
    <w:rsid w:val="003B30D5"/>
    <w:rsid w:val="003B3433"/>
    <w:rsid w:val="003B36A2"/>
    <w:rsid w:val="003B381D"/>
    <w:rsid w:val="003B39B4"/>
    <w:rsid w:val="003B3CB8"/>
    <w:rsid w:val="003B3D13"/>
    <w:rsid w:val="003B3E85"/>
    <w:rsid w:val="003B3F1E"/>
    <w:rsid w:val="003B3FEB"/>
    <w:rsid w:val="003B4253"/>
    <w:rsid w:val="003B42EB"/>
    <w:rsid w:val="003B437A"/>
    <w:rsid w:val="003B43AA"/>
    <w:rsid w:val="003B43DC"/>
    <w:rsid w:val="003B47A3"/>
    <w:rsid w:val="003B4A0D"/>
    <w:rsid w:val="003B4E62"/>
    <w:rsid w:val="003B5197"/>
    <w:rsid w:val="003B5609"/>
    <w:rsid w:val="003B58C6"/>
    <w:rsid w:val="003B58D7"/>
    <w:rsid w:val="003B6015"/>
    <w:rsid w:val="003B6574"/>
    <w:rsid w:val="003B66AD"/>
    <w:rsid w:val="003B68D9"/>
    <w:rsid w:val="003B6990"/>
    <w:rsid w:val="003B6FD1"/>
    <w:rsid w:val="003B70A7"/>
    <w:rsid w:val="003B7217"/>
    <w:rsid w:val="003B722F"/>
    <w:rsid w:val="003B7264"/>
    <w:rsid w:val="003B7364"/>
    <w:rsid w:val="003B75D1"/>
    <w:rsid w:val="003B79BE"/>
    <w:rsid w:val="003B7C79"/>
    <w:rsid w:val="003C06B3"/>
    <w:rsid w:val="003C087E"/>
    <w:rsid w:val="003C0ACA"/>
    <w:rsid w:val="003C0CDD"/>
    <w:rsid w:val="003C0F79"/>
    <w:rsid w:val="003C10AC"/>
    <w:rsid w:val="003C11CE"/>
    <w:rsid w:val="003C1443"/>
    <w:rsid w:val="003C1620"/>
    <w:rsid w:val="003C169B"/>
    <w:rsid w:val="003C1A60"/>
    <w:rsid w:val="003C1C3E"/>
    <w:rsid w:val="003C2800"/>
    <w:rsid w:val="003C2ACB"/>
    <w:rsid w:val="003C2C7D"/>
    <w:rsid w:val="003C2E58"/>
    <w:rsid w:val="003C2F7C"/>
    <w:rsid w:val="003C3233"/>
    <w:rsid w:val="003C361C"/>
    <w:rsid w:val="003C3BA5"/>
    <w:rsid w:val="003C3EE1"/>
    <w:rsid w:val="003C40EB"/>
    <w:rsid w:val="003C4262"/>
    <w:rsid w:val="003C42D5"/>
    <w:rsid w:val="003C454D"/>
    <w:rsid w:val="003C4744"/>
    <w:rsid w:val="003C4F25"/>
    <w:rsid w:val="003C508F"/>
    <w:rsid w:val="003C5622"/>
    <w:rsid w:val="003C58A7"/>
    <w:rsid w:val="003C593B"/>
    <w:rsid w:val="003C6171"/>
    <w:rsid w:val="003C7123"/>
    <w:rsid w:val="003C72F1"/>
    <w:rsid w:val="003C7373"/>
    <w:rsid w:val="003C7A8B"/>
    <w:rsid w:val="003D0051"/>
    <w:rsid w:val="003D0194"/>
    <w:rsid w:val="003D08B7"/>
    <w:rsid w:val="003D0CCA"/>
    <w:rsid w:val="003D0FF9"/>
    <w:rsid w:val="003D103A"/>
    <w:rsid w:val="003D12A1"/>
    <w:rsid w:val="003D1B76"/>
    <w:rsid w:val="003D1BE3"/>
    <w:rsid w:val="003D1C7A"/>
    <w:rsid w:val="003D1C8D"/>
    <w:rsid w:val="003D1EA6"/>
    <w:rsid w:val="003D2223"/>
    <w:rsid w:val="003D23ED"/>
    <w:rsid w:val="003D2495"/>
    <w:rsid w:val="003D2598"/>
    <w:rsid w:val="003D28F2"/>
    <w:rsid w:val="003D2BB9"/>
    <w:rsid w:val="003D2BEF"/>
    <w:rsid w:val="003D2E15"/>
    <w:rsid w:val="003D346F"/>
    <w:rsid w:val="003D364F"/>
    <w:rsid w:val="003D3E49"/>
    <w:rsid w:val="003D3EE4"/>
    <w:rsid w:val="003D3F1C"/>
    <w:rsid w:val="003D411A"/>
    <w:rsid w:val="003D4409"/>
    <w:rsid w:val="003D47A5"/>
    <w:rsid w:val="003D4E52"/>
    <w:rsid w:val="003D5224"/>
    <w:rsid w:val="003D52E2"/>
    <w:rsid w:val="003D57B2"/>
    <w:rsid w:val="003D5AF7"/>
    <w:rsid w:val="003D5B6A"/>
    <w:rsid w:val="003D66AD"/>
    <w:rsid w:val="003D7969"/>
    <w:rsid w:val="003D7A0F"/>
    <w:rsid w:val="003E027C"/>
    <w:rsid w:val="003E038F"/>
    <w:rsid w:val="003E042C"/>
    <w:rsid w:val="003E0540"/>
    <w:rsid w:val="003E0571"/>
    <w:rsid w:val="003E05A4"/>
    <w:rsid w:val="003E05AA"/>
    <w:rsid w:val="003E072B"/>
    <w:rsid w:val="003E0750"/>
    <w:rsid w:val="003E0C07"/>
    <w:rsid w:val="003E0F64"/>
    <w:rsid w:val="003E13A4"/>
    <w:rsid w:val="003E167C"/>
    <w:rsid w:val="003E1915"/>
    <w:rsid w:val="003E1948"/>
    <w:rsid w:val="003E1CAB"/>
    <w:rsid w:val="003E1D48"/>
    <w:rsid w:val="003E20D5"/>
    <w:rsid w:val="003E216E"/>
    <w:rsid w:val="003E2194"/>
    <w:rsid w:val="003E2387"/>
    <w:rsid w:val="003E2420"/>
    <w:rsid w:val="003E267F"/>
    <w:rsid w:val="003E2867"/>
    <w:rsid w:val="003E2B63"/>
    <w:rsid w:val="003E2C08"/>
    <w:rsid w:val="003E2C1C"/>
    <w:rsid w:val="003E2E7D"/>
    <w:rsid w:val="003E31D9"/>
    <w:rsid w:val="003E3291"/>
    <w:rsid w:val="003E33F0"/>
    <w:rsid w:val="003E34D5"/>
    <w:rsid w:val="003E36DE"/>
    <w:rsid w:val="003E3844"/>
    <w:rsid w:val="003E3950"/>
    <w:rsid w:val="003E3A20"/>
    <w:rsid w:val="003E3A7B"/>
    <w:rsid w:val="003E3BDE"/>
    <w:rsid w:val="003E3C27"/>
    <w:rsid w:val="003E3DC8"/>
    <w:rsid w:val="003E3FFD"/>
    <w:rsid w:val="003E4162"/>
    <w:rsid w:val="003E43FB"/>
    <w:rsid w:val="003E4470"/>
    <w:rsid w:val="003E5286"/>
    <w:rsid w:val="003E5340"/>
    <w:rsid w:val="003E55D9"/>
    <w:rsid w:val="003E56F1"/>
    <w:rsid w:val="003E573B"/>
    <w:rsid w:val="003E5819"/>
    <w:rsid w:val="003E58EB"/>
    <w:rsid w:val="003E5B24"/>
    <w:rsid w:val="003E5B52"/>
    <w:rsid w:val="003E5D8B"/>
    <w:rsid w:val="003E5EC0"/>
    <w:rsid w:val="003E6273"/>
    <w:rsid w:val="003E63CA"/>
    <w:rsid w:val="003E670E"/>
    <w:rsid w:val="003E6966"/>
    <w:rsid w:val="003E6C5A"/>
    <w:rsid w:val="003E6DC8"/>
    <w:rsid w:val="003E6E71"/>
    <w:rsid w:val="003E6FFC"/>
    <w:rsid w:val="003E7062"/>
    <w:rsid w:val="003E733F"/>
    <w:rsid w:val="003E79AD"/>
    <w:rsid w:val="003E7ED9"/>
    <w:rsid w:val="003F0144"/>
    <w:rsid w:val="003F047F"/>
    <w:rsid w:val="003F04BF"/>
    <w:rsid w:val="003F0665"/>
    <w:rsid w:val="003F0785"/>
    <w:rsid w:val="003F0879"/>
    <w:rsid w:val="003F1029"/>
    <w:rsid w:val="003F109C"/>
    <w:rsid w:val="003F117B"/>
    <w:rsid w:val="003F11DC"/>
    <w:rsid w:val="003F132A"/>
    <w:rsid w:val="003F166E"/>
    <w:rsid w:val="003F1761"/>
    <w:rsid w:val="003F17E2"/>
    <w:rsid w:val="003F1C84"/>
    <w:rsid w:val="003F1F0D"/>
    <w:rsid w:val="003F201B"/>
    <w:rsid w:val="003F2191"/>
    <w:rsid w:val="003F24E4"/>
    <w:rsid w:val="003F279D"/>
    <w:rsid w:val="003F27EE"/>
    <w:rsid w:val="003F27FF"/>
    <w:rsid w:val="003F29E0"/>
    <w:rsid w:val="003F2B5A"/>
    <w:rsid w:val="003F2D00"/>
    <w:rsid w:val="003F2F4E"/>
    <w:rsid w:val="003F3067"/>
    <w:rsid w:val="003F3189"/>
    <w:rsid w:val="003F33FF"/>
    <w:rsid w:val="003F3AB9"/>
    <w:rsid w:val="003F3B7A"/>
    <w:rsid w:val="003F3E80"/>
    <w:rsid w:val="003F3ED3"/>
    <w:rsid w:val="003F420E"/>
    <w:rsid w:val="003F4463"/>
    <w:rsid w:val="003F539F"/>
    <w:rsid w:val="003F54A7"/>
    <w:rsid w:val="003F5BE0"/>
    <w:rsid w:val="003F5F3E"/>
    <w:rsid w:val="003F5F4F"/>
    <w:rsid w:val="003F6157"/>
    <w:rsid w:val="003F6611"/>
    <w:rsid w:val="003F6761"/>
    <w:rsid w:val="003F6806"/>
    <w:rsid w:val="003F6911"/>
    <w:rsid w:val="003F69CD"/>
    <w:rsid w:val="003F6B74"/>
    <w:rsid w:val="003F6F9E"/>
    <w:rsid w:val="003F7340"/>
    <w:rsid w:val="003F78B9"/>
    <w:rsid w:val="003F7C1F"/>
    <w:rsid w:val="00400077"/>
    <w:rsid w:val="00400726"/>
    <w:rsid w:val="0040079E"/>
    <w:rsid w:val="00400EEE"/>
    <w:rsid w:val="004017F0"/>
    <w:rsid w:val="004018A3"/>
    <w:rsid w:val="0040207D"/>
    <w:rsid w:val="0040228A"/>
    <w:rsid w:val="004024CE"/>
    <w:rsid w:val="0040258B"/>
    <w:rsid w:val="004026A3"/>
    <w:rsid w:val="0040277B"/>
    <w:rsid w:val="00402A11"/>
    <w:rsid w:val="00402A4C"/>
    <w:rsid w:val="00402A65"/>
    <w:rsid w:val="00402A67"/>
    <w:rsid w:val="00402AF5"/>
    <w:rsid w:val="00402C92"/>
    <w:rsid w:val="00403BF0"/>
    <w:rsid w:val="00403D0A"/>
    <w:rsid w:val="00403F03"/>
    <w:rsid w:val="004040CE"/>
    <w:rsid w:val="0040413F"/>
    <w:rsid w:val="00404153"/>
    <w:rsid w:val="00404254"/>
    <w:rsid w:val="004043C6"/>
    <w:rsid w:val="00404803"/>
    <w:rsid w:val="00404A79"/>
    <w:rsid w:val="00404B20"/>
    <w:rsid w:val="00404BA0"/>
    <w:rsid w:val="00404E29"/>
    <w:rsid w:val="00404F54"/>
    <w:rsid w:val="00404FF7"/>
    <w:rsid w:val="00405AAD"/>
    <w:rsid w:val="00405BBB"/>
    <w:rsid w:val="004061FE"/>
    <w:rsid w:val="00406558"/>
    <w:rsid w:val="00406581"/>
    <w:rsid w:val="00406823"/>
    <w:rsid w:val="0040694B"/>
    <w:rsid w:val="00406AFB"/>
    <w:rsid w:val="00406D3D"/>
    <w:rsid w:val="00406DD8"/>
    <w:rsid w:val="004070EC"/>
    <w:rsid w:val="004070F7"/>
    <w:rsid w:val="00407285"/>
    <w:rsid w:val="0040790B"/>
    <w:rsid w:val="004079CE"/>
    <w:rsid w:val="00407F6D"/>
    <w:rsid w:val="00410777"/>
    <w:rsid w:val="00410841"/>
    <w:rsid w:val="00410E50"/>
    <w:rsid w:val="00410FAA"/>
    <w:rsid w:val="004112F6"/>
    <w:rsid w:val="00411676"/>
    <w:rsid w:val="0041186E"/>
    <w:rsid w:val="004118C3"/>
    <w:rsid w:val="00411901"/>
    <w:rsid w:val="00411C04"/>
    <w:rsid w:val="00412084"/>
    <w:rsid w:val="00412905"/>
    <w:rsid w:val="0041296C"/>
    <w:rsid w:val="00412E9E"/>
    <w:rsid w:val="0041307D"/>
    <w:rsid w:val="004130BB"/>
    <w:rsid w:val="004131FE"/>
    <w:rsid w:val="00413352"/>
    <w:rsid w:val="0041357D"/>
    <w:rsid w:val="00413582"/>
    <w:rsid w:val="0041364C"/>
    <w:rsid w:val="00413B8E"/>
    <w:rsid w:val="00413D37"/>
    <w:rsid w:val="00413E11"/>
    <w:rsid w:val="0041419C"/>
    <w:rsid w:val="004143EA"/>
    <w:rsid w:val="0041441F"/>
    <w:rsid w:val="00414478"/>
    <w:rsid w:val="00414C6D"/>
    <w:rsid w:val="00414D4B"/>
    <w:rsid w:val="00414EC5"/>
    <w:rsid w:val="00414EF5"/>
    <w:rsid w:val="0041502D"/>
    <w:rsid w:val="0041503D"/>
    <w:rsid w:val="00415169"/>
    <w:rsid w:val="00415190"/>
    <w:rsid w:val="004152C8"/>
    <w:rsid w:val="0041555F"/>
    <w:rsid w:val="00415614"/>
    <w:rsid w:val="004157CD"/>
    <w:rsid w:val="00415A56"/>
    <w:rsid w:val="00415BCD"/>
    <w:rsid w:val="00415D97"/>
    <w:rsid w:val="004161F4"/>
    <w:rsid w:val="00416326"/>
    <w:rsid w:val="004163A7"/>
    <w:rsid w:val="004163B2"/>
    <w:rsid w:val="00416764"/>
    <w:rsid w:val="00416912"/>
    <w:rsid w:val="00416EAE"/>
    <w:rsid w:val="0041762F"/>
    <w:rsid w:val="00417829"/>
    <w:rsid w:val="00417898"/>
    <w:rsid w:val="004201B6"/>
    <w:rsid w:val="004206D1"/>
    <w:rsid w:val="00420AE2"/>
    <w:rsid w:val="00420E09"/>
    <w:rsid w:val="00420E25"/>
    <w:rsid w:val="00421403"/>
    <w:rsid w:val="00421515"/>
    <w:rsid w:val="00421A25"/>
    <w:rsid w:val="00422384"/>
    <w:rsid w:val="00422416"/>
    <w:rsid w:val="004225B9"/>
    <w:rsid w:val="00422634"/>
    <w:rsid w:val="004227C6"/>
    <w:rsid w:val="00422851"/>
    <w:rsid w:val="0042288F"/>
    <w:rsid w:val="00422964"/>
    <w:rsid w:val="00422F0A"/>
    <w:rsid w:val="004234A6"/>
    <w:rsid w:val="00423921"/>
    <w:rsid w:val="00423941"/>
    <w:rsid w:val="00423B38"/>
    <w:rsid w:val="00423FFF"/>
    <w:rsid w:val="0042432C"/>
    <w:rsid w:val="004244D5"/>
    <w:rsid w:val="00424CFA"/>
    <w:rsid w:val="00424DBE"/>
    <w:rsid w:val="00425261"/>
    <w:rsid w:val="004253D6"/>
    <w:rsid w:val="004257BC"/>
    <w:rsid w:val="00425A44"/>
    <w:rsid w:val="00425A5C"/>
    <w:rsid w:val="00425C14"/>
    <w:rsid w:val="00425C5C"/>
    <w:rsid w:val="00425EC2"/>
    <w:rsid w:val="004262B3"/>
    <w:rsid w:val="004262CA"/>
    <w:rsid w:val="004265F7"/>
    <w:rsid w:val="00426739"/>
    <w:rsid w:val="00426F7E"/>
    <w:rsid w:val="00426FAA"/>
    <w:rsid w:val="00427190"/>
    <w:rsid w:val="004274B8"/>
    <w:rsid w:val="00427546"/>
    <w:rsid w:val="0042772F"/>
    <w:rsid w:val="004277E6"/>
    <w:rsid w:val="00427A94"/>
    <w:rsid w:val="00427B42"/>
    <w:rsid w:val="00427F56"/>
    <w:rsid w:val="00427F8D"/>
    <w:rsid w:val="00427FB2"/>
    <w:rsid w:val="00427FEB"/>
    <w:rsid w:val="0043020E"/>
    <w:rsid w:val="004302B0"/>
    <w:rsid w:val="004303D4"/>
    <w:rsid w:val="00430DAF"/>
    <w:rsid w:val="004312AE"/>
    <w:rsid w:val="00431713"/>
    <w:rsid w:val="0043175D"/>
    <w:rsid w:val="00431B07"/>
    <w:rsid w:val="00431B5E"/>
    <w:rsid w:val="00431BDC"/>
    <w:rsid w:val="00431CE8"/>
    <w:rsid w:val="00431E88"/>
    <w:rsid w:val="004320D5"/>
    <w:rsid w:val="0043219B"/>
    <w:rsid w:val="0043222F"/>
    <w:rsid w:val="004323BD"/>
    <w:rsid w:val="004329A8"/>
    <w:rsid w:val="00432BCA"/>
    <w:rsid w:val="00432F64"/>
    <w:rsid w:val="0043305A"/>
    <w:rsid w:val="00433EEC"/>
    <w:rsid w:val="00433F2A"/>
    <w:rsid w:val="00434160"/>
    <w:rsid w:val="00434803"/>
    <w:rsid w:val="00434870"/>
    <w:rsid w:val="004349F4"/>
    <w:rsid w:val="00434C59"/>
    <w:rsid w:val="004354EB"/>
    <w:rsid w:val="004356AF"/>
    <w:rsid w:val="00435A75"/>
    <w:rsid w:val="00436368"/>
    <w:rsid w:val="0043669D"/>
    <w:rsid w:val="004366E9"/>
    <w:rsid w:val="00436869"/>
    <w:rsid w:val="00436C09"/>
    <w:rsid w:val="00436D49"/>
    <w:rsid w:val="00436EFC"/>
    <w:rsid w:val="00436F23"/>
    <w:rsid w:val="004370AB"/>
    <w:rsid w:val="004371C4"/>
    <w:rsid w:val="004372A8"/>
    <w:rsid w:val="00437324"/>
    <w:rsid w:val="00437AC5"/>
    <w:rsid w:val="00437FF9"/>
    <w:rsid w:val="00440165"/>
    <w:rsid w:val="004403A9"/>
    <w:rsid w:val="004403DF"/>
    <w:rsid w:val="004405BB"/>
    <w:rsid w:val="0044073F"/>
    <w:rsid w:val="004407A8"/>
    <w:rsid w:val="00440AE7"/>
    <w:rsid w:val="00440EE7"/>
    <w:rsid w:val="00440F43"/>
    <w:rsid w:val="0044152B"/>
    <w:rsid w:val="00441891"/>
    <w:rsid w:val="00441DC2"/>
    <w:rsid w:val="00441FB7"/>
    <w:rsid w:val="00442227"/>
    <w:rsid w:val="004422AB"/>
    <w:rsid w:val="004424FC"/>
    <w:rsid w:val="00442621"/>
    <w:rsid w:val="0044276A"/>
    <w:rsid w:val="004428AA"/>
    <w:rsid w:val="0044298F"/>
    <w:rsid w:val="00442AB9"/>
    <w:rsid w:val="00442B61"/>
    <w:rsid w:val="00442E77"/>
    <w:rsid w:val="00443222"/>
    <w:rsid w:val="00443229"/>
    <w:rsid w:val="0044328C"/>
    <w:rsid w:val="00443AAC"/>
    <w:rsid w:val="00443B87"/>
    <w:rsid w:val="00443E50"/>
    <w:rsid w:val="00443F8E"/>
    <w:rsid w:val="004443BD"/>
    <w:rsid w:val="004447E7"/>
    <w:rsid w:val="00444964"/>
    <w:rsid w:val="00444CFD"/>
    <w:rsid w:val="004453B0"/>
    <w:rsid w:val="0044544B"/>
    <w:rsid w:val="0044579C"/>
    <w:rsid w:val="00445ACC"/>
    <w:rsid w:val="00445CAD"/>
    <w:rsid w:val="00445E50"/>
    <w:rsid w:val="00446299"/>
    <w:rsid w:val="0044655D"/>
    <w:rsid w:val="0044684F"/>
    <w:rsid w:val="00446CBC"/>
    <w:rsid w:val="00446CC7"/>
    <w:rsid w:val="00446E02"/>
    <w:rsid w:val="00446E5A"/>
    <w:rsid w:val="004479E8"/>
    <w:rsid w:val="00447AB7"/>
    <w:rsid w:val="00447AD1"/>
    <w:rsid w:val="00447B17"/>
    <w:rsid w:val="00447C55"/>
    <w:rsid w:val="00447DD9"/>
    <w:rsid w:val="00447DDD"/>
    <w:rsid w:val="00447F87"/>
    <w:rsid w:val="0045016D"/>
    <w:rsid w:val="004501EC"/>
    <w:rsid w:val="004504C2"/>
    <w:rsid w:val="00450771"/>
    <w:rsid w:val="00450A5D"/>
    <w:rsid w:val="00450FBE"/>
    <w:rsid w:val="00451060"/>
    <w:rsid w:val="00451279"/>
    <w:rsid w:val="004513F2"/>
    <w:rsid w:val="0045145E"/>
    <w:rsid w:val="004516B4"/>
    <w:rsid w:val="00451C1B"/>
    <w:rsid w:val="00451D6D"/>
    <w:rsid w:val="00451E09"/>
    <w:rsid w:val="00451F17"/>
    <w:rsid w:val="004524F2"/>
    <w:rsid w:val="004527FE"/>
    <w:rsid w:val="00452913"/>
    <w:rsid w:val="0045328B"/>
    <w:rsid w:val="004533EE"/>
    <w:rsid w:val="004534C0"/>
    <w:rsid w:val="004535BC"/>
    <w:rsid w:val="00453AFE"/>
    <w:rsid w:val="00454071"/>
    <w:rsid w:val="00454072"/>
    <w:rsid w:val="004540F2"/>
    <w:rsid w:val="004540FC"/>
    <w:rsid w:val="0045470B"/>
    <w:rsid w:val="00454B00"/>
    <w:rsid w:val="00454CE0"/>
    <w:rsid w:val="00454F03"/>
    <w:rsid w:val="00454F44"/>
    <w:rsid w:val="00454F60"/>
    <w:rsid w:val="004550E9"/>
    <w:rsid w:val="0045513B"/>
    <w:rsid w:val="004553C3"/>
    <w:rsid w:val="00455A3B"/>
    <w:rsid w:val="00455A74"/>
    <w:rsid w:val="0045615D"/>
    <w:rsid w:val="00456355"/>
    <w:rsid w:val="00456445"/>
    <w:rsid w:val="00456534"/>
    <w:rsid w:val="004568BB"/>
    <w:rsid w:val="004568D3"/>
    <w:rsid w:val="00456A05"/>
    <w:rsid w:val="00456C61"/>
    <w:rsid w:val="00456CBA"/>
    <w:rsid w:val="00457259"/>
    <w:rsid w:val="00457725"/>
    <w:rsid w:val="004577B5"/>
    <w:rsid w:val="00457823"/>
    <w:rsid w:val="004579EF"/>
    <w:rsid w:val="00457C07"/>
    <w:rsid w:val="004603C1"/>
    <w:rsid w:val="0046051C"/>
    <w:rsid w:val="00460883"/>
    <w:rsid w:val="00460C1C"/>
    <w:rsid w:val="00460D91"/>
    <w:rsid w:val="00460DB3"/>
    <w:rsid w:val="0046104C"/>
    <w:rsid w:val="0046118D"/>
    <w:rsid w:val="0046149F"/>
    <w:rsid w:val="0046174F"/>
    <w:rsid w:val="00461DDC"/>
    <w:rsid w:val="00461FEA"/>
    <w:rsid w:val="004621AE"/>
    <w:rsid w:val="004628E1"/>
    <w:rsid w:val="00462A41"/>
    <w:rsid w:val="00462C6B"/>
    <w:rsid w:val="00462FB5"/>
    <w:rsid w:val="00462FD1"/>
    <w:rsid w:val="004632A2"/>
    <w:rsid w:val="004634FB"/>
    <w:rsid w:val="004638E8"/>
    <w:rsid w:val="00463A84"/>
    <w:rsid w:val="00463F3F"/>
    <w:rsid w:val="00463FF6"/>
    <w:rsid w:val="004641B7"/>
    <w:rsid w:val="004641F6"/>
    <w:rsid w:val="00464561"/>
    <w:rsid w:val="00464625"/>
    <w:rsid w:val="00464762"/>
    <w:rsid w:val="00464A8E"/>
    <w:rsid w:val="00465447"/>
    <w:rsid w:val="0046560F"/>
    <w:rsid w:val="00465BC3"/>
    <w:rsid w:val="00465E17"/>
    <w:rsid w:val="004663DE"/>
    <w:rsid w:val="00466924"/>
    <w:rsid w:val="00466A92"/>
    <w:rsid w:val="00466B85"/>
    <w:rsid w:val="00466FAE"/>
    <w:rsid w:val="00467379"/>
    <w:rsid w:val="0046790B"/>
    <w:rsid w:val="00467AC3"/>
    <w:rsid w:val="00470A3E"/>
    <w:rsid w:val="00470F3F"/>
    <w:rsid w:val="0047139C"/>
    <w:rsid w:val="004714D3"/>
    <w:rsid w:val="00471779"/>
    <w:rsid w:val="0047181A"/>
    <w:rsid w:val="004718A4"/>
    <w:rsid w:val="00471A7A"/>
    <w:rsid w:val="00471F9C"/>
    <w:rsid w:val="00472536"/>
    <w:rsid w:val="004725E0"/>
    <w:rsid w:val="00472D3A"/>
    <w:rsid w:val="00472DF1"/>
    <w:rsid w:val="00473509"/>
    <w:rsid w:val="004735F1"/>
    <w:rsid w:val="004736D8"/>
    <w:rsid w:val="00473724"/>
    <w:rsid w:val="00473754"/>
    <w:rsid w:val="00473770"/>
    <w:rsid w:val="00473980"/>
    <w:rsid w:val="004739BE"/>
    <w:rsid w:val="00473A7F"/>
    <w:rsid w:val="00473C9B"/>
    <w:rsid w:val="00474274"/>
    <w:rsid w:val="0047485D"/>
    <w:rsid w:val="004748C0"/>
    <w:rsid w:val="00474B8E"/>
    <w:rsid w:val="00474DFC"/>
    <w:rsid w:val="00474EAB"/>
    <w:rsid w:val="00474EBD"/>
    <w:rsid w:val="00474F57"/>
    <w:rsid w:val="004752FC"/>
    <w:rsid w:val="0047571B"/>
    <w:rsid w:val="00475C3B"/>
    <w:rsid w:val="00475C6B"/>
    <w:rsid w:val="00476661"/>
    <w:rsid w:val="004768F1"/>
    <w:rsid w:val="00476926"/>
    <w:rsid w:val="00476A42"/>
    <w:rsid w:val="00476A49"/>
    <w:rsid w:val="00477007"/>
    <w:rsid w:val="0047715B"/>
    <w:rsid w:val="00477220"/>
    <w:rsid w:val="00477292"/>
    <w:rsid w:val="00477CCB"/>
    <w:rsid w:val="00477D6F"/>
    <w:rsid w:val="0048017B"/>
    <w:rsid w:val="00480474"/>
    <w:rsid w:val="00480635"/>
    <w:rsid w:val="00480637"/>
    <w:rsid w:val="004806BA"/>
    <w:rsid w:val="00480C94"/>
    <w:rsid w:val="00480D0D"/>
    <w:rsid w:val="004814B3"/>
    <w:rsid w:val="0048159D"/>
    <w:rsid w:val="0048189D"/>
    <w:rsid w:val="00481A4A"/>
    <w:rsid w:val="00481D6D"/>
    <w:rsid w:val="004822F6"/>
    <w:rsid w:val="0048239D"/>
    <w:rsid w:val="0048249E"/>
    <w:rsid w:val="00482532"/>
    <w:rsid w:val="00482B41"/>
    <w:rsid w:val="00482D61"/>
    <w:rsid w:val="00482EEA"/>
    <w:rsid w:val="00483051"/>
    <w:rsid w:val="00483079"/>
    <w:rsid w:val="0048311C"/>
    <w:rsid w:val="0048319A"/>
    <w:rsid w:val="0048321F"/>
    <w:rsid w:val="00483300"/>
    <w:rsid w:val="00483313"/>
    <w:rsid w:val="0048354F"/>
    <w:rsid w:val="00483645"/>
    <w:rsid w:val="00483BD5"/>
    <w:rsid w:val="00483EE0"/>
    <w:rsid w:val="004841AD"/>
    <w:rsid w:val="004841FB"/>
    <w:rsid w:val="0048457A"/>
    <w:rsid w:val="004846B7"/>
    <w:rsid w:val="004847B4"/>
    <w:rsid w:val="004848DD"/>
    <w:rsid w:val="00484C3E"/>
    <w:rsid w:val="00484D66"/>
    <w:rsid w:val="00484FFA"/>
    <w:rsid w:val="00485707"/>
    <w:rsid w:val="0048574F"/>
    <w:rsid w:val="00485768"/>
    <w:rsid w:val="0048580B"/>
    <w:rsid w:val="00485A11"/>
    <w:rsid w:val="00485A9D"/>
    <w:rsid w:val="00486718"/>
    <w:rsid w:val="00486834"/>
    <w:rsid w:val="00486861"/>
    <w:rsid w:val="00486863"/>
    <w:rsid w:val="00486BEF"/>
    <w:rsid w:val="00486E29"/>
    <w:rsid w:val="00487050"/>
    <w:rsid w:val="0048705E"/>
    <w:rsid w:val="004870A1"/>
    <w:rsid w:val="004870C6"/>
    <w:rsid w:val="004870FD"/>
    <w:rsid w:val="004876F7"/>
    <w:rsid w:val="004877C7"/>
    <w:rsid w:val="004878B5"/>
    <w:rsid w:val="00487B13"/>
    <w:rsid w:val="00487EFA"/>
    <w:rsid w:val="004900D1"/>
    <w:rsid w:val="0049011D"/>
    <w:rsid w:val="00490765"/>
    <w:rsid w:val="00490933"/>
    <w:rsid w:val="00490A0C"/>
    <w:rsid w:val="00490EDC"/>
    <w:rsid w:val="00490F46"/>
    <w:rsid w:val="004910C2"/>
    <w:rsid w:val="004911DC"/>
    <w:rsid w:val="00491E78"/>
    <w:rsid w:val="004920BD"/>
    <w:rsid w:val="0049221F"/>
    <w:rsid w:val="0049227E"/>
    <w:rsid w:val="004923F6"/>
    <w:rsid w:val="0049262D"/>
    <w:rsid w:val="00492CBF"/>
    <w:rsid w:val="0049336E"/>
    <w:rsid w:val="00493752"/>
    <w:rsid w:val="00493B75"/>
    <w:rsid w:val="00493BFA"/>
    <w:rsid w:val="00493D00"/>
    <w:rsid w:val="004940C7"/>
    <w:rsid w:val="00494400"/>
    <w:rsid w:val="00494ACE"/>
    <w:rsid w:val="004952DE"/>
    <w:rsid w:val="0049530E"/>
    <w:rsid w:val="00495580"/>
    <w:rsid w:val="00495AF7"/>
    <w:rsid w:val="00495DBA"/>
    <w:rsid w:val="00495FD3"/>
    <w:rsid w:val="00496A33"/>
    <w:rsid w:val="00496BF9"/>
    <w:rsid w:val="00496EEB"/>
    <w:rsid w:val="00497066"/>
    <w:rsid w:val="0049708F"/>
    <w:rsid w:val="0049729F"/>
    <w:rsid w:val="00497496"/>
    <w:rsid w:val="004975E5"/>
    <w:rsid w:val="0049760E"/>
    <w:rsid w:val="004978B1"/>
    <w:rsid w:val="00497AFD"/>
    <w:rsid w:val="004A0B04"/>
    <w:rsid w:val="004A1012"/>
    <w:rsid w:val="004A10FE"/>
    <w:rsid w:val="004A12C4"/>
    <w:rsid w:val="004A12D6"/>
    <w:rsid w:val="004A16B7"/>
    <w:rsid w:val="004A1DD1"/>
    <w:rsid w:val="004A1E18"/>
    <w:rsid w:val="004A212F"/>
    <w:rsid w:val="004A21D9"/>
    <w:rsid w:val="004A23A7"/>
    <w:rsid w:val="004A33D6"/>
    <w:rsid w:val="004A3B6E"/>
    <w:rsid w:val="004A42A9"/>
    <w:rsid w:val="004A4316"/>
    <w:rsid w:val="004A4336"/>
    <w:rsid w:val="004A4950"/>
    <w:rsid w:val="004A4ABF"/>
    <w:rsid w:val="004A4C28"/>
    <w:rsid w:val="004A50A3"/>
    <w:rsid w:val="004A554E"/>
    <w:rsid w:val="004A5692"/>
    <w:rsid w:val="004A590D"/>
    <w:rsid w:val="004A5B3E"/>
    <w:rsid w:val="004A5BD4"/>
    <w:rsid w:val="004A5F68"/>
    <w:rsid w:val="004A5F75"/>
    <w:rsid w:val="004A6111"/>
    <w:rsid w:val="004A6253"/>
    <w:rsid w:val="004A6AA3"/>
    <w:rsid w:val="004A6FFA"/>
    <w:rsid w:val="004A7A55"/>
    <w:rsid w:val="004A7A77"/>
    <w:rsid w:val="004A7D29"/>
    <w:rsid w:val="004A7E44"/>
    <w:rsid w:val="004A7F10"/>
    <w:rsid w:val="004A7FEB"/>
    <w:rsid w:val="004B0867"/>
    <w:rsid w:val="004B0AFD"/>
    <w:rsid w:val="004B1116"/>
    <w:rsid w:val="004B177F"/>
    <w:rsid w:val="004B1A16"/>
    <w:rsid w:val="004B1A7E"/>
    <w:rsid w:val="004B2058"/>
    <w:rsid w:val="004B219D"/>
    <w:rsid w:val="004B298D"/>
    <w:rsid w:val="004B3199"/>
    <w:rsid w:val="004B3230"/>
    <w:rsid w:val="004B3288"/>
    <w:rsid w:val="004B373E"/>
    <w:rsid w:val="004B3795"/>
    <w:rsid w:val="004B38BD"/>
    <w:rsid w:val="004B3CE2"/>
    <w:rsid w:val="004B4207"/>
    <w:rsid w:val="004B436B"/>
    <w:rsid w:val="004B44F8"/>
    <w:rsid w:val="004B48F4"/>
    <w:rsid w:val="004B4A03"/>
    <w:rsid w:val="004B5AC5"/>
    <w:rsid w:val="004B5ACC"/>
    <w:rsid w:val="004B5C85"/>
    <w:rsid w:val="004B5EED"/>
    <w:rsid w:val="004B5F9C"/>
    <w:rsid w:val="004B6213"/>
    <w:rsid w:val="004B6249"/>
    <w:rsid w:val="004B63CA"/>
    <w:rsid w:val="004B653D"/>
    <w:rsid w:val="004B65EA"/>
    <w:rsid w:val="004B69FF"/>
    <w:rsid w:val="004B6B97"/>
    <w:rsid w:val="004B71BD"/>
    <w:rsid w:val="004B7CCA"/>
    <w:rsid w:val="004B7D68"/>
    <w:rsid w:val="004C04B3"/>
    <w:rsid w:val="004C0A5E"/>
    <w:rsid w:val="004C0A98"/>
    <w:rsid w:val="004C0C41"/>
    <w:rsid w:val="004C0F76"/>
    <w:rsid w:val="004C1063"/>
    <w:rsid w:val="004C1969"/>
    <w:rsid w:val="004C1B9C"/>
    <w:rsid w:val="004C1C41"/>
    <w:rsid w:val="004C1C83"/>
    <w:rsid w:val="004C201C"/>
    <w:rsid w:val="004C2096"/>
    <w:rsid w:val="004C233A"/>
    <w:rsid w:val="004C275D"/>
    <w:rsid w:val="004C283A"/>
    <w:rsid w:val="004C2EB3"/>
    <w:rsid w:val="004C30D9"/>
    <w:rsid w:val="004C3533"/>
    <w:rsid w:val="004C3C9C"/>
    <w:rsid w:val="004C43FD"/>
    <w:rsid w:val="004C4563"/>
    <w:rsid w:val="004C4739"/>
    <w:rsid w:val="004C493F"/>
    <w:rsid w:val="004C4BCB"/>
    <w:rsid w:val="004C4F9E"/>
    <w:rsid w:val="004C5067"/>
    <w:rsid w:val="004C507B"/>
    <w:rsid w:val="004C5150"/>
    <w:rsid w:val="004C5196"/>
    <w:rsid w:val="004C5366"/>
    <w:rsid w:val="004C56F8"/>
    <w:rsid w:val="004C5B07"/>
    <w:rsid w:val="004C660E"/>
    <w:rsid w:val="004C6A6D"/>
    <w:rsid w:val="004C744E"/>
    <w:rsid w:val="004C77F5"/>
    <w:rsid w:val="004D0018"/>
    <w:rsid w:val="004D0099"/>
    <w:rsid w:val="004D03B2"/>
    <w:rsid w:val="004D073B"/>
    <w:rsid w:val="004D0760"/>
    <w:rsid w:val="004D0940"/>
    <w:rsid w:val="004D0B96"/>
    <w:rsid w:val="004D129C"/>
    <w:rsid w:val="004D1451"/>
    <w:rsid w:val="004D1777"/>
    <w:rsid w:val="004D220D"/>
    <w:rsid w:val="004D226D"/>
    <w:rsid w:val="004D2591"/>
    <w:rsid w:val="004D297F"/>
    <w:rsid w:val="004D29FB"/>
    <w:rsid w:val="004D2B8E"/>
    <w:rsid w:val="004D31CD"/>
    <w:rsid w:val="004D3205"/>
    <w:rsid w:val="004D3236"/>
    <w:rsid w:val="004D3238"/>
    <w:rsid w:val="004D3308"/>
    <w:rsid w:val="004D3C38"/>
    <w:rsid w:val="004D3EC2"/>
    <w:rsid w:val="004D405B"/>
    <w:rsid w:val="004D4137"/>
    <w:rsid w:val="004D4308"/>
    <w:rsid w:val="004D4D3E"/>
    <w:rsid w:val="004D4E9D"/>
    <w:rsid w:val="004D4FC1"/>
    <w:rsid w:val="004D5188"/>
    <w:rsid w:val="004D5315"/>
    <w:rsid w:val="004D59BF"/>
    <w:rsid w:val="004D5A19"/>
    <w:rsid w:val="004D5B15"/>
    <w:rsid w:val="004D5CDD"/>
    <w:rsid w:val="004D5DDC"/>
    <w:rsid w:val="004D5F10"/>
    <w:rsid w:val="004D612F"/>
    <w:rsid w:val="004D61F8"/>
    <w:rsid w:val="004D6498"/>
    <w:rsid w:val="004D686D"/>
    <w:rsid w:val="004D6AEF"/>
    <w:rsid w:val="004D6D58"/>
    <w:rsid w:val="004D7169"/>
    <w:rsid w:val="004D7233"/>
    <w:rsid w:val="004D75DF"/>
    <w:rsid w:val="004D7B2D"/>
    <w:rsid w:val="004D7C3A"/>
    <w:rsid w:val="004D7C72"/>
    <w:rsid w:val="004D7D13"/>
    <w:rsid w:val="004D7E07"/>
    <w:rsid w:val="004D7F72"/>
    <w:rsid w:val="004E0596"/>
    <w:rsid w:val="004E06B3"/>
    <w:rsid w:val="004E072D"/>
    <w:rsid w:val="004E0810"/>
    <w:rsid w:val="004E088F"/>
    <w:rsid w:val="004E09AF"/>
    <w:rsid w:val="004E0A05"/>
    <w:rsid w:val="004E0DCD"/>
    <w:rsid w:val="004E0FE9"/>
    <w:rsid w:val="004E1003"/>
    <w:rsid w:val="004E13CE"/>
    <w:rsid w:val="004E1516"/>
    <w:rsid w:val="004E1AC4"/>
    <w:rsid w:val="004E1AE2"/>
    <w:rsid w:val="004E1C40"/>
    <w:rsid w:val="004E1C5B"/>
    <w:rsid w:val="004E1D63"/>
    <w:rsid w:val="004E1DF8"/>
    <w:rsid w:val="004E1FDB"/>
    <w:rsid w:val="004E2067"/>
    <w:rsid w:val="004E23EE"/>
    <w:rsid w:val="004E26E2"/>
    <w:rsid w:val="004E29F1"/>
    <w:rsid w:val="004E2B28"/>
    <w:rsid w:val="004E2CC0"/>
    <w:rsid w:val="004E2CCB"/>
    <w:rsid w:val="004E334F"/>
    <w:rsid w:val="004E3860"/>
    <w:rsid w:val="004E3868"/>
    <w:rsid w:val="004E3B99"/>
    <w:rsid w:val="004E3B9F"/>
    <w:rsid w:val="004E4138"/>
    <w:rsid w:val="004E4364"/>
    <w:rsid w:val="004E43B1"/>
    <w:rsid w:val="004E4487"/>
    <w:rsid w:val="004E458D"/>
    <w:rsid w:val="004E495D"/>
    <w:rsid w:val="004E4A79"/>
    <w:rsid w:val="004E4B39"/>
    <w:rsid w:val="004E4C2E"/>
    <w:rsid w:val="004E4F8B"/>
    <w:rsid w:val="004E5096"/>
    <w:rsid w:val="004E51DA"/>
    <w:rsid w:val="004E5A0F"/>
    <w:rsid w:val="004E5BC1"/>
    <w:rsid w:val="004E5DA5"/>
    <w:rsid w:val="004E637A"/>
    <w:rsid w:val="004E67E2"/>
    <w:rsid w:val="004E6832"/>
    <w:rsid w:val="004E69B2"/>
    <w:rsid w:val="004E6C40"/>
    <w:rsid w:val="004E6EA0"/>
    <w:rsid w:val="004E6F75"/>
    <w:rsid w:val="004E71F4"/>
    <w:rsid w:val="004E79CE"/>
    <w:rsid w:val="004E7BEC"/>
    <w:rsid w:val="004E7DFB"/>
    <w:rsid w:val="004F02E1"/>
    <w:rsid w:val="004F06CD"/>
    <w:rsid w:val="004F0B46"/>
    <w:rsid w:val="004F0B47"/>
    <w:rsid w:val="004F0E9D"/>
    <w:rsid w:val="004F10D8"/>
    <w:rsid w:val="004F113F"/>
    <w:rsid w:val="004F1229"/>
    <w:rsid w:val="004F12F0"/>
    <w:rsid w:val="004F13B4"/>
    <w:rsid w:val="004F142E"/>
    <w:rsid w:val="004F17AC"/>
    <w:rsid w:val="004F18D8"/>
    <w:rsid w:val="004F1C05"/>
    <w:rsid w:val="004F1C96"/>
    <w:rsid w:val="004F1DBE"/>
    <w:rsid w:val="004F214C"/>
    <w:rsid w:val="004F27E5"/>
    <w:rsid w:val="004F28D4"/>
    <w:rsid w:val="004F29B2"/>
    <w:rsid w:val="004F2A50"/>
    <w:rsid w:val="004F2A71"/>
    <w:rsid w:val="004F2D8A"/>
    <w:rsid w:val="004F2F9F"/>
    <w:rsid w:val="004F2FB8"/>
    <w:rsid w:val="004F32F4"/>
    <w:rsid w:val="004F332E"/>
    <w:rsid w:val="004F3568"/>
    <w:rsid w:val="004F370B"/>
    <w:rsid w:val="004F37B0"/>
    <w:rsid w:val="004F37C9"/>
    <w:rsid w:val="004F392D"/>
    <w:rsid w:val="004F3A57"/>
    <w:rsid w:val="004F3BE0"/>
    <w:rsid w:val="004F3C4D"/>
    <w:rsid w:val="004F3DD1"/>
    <w:rsid w:val="004F40C7"/>
    <w:rsid w:val="004F4424"/>
    <w:rsid w:val="004F4980"/>
    <w:rsid w:val="004F4C23"/>
    <w:rsid w:val="004F4D15"/>
    <w:rsid w:val="004F4F6B"/>
    <w:rsid w:val="004F50C9"/>
    <w:rsid w:val="004F5302"/>
    <w:rsid w:val="004F54BC"/>
    <w:rsid w:val="004F5607"/>
    <w:rsid w:val="004F5909"/>
    <w:rsid w:val="004F5ACD"/>
    <w:rsid w:val="004F5CA6"/>
    <w:rsid w:val="004F60F1"/>
    <w:rsid w:val="004F63CC"/>
    <w:rsid w:val="004F63F4"/>
    <w:rsid w:val="004F66AD"/>
    <w:rsid w:val="004F67EA"/>
    <w:rsid w:val="004F6A7C"/>
    <w:rsid w:val="004F70B3"/>
    <w:rsid w:val="004F70D8"/>
    <w:rsid w:val="004F717D"/>
    <w:rsid w:val="004F7552"/>
    <w:rsid w:val="004F7BBE"/>
    <w:rsid w:val="004F7CD8"/>
    <w:rsid w:val="004F7FD6"/>
    <w:rsid w:val="00500047"/>
    <w:rsid w:val="00500570"/>
    <w:rsid w:val="005009BE"/>
    <w:rsid w:val="00500A81"/>
    <w:rsid w:val="00500A9F"/>
    <w:rsid w:val="00500EFA"/>
    <w:rsid w:val="00500F13"/>
    <w:rsid w:val="00500F81"/>
    <w:rsid w:val="005012A9"/>
    <w:rsid w:val="0050148D"/>
    <w:rsid w:val="005015ED"/>
    <w:rsid w:val="005017F7"/>
    <w:rsid w:val="00501A4B"/>
    <w:rsid w:val="00501C73"/>
    <w:rsid w:val="00501CD0"/>
    <w:rsid w:val="00501FCE"/>
    <w:rsid w:val="005020B4"/>
    <w:rsid w:val="00502244"/>
    <w:rsid w:val="00502527"/>
    <w:rsid w:val="00502637"/>
    <w:rsid w:val="00502A04"/>
    <w:rsid w:val="005030F1"/>
    <w:rsid w:val="00503507"/>
    <w:rsid w:val="00503783"/>
    <w:rsid w:val="005039E4"/>
    <w:rsid w:val="00503AB9"/>
    <w:rsid w:val="00503E58"/>
    <w:rsid w:val="00503E68"/>
    <w:rsid w:val="00503FAD"/>
    <w:rsid w:val="0050403B"/>
    <w:rsid w:val="0050442A"/>
    <w:rsid w:val="0050485F"/>
    <w:rsid w:val="00504AD0"/>
    <w:rsid w:val="00504B6D"/>
    <w:rsid w:val="00504E30"/>
    <w:rsid w:val="00504E3D"/>
    <w:rsid w:val="00504EB0"/>
    <w:rsid w:val="00504F8D"/>
    <w:rsid w:val="0050518F"/>
    <w:rsid w:val="005052F9"/>
    <w:rsid w:val="00505C31"/>
    <w:rsid w:val="00505C40"/>
    <w:rsid w:val="00505D1E"/>
    <w:rsid w:val="00505F27"/>
    <w:rsid w:val="00506220"/>
    <w:rsid w:val="00506350"/>
    <w:rsid w:val="005064A5"/>
    <w:rsid w:val="00506CAE"/>
    <w:rsid w:val="00506F48"/>
    <w:rsid w:val="005078E5"/>
    <w:rsid w:val="00507A14"/>
    <w:rsid w:val="00507BC4"/>
    <w:rsid w:val="00507D39"/>
    <w:rsid w:val="00507F5D"/>
    <w:rsid w:val="0051002A"/>
    <w:rsid w:val="0051018C"/>
    <w:rsid w:val="0051029A"/>
    <w:rsid w:val="00510556"/>
    <w:rsid w:val="00510870"/>
    <w:rsid w:val="00510A9B"/>
    <w:rsid w:val="00510C73"/>
    <w:rsid w:val="00510C95"/>
    <w:rsid w:val="00510D62"/>
    <w:rsid w:val="00510DBE"/>
    <w:rsid w:val="0051135F"/>
    <w:rsid w:val="005114A1"/>
    <w:rsid w:val="00512422"/>
    <w:rsid w:val="00512544"/>
    <w:rsid w:val="00512567"/>
    <w:rsid w:val="00512C52"/>
    <w:rsid w:val="00512D09"/>
    <w:rsid w:val="00512DB6"/>
    <w:rsid w:val="00512E85"/>
    <w:rsid w:val="00512FA4"/>
    <w:rsid w:val="00513165"/>
    <w:rsid w:val="0051354F"/>
    <w:rsid w:val="00513659"/>
    <w:rsid w:val="00513784"/>
    <w:rsid w:val="00513801"/>
    <w:rsid w:val="00513D8C"/>
    <w:rsid w:val="005140B5"/>
    <w:rsid w:val="005147B7"/>
    <w:rsid w:val="0051486C"/>
    <w:rsid w:val="00514A49"/>
    <w:rsid w:val="00514A85"/>
    <w:rsid w:val="00514B3E"/>
    <w:rsid w:val="00515188"/>
    <w:rsid w:val="005154E1"/>
    <w:rsid w:val="00515E2D"/>
    <w:rsid w:val="0051674E"/>
    <w:rsid w:val="005167E2"/>
    <w:rsid w:val="005169AE"/>
    <w:rsid w:val="00516A00"/>
    <w:rsid w:val="00516B45"/>
    <w:rsid w:val="00516FC1"/>
    <w:rsid w:val="0051710A"/>
    <w:rsid w:val="00517171"/>
    <w:rsid w:val="005174F3"/>
    <w:rsid w:val="00517588"/>
    <w:rsid w:val="00517616"/>
    <w:rsid w:val="0051774E"/>
    <w:rsid w:val="0051791E"/>
    <w:rsid w:val="00517CE1"/>
    <w:rsid w:val="00517E6A"/>
    <w:rsid w:val="00517EBB"/>
    <w:rsid w:val="0052008C"/>
    <w:rsid w:val="005202BE"/>
    <w:rsid w:val="0052039F"/>
    <w:rsid w:val="0052049B"/>
    <w:rsid w:val="00520A29"/>
    <w:rsid w:val="00520ED0"/>
    <w:rsid w:val="00521333"/>
    <w:rsid w:val="005213A0"/>
    <w:rsid w:val="005214B9"/>
    <w:rsid w:val="00521621"/>
    <w:rsid w:val="005218CF"/>
    <w:rsid w:val="00521BDC"/>
    <w:rsid w:val="00521D7A"/>
    <w:rsid w:val="005222C2"/>
    <w:rsid w:val="005227D3"/>
    <w:rsid w:val="005228BF"/>
    <w:rsid w:val="00522B30"/>
    <w:rsid w:val="00522B53"/>
    <w:rsid w:val="00522CE3"/>
    <w:rsid w:val="00523166"/>
    <w:rsid w:val="0052318D"/>
    <w:rsid w:val="005231E2"/>
    <w:rsid w:val="00523300"/>
    <w:rsid w:val="005234D8"/>
    <w:rsid w:val="00523536"/>
    <w:rsid w:val="00523554"/>
    <w:rsid w:val="00523800"/>
    <w:rsid w:val="00523A20"/>
    <w:rsid w:val="00524213"/>
    <w:rsid w:val="00524275"/>
    <w:rsid w:val="005247C8"/>
    <w:rsid w:val="00524824"/>
    <w:rsid w:val="00524B86"/>
    <w:rsid w:val="00524D1C"/>
    <w:rsid w:val="00524FB9"/>
    <w:rsid w:val="00525129"/>
    <w:rsid w:val="00525212"/>
    <w:rsid w:val="005255A2"/>
    <w:rsid w:val="00525BF4"/>
    <w:rsid w:val="00525F98"/>
    <w:rsid w:val="00525FCA"/>
    <w:rsid w:val="00526047"/>
    <w:rsid w:val="005263DD"/>
    <w:rsid w:val="0052648B"/>
    <w:rsid w:val="00526526"/>
    <w:rsid w:val="0052667C"/>
    <w:rsid w:val="005267A0"/>
    <w:rsid w:val="00526A45"/>
    <w:rsid w:val="00526AC1"/>
    <w:rsid w:val="00526B88"/>
    <w:rsid w:val="00526CCB"/>
    <w:rsid w:val="00526E8F"/>
    <w:rsid w:val="005270F9"/>
    <w:rsid w:val="00527203"/>
    <w:rsid w:val="00527205"/>
    <w:rsid w:val="005278E9"/>
    <w:rsid w:val="00527956"/>
    <w:rsid w:val="00527A34"/>
    <w:rsid w:val="00527BAA"/>
    <w:rsid w:val="005305E7"/>
    <w:rsid w:val="00530F49"/>
    <w:rsid w:val="00531DF1"/>
    <w:rsid w:val="00531F6D"/>
    <w:rsid w:val="00531FE5"/>
    <w:rsid w:val="005326F2"/>
    <w:rsid w:val="0053270A"/>
    <w:rsid w:val="005328A6"/>
    <w:rsid w:val="00532B0F"/>
    <w:rsid w:val="00532C10"/>
    <w:rsid w:val="00532DCD"/>
    <w:rsid w:val="0053323F"/>
    <w:rsid w:val="005337A8"/>
    <w:rsid w:val="00533873"/>
    <w:rsid w:val="00534085"/>
    <w:rsid w:val="005346B7"/>
    <w:rsid w:val="00534BB4"/>
    <w:rsid w:val="00534BCC"/>
    <w:rsid w:val="00534FC8"/>
    <w:rsid w:val="0053529F"/>
    <w:rsid w:val="005354D7"/>
    <w:rsid w:val="005355AA"/>
    <w:rsid w:val="00535692"/>
    <w:rsid w:val="00535783"/>
    <w:rsid w:val="005357F9"/>
    <w:rsid w:val="005358F0"/>
    <w:rsid w:val="00536167"/>
    <w:rsid w:val="005361C4"/>
    <w:rsid w:val="0053641A"/>
    <w:rsid w:val="00536599"/>
    <w:rsid w:val="005366C1"/>
    <w:rsid w:val="00536D04"/>
    <w:rsid w:val="00536FB8"/>
    <w:rsid w:val="00537701"/>
    <w:rsid w:val="00537952"/>
    <w:rsid w:val="00537C7D"/>
    <w:rsid w:val="00537F5C"/>
    <w:rsid w:val="00540924"/>
    <w:rsid w:val="005409B6"/>
    <w:rsid w:val="00540CD4"/>
    <w:rsid w:val="005413DE"/>
    <w:rsid w:val="00541566"/>
    <w:rsid w:val="00541857"/>
    <w:rsid w:val="005418E4"/>
    <w:rsid w:val="00541915"/>
    <w:rsid w:val="00541BCE"/>
    <w:rsid w:val="00541D14"/>
    <w:rsid w:val="00541D57"/>
    <w:rsid w:val="00541F5A"/>
    <w:rsid w:val="00542129"/>
    <w:rsid w:val="0054233F"/>
    <w:rsid w:val="005424ED"/>
    <w:rsid w:val="00542592"/>
    <w:rsid w:val="00542B51"/>
    <w:rsid w:val="00543072"/>
    <w:rsid w:val="00543088"/>
    <w:rsid w:val="005430BB"/>
    <w:rsid w:val="005430F9"/>
    <w:rsid w:val="00543117"/>
    <w:rsid w:val="005431E3"/>
    <w:rsid w:val="005432E2"/>
    <w:rsid w:val="005434D1"/>
    <w:rsid w:val="00543746"/>
    <w:rsid w:val="00543845"/>
    <w:rsid w:val="00543D1D"/>
    <w:rsid w:val="0054465E"/>
    <w:rsid w:val="00544742"/>
    <w:rsid w:val="00544BFE"/>
    <w:rsid w:val="00544CD0"/>
    <w:rsid w:val="00544FFC"/>
    <w:rsid w:val="0054530F"/>
    <w:rsid w:val="00545336"/>
    <w:rsid w:val="0054572A"/>
    <w:rsid w:val="00545780"/>
    <w:rsid w:val="0054585D"/>
    <w:rsid w:val="0054640D"/>
    <w:rsid w:val="0054654B"/>
    <w:rsid w:val="005465D8"/>
    <w:rsid w:val="00546705"/>
    <w:rsid w:val="0054673B"/>
    <w:rsid w:val="0054687C"/>
    <w:rsid w:val="00546E10"/>
    <w:rsid w:val="005471FC"/>
    <w:rsid w:val="00547664"/>
    <w:rsid w:val="00547731"/>
    <w:rsid w:val="00547751"/>
    <w:rsid w:val="00547927"/>
    <w:rsid w:val="0054793D"/>
    <w:rsid w:val="00547B6B"/>
    <w:rsid w:val="00547C7B"/>
    <w:rsid w:val="00547E58"/>
    <w:rsid w:val="00550227"/>
    <w:rsid w:val="00550349"/>
    <w:rsid w:val="00550439"/>
    <w:rsid w:val="005507B4"/>
    <w:rsid w:val="00550820"/>
    <w:rsid w:val="005508D6"/>
    <w:rsid w:val="00550EC3"/>
    <w:rsid w:val="005510A0"/>
    <w:rsid w:val="005513D1"/>
    <w:rsid w:val="00551F65"/>
    <w:rsid w:val="00552029"/>
    <w:rsid w:val="00552045"/>
    <w:rsid w:val="0055222B"/>
    <w:rsid w:val="005523F8"/>
    <w:rsid w:val="00552414"/>
    <w:rsid w:val="005524D7"/>
    <w:rsid w:val="00552F01"/>
    <w:rsid w:val="00553113"/>
    <w:rsid w:val="00553690"/>
    <w:rsid w:val="005536AB"/>
    <w:rsid w:val="00553A54"/>
    <w:rsid w:val="00553B81"/>
    <w:rsid w:val="00553DBA"/>
    <w:rsid w:val="00553DC1"/>
    <w:rsid w:val="00553EB7"/>
    <w:rsid w:val="00553F66"/>
    <w:rsid w:val="005540BB"/>
    <w:rsid w:val="005543A9"/>
    <w:rsid w:val="0055452B"/>
    <w:rsid w:val="005546DE"/>
    <w:rsid w:val="0055470A"/>
    <w:rsid w:val="0055491B"/>
    <w:rsid w:val="00554C56"/>
    <w:rsid w:val="00555043"/>
    <w:rsid w:val="005552BD"/>
    <w:rsid w:val="005559DB"/>
    <w:rsid w:val="00555B11"/>
    <w:rsid w:val="00555C4D"/>
    <w:rsid w:val="00555CDD"/>
    <w:rsid w:val="00555E3B"/>
    <w:rsid w:val="00555F52"/>
    <w:rsid w:val="005561F8"/>
    <w:rsid w:val="005569D1"/>
    <w:rsid w:val="00556F38"/>
    <w:rsid w:val="00557002"/>
    <w:rsid w:val="00557320"/>
    <w:rsid w:val="005578A9"/>
    <w:rsid w:val="005578CD"/>
    <w:rsid w:val="00557BFA"/>
    <w:rsid w:val="00557C11"/>
    <w:rsid w:val="00557D79"/>
    <w:rsid w:val="005604FD"/>
    <w:rsid w:val="00560605"/>
    <w:rsid w:val="00560F96"/>
    <w:rsid w:val="00560F9A"/>
    <w:rsid w:val="0056112B"/>
    <w:rsid w:val="005612F0"/>
    <w:rsid w:val="0056151C"/>
    <w:rsid w:val="005615E7"/>
    <w:rsid w:val="0056178A"/>
    <w:rsid w:val="00561C49"/>
    <w:rsid w:val="0056201B"/>
    <w:rsid w:val="005621DA"/>
    <w:rsid w:val="00562360"/>
    <w:rsid w:val="0056237A"/>
    <w:rsid w:val="00562612"/>
    <w:rsid w:val="0056267D"/>
    <w:rsid w:val="00562971"/>
    <w:rsid w:val="00562AAD"/>
    <w:rsid w:val="00562AF8"/>
    <w:rsid w:val="00562BB2"/>
    <w:rsid w:val="00562CBE"/>
    <w:rsid w:val="005634F1"/>
    <w:rsid w:val="00563911"/>
    <w:rsid w:val="0056395F"/>
    <w:rsid w:val="0056397F"/>
    <w:rsid w:val="00563A97"/>
    <w:rsid w:val="00563BAF"/>
    <w:rsid w:val="00563D0C"/>
    <w:rsid w:val="00563E37"/>
    <w:rsid w:val="00564572"/>
    <w:rsid w:val="005647B9"/>
    <w:rsid w:val="00564C16"/>
    <w:rsid w:val="00564C22"/>
    <w:rsid w:val="00564EC8"/>
    <w:rsid w:val="00564FA9"/>
    <w:rsid w:val="0056503E"/>
    <w:rsid w:val="00565078"/>
    <w:rsid w:val="00565485"/>
    <w:rsid w:val="0056576C"/>
    <w:rsid w:val="00565805"/>
    <w:rsid w:val="0056586E"/>
    <w:rsid w:val="00565AC2"/>
    <w:rsid w:val="00565F6B"/>
    <w:rsid w:val="00565F8E"/>
    <w:rsid w:val="0056601C"/>
    <w:rsid w:val="0056614E"/>
    <w:rsid w:val="00566CE3"/>
    <w:rsid w:val="00566D23"/>
    <w:rsid w:val="00566D3E"/>
    <w:rsid w:val="00567145"/>
    <w:rsid w:val="00567639"/>
    <w:rsid w:val="0056769E"/>
    <w:rsid w:val="0056785C"/>
    <w:rsid w:val="0056798D"/>
    <w:rsid w:val="005679CA"/>
    <w:rsid w:val="00567B54"/>
    <w:rsid w:val="0057003C"/>
    <w:rsid w:val="0057010A"/>
    <w:rsid w:val="0057027E"/>
    <w:rsid w:val="00570631"/>
    <w:rsid w:val="005706D9"/>
    <w:rsid w:val="005707BF"/>
    <w:rsid w:val="00570940"/>
    <w:rsid w:val="00571125"/>
    <w:rsid w:val="00571881"/>
    <w:rsid w:val="0057188D"/>
    <w:rsid w:val="00571951"/>
    <w:rsid w:val="00571CF1"/>
    <w:rsid w:val="00571FD3"/>
    <w:rsid w:val="00571FD7"/>
    <w:rsid w:val="00572294"/>
    <w:rsid w:val="0057262D"/>
    <w:rsid w:val="00572757"/>
    <w:rsid w:val="00572983"/>
    <w:rsid w:val="00572CEB"/>
    <w:rsid w:val="00572DF7"/>
    <w:rsid w:val="00572E40"/>
    <w:rsid w:val="00572EA9"/>
    <w:rsid w:val="0057306A"/>
    <w:rsid w:val="00573135"/>
    <w:rsid w:val="0057328C"/>
    <w:rsid w:val="0057337F"/>
    <w:rsid w:val="005733BF"/>
    <w:rsid w:val="00573528"/>
    <w:rsid w:val="00573943"/>
    <w:rsid w:val="00573A22"/>
    <w:rsid w:val="00573E18"/>
    <w:rsid w:val="0057405D"/>
    <w:rsid w:val="0057408C"/>
    <w:rsid w:val="00574213"/>
    <w:rsid w:val="005743F4"/>
    <w:rsid w:val="0057446D"/>
    <w:rsid w:val="0057479C"/>
    <w:rsid w:val="00574D22"/>
    <w:rsid w:val="00574F40"/>
    <w:rsid w:val="005753A0"/>
    <w:rsid w:val="0057542C"/>
    <w:rsid w:val="00575A8C"/>
    <w:rsid w:val="00575D5C"/>
    <w:rsid w:val="00575E52"/>
    <w:rsid w:val="005763A7"/>
    <w:rsid w:val="00576C46"/>
    <w:rsid w:val="00576F17"/>
    <w:rsid w:val="00577924"/>
    <w:rsid w:val="00577B7D"/>
    <w:rsid w:val="00577D8E"/>
    <w:rsid w:val="00577D94"/>
    <w:rsid w:val="00580A59"/>
    <w:rsid w:val="00580A6B"/>
    <w:rsid w:val="00580A75"/>
    <w:rsid w:val="0058119E"/>
    <w:rsid w:val="005814DC"/>
    <w:rsid w:val="00581A08"/>
    <w:rsid w:val="00581B21"/>
    <w:rsid w:val="00581F1E"/>
    <w:rsid w:val="00582325"/>
    <w:rsid w:val="00582356"/>
    <w:rsid w:val="0058247C"/>
    <w:rsid w:val="0058266D"/>
    <w:rsid w:val="0058293A"/>
    <w:rsid w:val="00582BE5"/>
    <w:rsid w:val="005833F3"/>
    <w:rsid w:val="00583549"/>
    <w:rsid w:val="00583922"/>
    <w:rsid w:val="00583EA4"/>
    <w:rsid w:val="005840E4"/>
    <w:rsid w:val="00584167"/>
    <w:rsid w:val="0058484F"/>
    <w:rsid w:val="0058489D"/>
    <w:rsid w:val="00584CDA"/>
    <w:rsid w:val="0058517F"/>
    <w:rsid w:val="00585426"/>
    <w:rsid w:val="005860EB"/>
    <w:rsid w:val="00586663"/>
    <w:rsid w:val="0058688C"/>
    <w:rsid w:val="0058731C"/>
    <w:rsid w:val="0058748D"/>
    <w:rsid w:val="0058782E"/>
    <w:rsid w:val="00587B2A"/>
    <w:rsid w:val="005902C2"/>
    <w:rsid w:val="0059063F"/>
    <w:rsid w:val="00590907"/>
    <w:rsid w:val="00590967"/>
    <w:rsid w:val="00590974"/>
    <w:rsid w:val="00590AE7"/>
    <w:rsid w:val="00590B38"/>
    <w:rsid w:val="00590C24"/>
    <w:rsid w:val="00590CE1"/>
    <w:rsid w:val="0059177F"/>
    <w:rsid w:val="005919D6"/>
    <w:rsid w:val="00591E50"/>
    <w:rsid w:val="0059241D"/>
    <w:rsid w:val="00592475"/>
    <w:rsid w:val="00592905"/>
    <w:rsid w:val="00592F0C"/>
    <w:rsid w:val="0059378B"/>
    <w:rsid w:val="005938B4"/>
    <w:rsid w:val="00593CF4"/>
    <w:rsid w:val="00593FBA"/>
    <w:rsid w:val="0059443D"/>
    <w:rsid w:val="005946EE"/>
    <w:rsid w:val="00594739"/>
    <w:rsid w:val="00594B95"/>
    <w:rsid w:val="00594C0C"/>
    <w:rsid w:val="00594DAF"/>
    <w:rsid w:val="00595407"/>
    <w:rsid w:val="005954A8"/>
    <w:rsid w:val="00595594"/>
    <w:rsid w:val="005956FE"/>
    <w:rsid w:val="005958BE"/>
    <w:rsid w:val="00595EAC"/>
    <w:rsid w:val="005960BB"/>
    <w:rsid w:val="005961EB"/>
    <w:rsid w:val="0059651A"/>
    <w:rsid w:val="0059652B"/>
    <w:rsid w:val="005966DC"/>
    <w:rsid w:val="0059675F"/>
    <w:rsid w:val="00596E6C"/>
    <w:rsid w:val="00597277"/>
    <w:rsid w:val="00597743"/>
    <w:rsid w:val="00597F7C"/>
    <w:rsid w:val="005A01CE"/>
    <w:rsid w:val="005A025D"/>
    <w:rsid w:val="005A081A"/>
    <w:rsid w:val="005A0865"/>
    <w:rsid w:val="005A095F"/>
    <w:rsid w:val="005A0A2D"/>
    <w:rsid w:val="005A0A2F"/>
    <w:rsid w:val="005A1035"/>
    <w:rsid w:val="005A179F"/>
    <w:rsid w:val="005A1BF7"/>
    <w:rsid w:val="005A1C05"/>
    <w:rsid w:val="005A22C9"/>
    <w:rsid w:val="005A2B36"/>
    <w:rsid w:val="005A2FEE"/>
    <w:rsid w:val="005A33D8"/>
    <w:rsid w:val="005A35D8"/>
    <w:rsid w:val="005A363D"/>
    <w:rsid w:val="005A3A37"/>
    <w:rsid w:val="005A3AAB"/>
    <w:rsid w:val="005A3BAB"/>
    <w:rsid w:val="005A44DD"/>
    <w:rsid w:val="005A4541"/>
    <w:rsid w:val="005A45DB"/>
    <w:rsid w:val="005A4FB4"/>
    <w:rsid w:val="005A52C3"/>
    <w:rsid w:val="005A556B"/>
    <w:rsid w:val="005A572C"/>
    <w:rsid w:val="005A5B2B"/>
    <w:rsid w:val="005A5C2D"/>
    <w:rsid w:val="005A5D4E"/>
    <w:rsid w:val="005A5D9B"/>
    <w:rsid w:val="005A6095"/>
    <w:rsid w:val="005A65CA"/>
    <w:rsid w:val="005A67D1"/>
    <w:rsid w:val="005A69AF"/>
    <w:rsid w:val="005A74B1"/>
    <w:rsid w:val="005A74D6"/>
    <w:rsid w:val="005A7616"/>
    <w:rsid w:val="005A7C2B"/>
    <w:rsid w:val="005A7FFA"/>
    <w:rsid w:val="005B02C9"/>
    <w:rsid w:val="005B033F"/>
    <w:rsid w:val="005B0403"/>
    <w:rsid w:val="005B0578"/>
    <w:rsid w:val="005B0620"/>
    <w:rsid w:val="005B0699"/>
    <w:rsid w:val="005B0CFE"/>
    <w:rsid w:val="005B0E7C"/>
    <w:rsid w:val="005B1716"/>
    <w:rsid w:val="005B1D4C"/>
    <w:rsid w:val="005B223B"/>
    <w:rsid w:val="005B2AFE"/>
    <w:rsid w:val="005B2B57"/>
    <w:rsid w:val="005B2E26"/>
    <w:rsid w:val="005B3286"/>
    <w:rsid w:val="005B3A02"/>
    <w:rsid w:val="005B406D"/>
    <w:rsid w:val="005B416C"/>
    <w:rsid w:val="005B462F"/>
    <w:rsid w:val="005B46F6"/>
    <w:rsid w:val="005B4A58"/>
    <w:rsid w:val="005B5819"/>
    <w:rsid w:val="005B5DC2"/>
    <w:rsid w:val="005B616A"/>
    <w:rsid w:val="005B62CE"/>
    <w:rsid w:val="005B6896"/>
    <w:rsid w:val="005B6B30"/>
    <w:rsid w:val="005B712D"/>
    <w:rsid w:val="005B74E2"/>
    <w:rsid w:val="005B7748"/>
    <w:rsid w:val="005B774C"/>
    <w:rsid w:val="005B7BE8"/>
    <w:rsid w:val="005C047A"/>
    <w:rsid w:val="005C07D7"/>
    <w:rsid w:val="005C08B5"/>
    <w:rsid w:val="005C096D"/>
    <w:rsid w:val="005C09FE"/>
    <w:rsid w:val="005C0A2D"/>
    <w:rsid w:val="005C0FF0"/>
    <w:rsid w:val="005C11F1"/>
    <w:rsid w:val="005C11FE"/>
    <w:rsid w:val="005C17C3"/>
    <w:rsid w:val="005C18C1"/>
    <w:rsid w:val="005C19D8"/>
    <w:rsid w:val="005C1A6D"/>
    <w:rsid w:val="005C1E12"/>
    <w:rsid w:val="005C1E96"/>
    <w:rsid w:val="005C1F44"/>
    <w:rsid w:val="005C2162"/>
    <w:rsid w:val="005C261F"/>
    <w:rsid w:val="005C27F1"/>
    <w:rsid w:val="005C2813"/>
    <w:rsid w:val="005C2AFE"/>
    <w:rsid w:val="005C2E5B"/>
    <w:rsid w:val="005C3111"/>
    <w:rsid w:val="005C31C1"/>
    <w:rsid w:val="005C33C0"/>
    <w:rsid w:val="005C3A96"/>
    <w:rsid w:val="005C3B3F"/>
    <w:rsid w:val="005C3CAD"/>
    <w:rsid w:val="005C40B6"/>
    <w:rsid w:val="005C41C9"/>
    <w:rsid w:val="005C43CC"/>
    <w:rsid w:val="005C44BF"/>
    <w:rsid w:val="005C481F"/>
    <w:rsid w:val="005C492C"/>
    <w:rsid w:val="005C4B4B"/>
    <w:rsid w:val="005C4C9B"/>
    <w:rsid w:val="005C4D96"/>
    <w:rsid w:val="005C5159"/>
    <w:rsid w:val="005C62BD"/>
    <w:rsid w:val="005C6477"/>
    <w:rsid w:val="005C6536"/>
    <w:rsid w:val="005C6710"/>
    <w:rsid w:val="005C6978"/>
    <w:rsid w:val="005C6E41"/>
    <w:rsid w:val="005C6ECE"/>
    <w:rsid w:val="005C6FAA"/>
    <w:rsid w:val="005C7009"/>
    <w:rsid w:val="005C72C1"/>
    <w:rsid w:val="005C75CD"/>
    <w:rsid w:val="005D0004"/>
    <w:rsid w:val="005D04DB"/>
    <w:rsid w:val="005D04F8"/>
    <w:rsid w:val="005D057D"/>
    <w:rsid w:val="005D09A2"/>
    <w:rsid w:val="005D0BB7"/>
    <w:rsid w:val="005D134C"/>
    <w:rsid w:val="005D1678"/>
    <w:rsid w:val="005D19D0"/>
    <w:rsid w:val="005D1D1E"/>
    <w:rsid w:val="005D1DC4"/>
    <w:rsid w:val="005D1FDF"/>
    <w:rsid w:val="005D249D"/>
    <w:rsid w:val="005D25E1"/>
    <w:rsid w:val="005D2B67"/>
    <w:rsid w:val="005D2C97"/>
    <w:rsid w:val="005D2DBA"/>
    <w:rsid w:val="005D2ECA"/>
    <w:rsid w:val="005D2ED1"/>
    <w:rsid w:val="005D2FF8"/>
    <w:rsid w:val="005D318F"/>
    <w:rsid w:val="005D3307"/>
    <w:rsid w:val="005D34F0"/>
    <w:rsid w:val="005D382A"/>
    <w:rsid w:val="005D3C1F"/>
    <w:rsid w:val="005D3D0C"/>
    <w:rsid w:val="005D3D7E"/>
    <w:rsid w:val="005D430E"/>
    <w:rsid w:val="005D4339"/>
    <w:rsid w:val="005D4799"/>
    <w:rsid w:val="005D4CDD"/>
    <w:rsid w:val="005D4E5F"/>
    <w:rsid w:val="005D5371"/>
    <w:rsid w:val="005D53FE"/>
    <w:rsid w:val="005D558E"/>
    <w:rsid w:val="005D55AC"/>
    <w:rsid w:val="005D586A"/>
    <w:rsid w:val="005D5BD6"/>
    <w:rsid w:val="005D6120"/>
    <w:rsid w:val="005D6163"/>
    <w:rsid w:val="005D62FC"/>
    <w:rsid w:val="005D63AF"/>
    <w:rsid w:val="005D65C3"/>
    <w:rsid w:val="005D6772"/>
    <w:rsid w:val="005D681D"/>
    <w:rsid w:val="005D69DE"/>
    <w:rsid w:val="005D6DED"/>
    <w:rsid w:val="005D7017"/>
    <w:rsid w:val="005D7129"/>
    <w:rsid w:val="005D71A9"/>
    <w:rsid w:val="005D730F"/>
    <w:rsid w:val="005D74BC"/>
    <w:rsid w:val="005D7729"/>
    <w:rsid w:val="005D7B1A"/>
    <w:rsid w:val="005D7C6D"/>
    <w:rsid w:val="005E0561"/>
    <w:rsid w:val="005E0732"/>
    <w:rsid w:val="005E0973"/>
    <w:rsid w:val="005E0CA4"/>
    <w:rsid w:val="005E0D78"/>
    <w:rsid w:val="005E1122"/>
    <w:rsid w:val="005E11EB"/>
    <w:rsid w:val="005E14E6"/>
    <w:rsid w:val="005E1589"/>
    <w:rsid w:val="005E1590"/>
    <w:rsid w:val="005E176A"/>
    <w:rsid w:val="005E1772"/>
    <w:rsid w:val="005E179D"/>
    <w:rsid w:val="005E198B"/>
    <w:rsid w:val="005E1B0A"/>
    <w:rsid w:val="005E1C3D"/>
    <w:rsid w:val="005E1CE0"/>
    <w:rsid w:val="005E1D97"/>
    <w:rsid w:val="005E1E95"/>
    <w:rsid w:val="005E1F0F"/>
    <w:rsid w:val="005E20CD"/>
    <w:rsid w:val="005E22FF"/>
    <w:rsid w:val="005E28AB"/>
    <w:rsid w:val="005E318A"/>
    <w:rsid w:val="005E3305"/>
    <w:rsid w:val="005E34AE"/>
    <w:rsid w:val="005E3546"/>
    <w:rsid w:val="005E3963"/>
    <w:rsid w:val="005E3B14"/>
    <w:rsid w:val="005E3C14"/>
    <w:rsid w:val="005E4209"/>
    <w:rsid w:val="005E483B"/>
    <w:rsid w:val="005E48BA"/>
    <w:rsid w:val="005E4909"/>
    <w:rsid w:val="005E49BF"/>
    <w:rsid w:val="005E49CA"/>
    <w:rsid w:val="005E4CA1"/>
    <w:rsid w:val="005E4CB8"/>
    <w:rsid w:val="005E530D"/>
    <w:rsid w:val="005E53E0"/>
    <w:rsid w:val="005E5524"/>
    <w:rsid w:val="005E57FB"/>
    <w:rsid w:val="005E58D4"/>
    <w:rsid w:val="005E5BD0"/>
    <w:rsid w:val="005E60BA"/>
    <w:rsid w:val="005E6558"/>
    <w:rsid w:val="005E681E"/>
    <w:rsid w:val="005E683E"/>
    <w:rsid w:val="005E68B6"/>
    <w:rsid w:val="005E6988"/>
    <w:rsid w:val="005E6D9A"/>
    <w:rsid w:val="005E7778"/>
    <w:rsid w:val="005E7A6C"/>
    <w:rsid w:val="005E7CF7"/>
    <w:rsid w:val="005E7D2B"/>
    <w:rsid w:val="005E7DC0"/>
    <w:rsid w:val="005E7F87"/>
    <w:rsid w:val="005E7FD3"/>
    <w:rsid w:val="005F05EF"/>
    <w:rsid w:val="005F068B"/>
    <w:rsid w:val="005F0B91"/>
    <w:rsid w:val="005F0CDF"/>
    <w:rsid w:val="005F0EB7"/>
    <w:rsid w:val="005F0F38"/>
    <w:rsid w:val="005F1207"/>
    <w:rsid w:val="005F126D"/>
    <w:rsid w:val="005F137B"/>
    <w:rsid w:val="005F14C8"/>
    <w:rsid w:val="005F1561"/>
    <w:rsid w:val="005F164E"/>
    <w:rsid w:val="005F1CFD"/>
    <w:rsid w:val="005F2200"/>
    <w:rsid w:val="005F22D3"/>
    <w:rsid w:val="005F2B01"/>
    <w:rsid w:val="005F2BC4"/>
    <w:rsid w:val="005F2CBA"/>
    <w:rsid w:val="005F2CDF"/>
    <w:rsid w:val="005F31A7"/>
    <w:rsid w:val="005F3480"/>
    <w:rsid w:val="005F35D9"/>
    <w:rsid w:val="005F363A"/>
    <w:rsid w:val="005F3B38"/>
    <w:rsid w:val="005F3CD1"/>
    <w:rsid w:val="005F3D6B"/>
    <w:rsid w:val="005F3D7D"/>
    <w:rsid w:val="005F429B"/>
    <w:rsid w:val="005F42E8"/>
    <w:rsid w:val="005F4358"/>
    <w:rsid w:val="005F46EB"/>
    <w:rsid w:val="005F486E"/>
    <w:rsid w:val="005F4BF0"/>
    <w:rsid w:val="005F4E6A"/>
    <w:rsid w:val="005F5128"/>
    <w:rsid w:val="005F534D"/>
    <w:rsid w:val="005F53D4"/>
    <w:rsid w:val="005F53FC"/>
    <w:rsid w:val="005F58DE"/>
    <w:rsid w:val="005F59F7"/>
    <w:rsid w:val="005F5A70"/>
    <w:rsid w:val="005F5DB6"/>
    <w:rsid w:val="005F5FB6"/>
    <w:rsid w:val="005F61E1"/>
    <w:rsid w:val="005F62D8"/>
    <w:rsid w:val="005F6466"/>
    <w:rsid w:val="005F6627"/>
    <w:rsid w:val="005F69BC"/>
    <w:rsid w:val="005F6A0C"/>
    <w:rsid w:val="005F78FF"/>
    <w:rsid w:val="005F7AAC"/>
    <w:rsid w:val="005F7B7E"/>
    <w:rsid w:val="005F7CCB"/>
    <w:rsid w:val="00600114"/>
    <w:rsid w:val="00600238"/>
    <w:rsid w:val="00600355"/>
    <w:rsid w:val="006004D5"/>
    <w:rsid w:val="006004DD"/>
    <w:rsid w:val="00600511"/>
    <w:rsid w:val="00600527"/>
    <w:rsid w:val="00600856"/>
    <w:rsid w:val="00600966"/>
    <w:rsid w:val="00600B6E"/>
    <w:rsid w:val="006011A7"/>
    <w:rsid w:val="0060168A"/>
    <w:rsid w:val="00601746"/>
    <w:rsid w:val="006018B4"/>
    <w:rsid w:val="006018D2"/>
    <w:rsid w:val="00601B5F"/>
    <w:rsid w:val="00601CFF"/>
    <w:rsid w:val="00601DEF"/>
    <w:rsid w:val="00601F23"/>
    <w:rsid w:val="006027B0"/>
    <w:rsid w:val="00602CF4"/>
    <w:rsid w:val="0060328F"/>
    <w:rsid w:val="006034CB"/>
    <w:rsid w:val="006035EE"/>
    <w:rsid w:val="00603801"/>
    <w:rsid w:val="006038B1"/>
    <w:rsid w:val="00603C24"/>
    <w:rsid w:val="00603CC0"/>
    <w:rsid w:val="00603D39"/>
    <w:rsid w:val="00603E3C"/>
    <w:rsid w:val="00603E51"/>
    <w:rsid w:val="00604637"/>
    <w:rsid w:val="0060471F"/>
    <w:rsid w:val="006049BA"/>
    <w:rsid w:val="00604BD7"/>
    <w:rsid w:val="00604C64"/>
    <w:rsid w:val="00604DCC"/>
    <w:rsid w:val="006050EC"/>
    <w:rsid w:val="0060510A"/>
    <w:rsid w:val="00605402"/>
    <w:rsid w:val="0060553B"/>
    <w:rsid w:val="00605A95"/>
    <w:rsid w:val="00605B93"/>
    <w:rsid w:val="00605C9D"/>
    <w:rsid w:val="00605D2E"/>
    <w:rsid w:val="00605DE8"/>
    <w:rsid w:val="00605FCD"/>
    <w:rsid w:val="00606009"/>
    <w:rsid w:val="0060623C"/>
    <w:rsid w:val="006066E7"/>
    <w:rsid w:val="00606D7B"/>
    <w:rsid w:val="00606E10"/>
    <w:rsid w:val="00606FB4"/>
    <w:rsid w:val="006070A2"/>
    <w:rsid w:val="00607406"/>
    <w:rsid w:val="006075A6"/>
    <w:rsid w:val="006075DA"/>
    <w:rsid w:val="0060773D"/>
    <w:rsid w:val="0060786D"/>
    <w:rsid w:val="00607A79"/>
    <w:rsid w:val="00607A8A"/>
    <w:rsid w:val="00610308"/>
    <w:rsid w:val="0061045B"/>
    <w:rsid w:val="006109B4"/>
    <w:rsid w:val="00610DFB"/>
    <w:rsid w:val="0061105B"/>
    <w:rsid w:val="00611243"/>
    <w:rsid w:val="0061146E"/>
    <w:rsid w:val="00611483"/>
    <w:rsid w:val="006116B1"/>
    <w:rsid w:val="00611913"/>
    <w:rsid w:val="00611983"/>
    <w:rsid w:val="00611A26"/>
    <w:rsid w:val="00611AC3"/>
    <w:rsid w:val="00611C6B"/>
    <w:rsid w:val="00611C98"/>
    <w:rsid w:val="006124D3"/>
    <w:rsid w:val="00612977"/>
    <w:rsid w:val="00612ABB"/>
    <w:rsid w:val="00612C14"/>
    <w:rsid w:val="00612CEC"/>
    <w:rsid w:val="00613233"/>
    <w:rsid w:val="006133A3"/>
    <w:rsid w:val="00613A5C"/>
    <w:rsid w:val="00613AAD"/>
    <w:rsid w:val="00613D05"/>
    <w:rsid w:val="00613F21"/>
    <w:rsid w:val="00614113"/>
    <w:rsid w:val="00614547"/>
    <w:rsid w:val="006145DB"/>
    <w:rsid w:val="006146AE"/>
    <w:rsid w:val="00614971"/>
    <w:rsid w:val="00614B11"/>
    <w:rsid w:val="00614D82"/>
    <w:rsid w:val="00614E1D"/>
    <w:rsid w:val="00614E74"/>
    <w:rsid w:val="006150AB"/>
    <w:rsid w:val="0061542A"/>
    <w:rsid w:val="00615AF2"/>
    <w:rsid w:val="00615B33"/>
    <w:rsid w:val="00615BDD"/>
    <w:rsid w:val="00615C81"/>
    <w:rsid w:val="00616233"/>
    <w:rsid w:val="00616565"/>
    <w:rsid w:val="006167F5"/>
    <w:rsid w:val="00616864"/>
    <w:rsid w:val="00616B3A"/>
    <w:rsid w:val="00616D6D"/>
    <w:rsid w:val="00616DBB"/>
    <w:rsid w:val="00616E16"/>
    <w:rsid w:val="00616EC4"/>
    <w:rsid w:val="00617439"/>
    <w:rsid w:val="006174EA"/>
    <w:rsid w:val="006178E6"/>
    <w:rsid w:val="00617DD2"/>
    <w:rsid w:val="00617E23"/>
    <w:rsid w:val="00620100"/>
    <w:rsid w:val="0062032A"/>
    <w:rsid w:val="00620339"/>
    <w:rsid w:val="00620526"/>
    <w:rsid w:val="0062053E"/>
    <w:rsid w:val="0062054E"/>
    <w:rsid w:val="00620663"/>
    <w:rsid w:val="006208BB"/>
    <w:rsid w:val="00620B70"/>
    <w:rsid w:val="00620C72"/>
    <w:rsid w:val="00621417"/>
    <w:rsid w:val="0062142E"/>
    <w:rsid w:val="0062170E"/>
    <w:rsid w:val="006217B3"/>
    <w:rsid w:val="0062187F"/>
    <w:rsid w:val="00621B47"/>
    <w:rsid w:val="006220D9"/>
    <w:rsid w:val="00622131"/>
    <w:rsid w:val="006223E3"/>
    <w:rsid w:val="0062250A"/>
    <w:rsid w:val="0062298A"/>
    <w:rsid w:val="00622A59"/>
    <w:rsid w:val="00622B5D"/>
    <w:rsid w:val="00622F13"/>
    <w:rsid w:val="0062323A"/>
    <w:rsid w:val="006232AC"/>
    <w:rsid w:val="0062343E"/>
    <w:rsid w:val="0062390D"/>
    <w:rsid w:val="00623B75"/>
    <w:rsid w:val="006244CC"/>
    <w:rsid w:val="0062450B"/>
    <w:rsid w:val="00624AA4"/>
    <w:rsid w:val="00625121"/>
    <w:rsid w:val="006256F8"/>
    <w:rsid w:val="006257B1"/>
    <w:rsid w:val="00625857"/>
    <w:rsid w:val="00625972"/>
    <w:rsid w:val="00625F0A"/>
    <w:rsid w:val="0062621C"/>
    <w:rsid w:val="0062643B"/>
    <w:rsid w:val="006267EC"/>
    <w:rsid w:val="0062685F"/>
    <w:rsid w:val="006269C8"/>
    <w:rsid w:val="00626C76"/>
    <w:rsid w:val="00626DB5"/>
    <w:rsid w:val="00626E42"/>
    <w:rsid w:val="0062742A"/>
    <w:rsid w:val="0062745D"/>
    <w:rsid w:val="006274E3"/>
    <w:rsid w:val="006278B5"/>
    <w:rsid w:val="00627E13"/>
    <w:rsid w:val="00627F9D"/>
    <w:rsid w:val="006301CA"/>
    <w:rsid w:val="00630424"/>
    <w:rsid w:val="0063076D"/>
    <w:rsid w:val="006307C5"/>
    <w:rsid w:val="006308A4"/>
    <w:rsid w:val="00630B2A"/>
    <w:rsid w:val="006310D9"/>
    <w:rsid w:val="00631503"/>
    <w:rsid w:val="00631593"/>
    <w:rsid w:val="006316CD"/>
    <w:rsid w:val="00631807"/>
    <w:rsid w:val="006318B1"/>
    <w:rsid w:val="00631A86"/>
    <w:rsid w:val="00631BD4"/>
    <w:rsid w:val="0063252B"/>
    <w:rsid w:val="00632B3F"/>
    <w:rsid w:val="00632D67"/>
    <w:rsid w:val="00632F3A"/>
    <w:rsid w:val="006331B9"/>
    <w:rsid w:val="006331D7"/>
    <w:rsid w:val="00633539"/>
    <w:rsid w:val="006337FB"/>
    <w:rsid w:val="006338DE"/>
    <w:rsid w:val="006338FA"/>
    <w:rsid w:val="00633C06"/>
    <w:rsid w:val="00633C72"/>
    <w:rsid w:val="00633F6C"/>
    <w:rsid w:val="006343D4"/>
    <w:rsid w:val="006344BC"/>
    <w:rsid w:val="00634805"/>
    <w:rsid w:val="00634B77"/>
    <w:rsid w:val="00635218"/>
    <w:rsid w:val="006353C8"/>
    <w:rsid w:val="00635644"/>
    <w:rsid w:val="00635877"/>
    <w:rsid w:val="00635BFB"/>
    <w:rsid w:val="00635CAB"/>
    <w:rsid w:val="00635DF5"/>
    <w:rsid w:val="00636004"/>
    <w:rsid w:val="00636655"/>
    <w:rsid w:val="006368D2"/>
    <w:rsid w:val="0063692F"/>
    <w:rsid w:val="00636C03"/>
    <w:rsid w:val="00636CB5"/>
    <w:rsid w:val="006375C0"/>
    <w:rsid w:val="0063773B"/>
    <w:rsid w:val="006379F2"/>
    <w:rsid w:val="00637B0F"/>
    <w:rsid w:val="00637E1F"/>
    <w:rsid w:val="00637EF3"/>
    <w:rsid w:val="00637FE4"/>
    <w:rsid w:val="00640222"/>
    <w:rsid w:val="0064035B"/>
    <w:rsid w:val="0064046B"/>
    <w:rsid w:val="00640C8B"/>
    <w:rsid w:val="006412E7"/>
    <w:rsid w:val="00642079"/>
    <w:rsid w:val="00642405"/>
    <w:rsid w:val="0064245D"/>
    <w:rsid w:val="006425D8"/>
    <w:rsid w:val="00642670"/>
    <w:rsid w:val="0064289D"/>
    <w:rsid w:val="00642D35"/>
    <w:rsid w:val="00642DCA"/>
    <w:rsid w:val="00642F1D"/>
    <w:rsid w:val="00642FC3"/>
    <w:rsid w:val="0064300F"/>
    <w:rsid w:val="0064313B"/>
    <w:rsid w:val="0064323C"/>
    <w:rsid w:val="00643610"/>
    <w:rsid w:val="00643616"/>
    <w:rsid w:val="0064393C"/>
    <w:rsid w:val="00643D97"/>
    <w:rsid w:val="006443F9"/>
    <w:rsid w:val="0064467F"/>
    <w:rsid w:val="006446D3"/>
    <w:rsid w:val="00644A2C"/>
    <w:rsid w:val="00644B7A"/>
    <w:rsid w:val="00644C35"/>
    <w:rsid w:val="00644DDF"/>
    <w:rsid w:val="00644E03"/>
    <w:rsid w:val="00645375"/>
    <w:rsid w:val="006454A4"/>
    <w:rsid w:val="0064563E"/>
    <w:rsid w:val="00645D06"/>
    <w:rsid w:val="00645EF9"/>
    <w:rsid w:val="00645FB2"/>
    <w:rsid w:val="00646010"/>
    <w:rsid w:val="0064601D"/>
    <w:rsid w:val="00646261"/>
    <w:rsid w:val="006467A5"/>
    <w:rsid w:val="0064687A"/>
    <w:rsid w:val="00646A76"/>
    <w:rsid w:val="00646C63"/>
    <w:rsid w:val="00646DFC"/>
    <w:rsid w:val="00646EAB"/>
    <w:rsid w:val="00647227"/>
    <w:rsid w:val="0064725F"/>
    <w:rsid w:val="006473CD"/>
    <w:rsid w:val="00647435"/>
    <w:rsid w:val="0064760F"/>
    <w:rsid w:val="00647ADC"/>
    <w:rsid w:val="00647CEB"/>
    <w:rsid w:val="006504B6"/>
    <w:rsid w:val="006505F4"/>
    <w:rsid w:val="00650652"/>
    <w:rsid w:val="0065087B"/>
    <w:rsid w:val="006509B8"/>
    <w:rsid w:val="00650E24"/>
    <w:rsid w:val="00650EB7"/>
    <w:rsid w:val="006511D7"/>
    <w:rsid w:val="00651AD1"/>
    <w:rsid w:val="00651C87"/>
    <w:rsid w:val="00651E0C"/>
    <w:rsid w:val="00651EB6"/>
    <w:rsid w:val="00651F41"/>
    <w:rsid w:val="00652185"/>
    <w:rsid w:val="00652717"/>
    <w:rsid w:val="00652955"/>
    <w:rsid w:val="00652B59"/>
    <w:rsid w:val="00652D35"/>
    <w:rsid w:val="00653121"/>
    <w:rsid w:val="00653545"/>
    <w:rsid w:val="00653762"/>
    <w:rsid w:val="00653964"/>
    <w:rsid w:val="00653A5D"/>
    <w:rsid w:val="00653AC0"/>
    <w:rsid w:val="00653B85"/>
    <w:rsid w:val="00653DE0"/>
    <w:rsid w:val="00654006"/>
    <w:rsid w:val="006543FC"/>
    <w:rsid w:val="006546AB"/>
    <w:rsid w:val="00654AAE"/>
    <w:rsid w:val="00654B3B"/>
    <w:rsid w:val="00654BDC"/>
    <w:rsid w:val="00654C32"/>
    <w:rsid w:val="00654C7A"/>
    <w:rsid w:val="00654EFF"/>
    <w:rsid w:val="006557EB"/>
    <w:rsid w:val="00655EB9"/>
    <w:rsid w:val="006562FB"/>
    <w:rsid w:val="0065645C"/>
    <w:rsid w:val="0065670E"/>
    <w:rsid w:val="00656CED"/>
    <w:rsid w:val="006570BC"/>
    <w:rsid w:val="006574F0"/>
    <w:rsid w:val="00657530"/>
    <w:rsid w:val="006576EC"/>
    <w:rsid w:val="006577C2"/>
    <w:rsid w:val="006579AC"/>
    <w:rsid w:val="00657A77"/>
    <w:rsid w:val="00657A83"/>
    <w:rsid w:val="00657A9A"/>
    <w:rsid w:val="00657EC3"/>
    <w:rsid w:val="00657FDB"/>
    <w:rsid w:val="00660005"/>
    <w:rsid w:val="006600DE"/>
    <w:rsid w:val="00660212"/>
    <w:rsid w:val="006605D0"/>
    <w:rsid w:val="0066072B"/>
    <w:rsid w:val="0066087C"/>
    <w:rsid w:val="00660B8C"/>
    <w:rsid w:val="00660C99"/>
    <w:rsid w:val="006610A9"/>
    <w:rsid w:val="006612AD"/>
    <w:rsid w:val="006612ED"/>
    <w:rsid w:val="006615D8"/>
    <w:rsid w:val="00661704"/>
    <w:rsid w:val="0066181F"/>
    <w:rsid w:val="006625F2"/>
    <w:rsid w:val="0066276B"/>
    <w:rsid w:val="00662A2E"/>
    <w:rsid w:val="00663287"/>
    <w:rsid w:val="006633F1"/>
    <w:rsid w:val="006634C1"/>
    <w:rsid w:val="00663533"/>
    <w:rsid w:val="00663CCE"/>
    <w:rsid w:val="00663EF6"/>
    <w:rsid w:val="0066462D"/>
    <w:rsid w:val="0066497B"/>
    <w:rsid w:val="006649C0"/>
    <w:rsid w:val="00664BDC"/>
    <w:rsid w:val="006653CB"/>
    <w:rsid w:val="006657BB"/>
    <w:rsid w:val="00665888"/>
    <w:rsid w:val="00665A5F"/>
    <w:rsid w:val="00666330"/>
    <w:rsid w:val="0066684C"/>
    <w:rsid w:val="00666A9E"/>
    <w:rsid w:val="00666ADC"/>
    <w:rsid w:val="00666BB6"/>
    <w:rsid w:val="00667440"/>
    <w:rsid w:val="00667C63"/>
    <w:rsid w:val="00667CC0"/>
    <w:rsid w:val="00667DD7"/>
    <w:rsid w:val="00667EC9"/>
    <w:rsid w:val="00667F72"/>
    <w:rsid w:val="00670088"/>
    <w:rsid w:val="0067010C"/>
    <w:rsid w:val="006703DC"/>
    <w:rsid w:val="006706EB"/>
    <w:rsid w:val="00670C2A"/>
    <w:rsid w:val="00670D33"/>
    <w:rsid w:val="00670D49"/>
    <w:rsid w:val="00670F5E"/>
    <w:rsid w:val="006710A0"/>
    <w:rsid w:val="00671390"/>
    <w:rsid w:val="006719BB"/>
    <w:rsid w:val="00671E97"/>
    <w:rsid w:val="00671FC4"/>
    <w:rsid w:val="006721D1"/>
    <w:rsid w:val="00672616"/>
    <w:rsid w:val="00672627"/>
    <w:rsid w:val="006726AA"/>
    <w:rsid w:val="006729A9"/>
    <w:rsid w:val="0067315A"/>
    <w:rsid w:val="006732DC"/>
    <w:rsid w:val="0067360E"/>
    <w:rsid w:val="00673949"/>
    <w:rsid w:val="00673A12"/>
    <w:rsid w:val="00673A4B"/>
    <w:rsid w:val="00673D3A"/>
    <w:rsid w:val="00673FED"/>
    <w:rsid w:val="006746A0"/>
    <w:rsid w:val="00674910"/>
    <w:rsid w:val="006749AD"/>
    <w:rsid w:val="00674DF4"/>
    <w:rsid w:val="00675054"/>
    <w:rsid w:val="0067512C"/>
    <w:rsid w:val="00675BA3"/>
    <w:rsid w:val="00675C88"/>
    <w:rsid w:val="006761EF"/>
    <w:rsid w:val="00676350"/>
    <w:rsid w:val="00676373"/>
    <w:rsid w:val="006764CB"/>
    <w:rsid w:val="006764E2"/>
    <w:rsid w:val="006766E2"/>
    <w:rsid w:val="006767B0"/>
    <w:rsid w:val="006767D3"/>
    <w:rsid w:val="00676894"/>
    <w:rsid w:val="0067691E"/>
    <w:rsid w:val="00676D4F"/>
    <w:rsid w:val="00676DB3"/>
    <w:rsid w:val="00676DCF"/>
    <w:rsid w:val="00676E63"/>
    <w:rsid w:val="00676FF3"/>
    <w:rsid w:val="00677075"/>
    <w:rsid w:val="0067757E"/>
    <w:rsid w:val="006776FB"/>
    <w:rsid w:val="00677B6B"/>
    <w:rsid w:val="006801C3"/>
    <w:rsid w:val="0068024F"/>
    <w:rsid w:val="0068033F"/>
    <w:rsid w:val="00680D27"/>
    <w:rsid w:val="006811F3"/>
    <w:rsid w:val="00681670"/>
    <w:rsid w:val="0068187D"/>
    <w:rsid w:val="00681BC2"/>
    <w:rsid w:val="00681BCD"/>
    <w:rsid w:val="00681BFA"/>
    <w:rsid w:val="00681CCD"/>
    <w:rsid w:val="00681F0E"/>
    <w:rsid w:val="00681F5E"/>
    <w:rsid w:val="006820D0"/>
    <w:rsid w:val="006825BE"/>
    <w:rsid w:val="006825E4"/>
    <w:rsid w:val="006828A0"/>
    <w:rsid w:val="006828EB"/>
    <w:rsid w:val="0068311E"/>
    <w:rsid w:val="006833F8"/>
    <w:rsid w:val="006835A6"/>
    <w:rsid w:val="006835C4"/>
    <w:rsid w:val="00683887"/>
    <w:rsid w:val="006839F1"/>
    <w:rsid w:val="00683BC3"/>
    <w:rsid w:val="00683E05"/>
    <w:rsid w:val="00684103"/>
    <w:rsid w:val="00684AC6"/>
    <w:rsid w:val="00684C4A"/>
    <w:rsid w:val="00684C82"/>
    <w:rsid w:val="00684D03"/>
    <w:rsid w:val="00684F1B"/>
    <w:rsid w:val="00685082"/>
    <w:rsid w:val="00685166"/>
    <w:rsid w:val="00685182"/>
    <w:rsid w:val="006852B8"/>
    <w:rsid w:val="006855DC"/>
    <w:rsid w:val="006858D6"/>
    <w:rsid w:val="00685AFE"/>
    <w:rsid w:val="00685C42"/>
    <w:rsid w:val="00685D1B"/>
    <w:rsid w:val="00685ECB"/>
    <w:rsid w:val="00685F3D"/>
    <w:rsid w:val="00685F6C"/>
    <w:rsid w:val="00685FD8"/>
    <w:rsid w:val="00685FF7"/>
    <w:rsid w:val="0068627A"/>
    <w:rsid w:val="0068680F"/>
    <w:rsid w:val="00686DD4"/>
    <w:rsid w:val="0068721D"/>
    <w:rsid w:val="006872E7"/>
    <w:rsid w:val="0068734A"/>
    <w:rsid w:val="006878EB"/>
    <w:rsid w:val="00687A67"/>
    <w:rsid w:val="00687C24"/>
    <w:rsid w:val="00687C52"/>
    <w:rsid w:val="00687F2C"/>
    <w:rsid w:val="00687FE8"/>
    <w:rsid w:val="0069054F"/>
    <w:rsid w:val="00690561"/>
    <w:rsid w:val="0069091D"/>
    <w:rsid w:val="0069097A"/>
    <w:rsid w:val="00690BFE"/>
    <w:rsid w:val="00690C98"/>
    <w:rsid w:val="00690DDD"/>
    <w:rsid w:val="0069108C"/>
    <w:rsid w:val="0069121D"/>
    <w:rsid w:val="00691406"/>
    <w:rsid w:val="00691C27"/>
    <w:rsid w:val="006921CB"/>
    <w:rsid w:val="0069273A"/>
    <w:rsid w:val="00692774"/>
    <w:rsid w:val="00692DF4"/>
    <w:rsid w:val="00693035"/>
    <w:rsid w:val="00693413"/>
    <w:rsid w:val="00693717"/>
    <w:rsid w:val="00693B64"/>
    <w:rsid w:val="00693B89"/>
    <w:rsid w:val="00693BE3"/>
    <w:rsid w:val="00693D25"/>
    <w:rsid w:val="00693D99"/>
    <w:rsid w:val="00693EB7"/>
    <w:rsid w:val="00693F5A"/>
    <w:rsid w:val="006940D4"/>
    <w:rsid w:val="0069447C"/>
    <w:rsid w:val="0069450A"/>
    <w:rsid w:val="006945A5"/>
    <w:rsid w:val="006948F0"/>
    <w:rsid w:val="006948F9"/>
    <w:rsid w:val="0069494D"/>
    <w:rsid w:val="00694C6E"/>
    <w:rsid w:val="00694CC1"/>
    <w:rsid w:val="00694CEC"/>
    <w:rsid w:val="00694EF5"/>
    <w:rsid w:val="00694FA3"/>
    <w:rsid w:val="0069503A"/>
    <w:rsid w:val="0069535E"/>
    <w:rsid w:val="00695476"/>
    <w:rsid w:val="00695486"/>
    <w:rsid w:val="0069614E"/>
    <w:rsid w:val="00696452"/>
    <w:rsid w:val="00696596"/>
    <w:rsid w:val="006966F9"/>
    <w:rsid w:val="00696C4F"/>
    <w:rsid w:val="00696D94"/>
    <w:rsid w:val="0069753B"/>
    <w:rsid w:val="006979AD"/>
    <w:rsid w:val="00697AD1"/>
    <w:rsid w:val="00697BC3"/>
    <w:rsid w:val="00697CC2"/>
    <w:rsid w:val="006A0025"/>
    <w:rsid w:val="006A0531"/>
    <w:rsid w:val="006A0D32"/>
    <w:rsid w:val="006A0FDD"/>
    <w:rsid w:val="006A101E"/>
    <w:rsid w:val="006A12B7"/>
    <w:rsid w:val="006A1304"/>
    <w:rsid w:val="006A18F0"/>
    <w:rsid w:val="006A19F7"/>
    <w:rsid w:val="006A1D64"/>
    <w:rsid w:val="006A212D"/>
    <w:rsid w:val="006A2424"/>
    <w:rsid w:val="006A242D"/>
    <w:rsid w:val="006A24D4"/>
    <w:rsid w:val="006A2C07"/>
    <w:rsid w:val="006A2D4D"/>
    <w:rsid w:val="006A3132"/>
    <w:rsid w:val="006A315A"/>
    <w:rsid w:val="006A31C7"/>
    <w:rsid w:val="006A32BA"/>
    <w:rsid w:val="006A3317"/>
    <w:rsid w:val="006A3531"/>
    <w:rsid w:val="006A366E"/>
    <w:rsid w:val="006A45D6"/>
    <w:rsid w:val="006A4790"/>
    <w:rsid w:val="006A4B26"/>
    <w:rsid w:val="006A500A"/>
    <w:rsid w:val="006A51EE"/>
    <w:rsid w:val="006A535D"/>
    <w:rsid w:val="006A536C"/>
    <w:rsid w:val="006A5519"/>
    <w:rsid w:val="006A58F4"/>
    <w:rsid w:val="006A59AC"/>
    <w:rsid w:val="006A5CB9"/>
    <w:rsid w:val="006A5DB0"/>
    <w:rsid w:val="006A646D"/>
    <w:rsid w:val="006A6997"/>
    <w:rsid w:val="006A6BF9"/>
    <w:rsid w:val="006A7262"/>
    <w:rsid w:val="006A740A"/>
    <w:rsid w:val="006A74F0"/>
    <w:rsid w:val="006A7649"/>
    <w:rsid w:val="006A76E3"/>
    <w:rsid w:val="006A7912"/>
    <w:rsid w:val="006A7AF5"/>
    <w:rsid w:val="006A7BFB"/>
    <w:rsid w:val="006A7C28"/>
    <w:rsid w:val="006B0821"/>
    <w:rsid w:val="006B08B4"/>
    <w:rsid w:val="006B0B20"/>
    <w:rsid w:val="006B0DA1"/>
    <w:rsid w:val="006B0DF0"/>
    <w:rsid w:val="006B0FB2"/>
    <w:rsid w:val="006B1480"/>
    <w:rsid w:val="006B16E9"/>
    <w:rsid w:val="006B1F50"/>
    <w:rsid w:val="006B1F54"/>
    <w:rsid w:val="006B2207"/>
    <w:rsid w:val="006B30D0"/>
    <w:rsid w:val="006B3214"/>
    <w:rsid w:val="006B3259"/>
    <w:rsid w:val="006B3473"/>
    <w:rsid w:val="006B35F5"/>
    <w:rsid w:val="006B3AB4"/>
    <w:rsid w:val="006B3B9A"/>
    <w:rsid w:val="006B3BB0"/>
    <w:rsid w:val="006B3DA7"/>
    <w:rsid w:val="006B3F08"/>
    <w:rsid w:val="006B419F"/>
    <w:rsid w:val="006B477A"/>
    <w:rsid w:val="006B49FD"/>
    <w:rsid w:val="006B4E7E"/>
    <w:rsid w:val="006B51ED"/>
    <w:rsid w:val="006B51F6"/>
    <w:rsid w:val="006B5602"/>
    <w:rsid w:val="006B5AA5"/>
    <w:rsid w:val="006B5BD4"/>
    <w:rsid w:val="006B5E46"/>
    <w:rsid w:val="006B618A"/>
    <w:rsid w:val="006B6530"/>
    <w:rsid w:val="006B6558"/>
    <w:rsid w:val="006B6C2E"/>
    <w:rsid w:val="006B6F12"/>
    <w:rsid w:val="006B6F58"/>
    <w:rsid w:val="006B7486"/>
    <w:rsid w:val="006B782F"/>
    <w:rsid w:val="006B79AC"/>
    <w:rsid w:val="006B7A29"/>
    <w:rsid w:val="006B7E52"/>
    <w:rsid w:val="006C0084"/>
    <w:rsid w:val="006C05B1"/>
    <w:rsid w:val="006C05D4"/>
    <w:rsid w:val="006C077A"/>
    <w:rsid w:val="006C0B0D"/>
    <w:rsid w:val="006C1316"/>
    <w:rsid w:val="006C1427"/>
    <w:rsid w:val="006C1555"/>
    <w:rsid w:val="006C15EE"/>
    <w:rsid w:val="006C16D8"/>
    <w:rsid w:val="006C18ED"/>
    <w:rsid w:val="006C19C5"/>
    <w:rsid w:val="006C1C2B"/>
    <w:rsid w:val="006C1DC2"/>
    <w:rsid w:val="006C1DD4"/>
    <w:rsid w:val="006C2401"/>
    <w:rsid w:val="006C288F"/>
    <w:rsid w:val="006C2A2C"/>
    <w:rsid w:val="006C2A3A"/>
    <w:rsid w:val="006C2D92"/>
    <w:rsid w:val="006C2F48"/>
    <w:rsid w:val="006C3089"/>
    <w:rsid w:val="006C3151"/>
    <w:rsid w:val="006C37EC"/>
    <w:rsid w:val="006C387A"/>
    <w:rsid w:val="006C397D"/>
    <w:rsid w:val="006C3A57"/>
    <w:rsid w:val="006C3FE4"/>
    <w:rsid w:val="006C406F"/>
    <w:rsid w:val="006C414A"/>
    <w:rsid w:val="006C46C8"/>
    <w:rsid w:val="006C4794"/>
    <w:rsid w:val="006C4814"/>
    <w:rsid w:val="006C4965"/>
    <w:rsid w:val="006C56BD"/>
    <w:rsid w:val="006C5EA2"/>
    <w:rsid w:val="006C6579"/>
    <w:rsid w:val="006C6965"/>
    <w:rsid w:val="006C6985"/>
    <w:rsid w:val="006C6A61"/>
    <w:rsid w:val="006C6ADD"/>
    <w:rsid w:val="006C6B26"/>
    <w:rsid w:val="006C6BA8"/>
    <w:rsid w:val="006C6D4E"/>
    <w:rsid w:val="006C6DCB"/>
    <w:rsid w:val="006C6EA5"/>
    <w:rsid w:val="006C7A14"/>
    <w:rsid w:val="006C7B5F"/>
    <w:rsid w:val="006D02F3"/>
    <w:rsid w:val="006D05D9"/>
    <w:rsid w:val="006D087D"/>
    <w:rsid w:val="006D0B1F"/>
    <w:rsid w:val="006D0E15"/>
    <w:rsid w:val="006D162A"/>
    <w:rsid w:val="006D1A94"/>
    <w:rsid w:val="006D1BC6"/>
    <w:rsid w:val="006D1CF4"/>
    <w:rsid w:val="006D1DDB"/>
    <w:rsid w:val="006D1FBF"/>
    <w:rsid w:val="006D209B"/>
    <w:rsid w:val="006D25D5"/>
    <w:rsid w:val="006D2733"/>
    <w:rsid w:val="006D2B32"/>
    <w:rsid w:val="006D2EB8"/>
    <w:rsid w:val="006D307B"/>
    <w:rsid w:val="006D314F"/>
    <w:rsid w:val="006D3325"/>
    <w:rsid w:val="006D356A"/>
    <w:rsid w:val="006D3D39"/>
    <w:rsid w:val="006D42CA"/>
    <w:rsid w:val="006D435C"/>
    <w:rsid w:val="006D47EF"/>
    <w:rsid w:val="006D50B4"/>
    <w:rsid w:val="006D5E3D"/>
    <w:rsid w:val="006D6086"/>
    <w:rsid w:val="006D62DD"/>
    <w:rsid w:val="006D6344"/>
    <w:rsid w:val="006D66D8"/>
    <w:rsid w:val="006D6744"/>
    <w:rsid w:val="006D6B20"/>
    <w:rsid w:val="006D6B86"/>
    <w:rsid w:val="006D722C"/>
    <w:rsid w:val="006D7937"/>
    <w:rsid w:val="006D7A45"/>
    <w:rsid w:val="006D7F10"/>
    <w:rsid w:val="006D7FF7"/>
    <w:rsid w:val="006E0321"/>
    <w:rsid w:val="006E076D"/>
    <w:rsid w:val="006E08F8"/>
    <w:rsid w:val="006E0AAD"/>
    <w:rsid w:val="006E0CC3"/>
    <w:rsid w:val="006E0FAF"/>
    <w:rsid w:val="006E107D"/>
    <w:rsid w:val="006E10AD"/>
    <w:rsid w:val="006E1140"/>
    <w:rsid w:val="006E1187"/>
    <w:rsid w:val="006E16AE"/>
    <w:rsid w:val="006E1724"/>
    <w:rsid w:val="006E178D"/>
    <w:rsid w:val="006E1CFB"/>
    <w:rsid w:val="006E1F98"/>
    <w:rsid w:val="006E262C"/>
    <w:rsid w:val="006E2A9C"/>
    <w:rsid w:val="006E2D6A"/>
    <w:rsid w:val="006E2E2C"/>
    <w:rsid w:val="006E2F07"/>
    <w:rsid w:val="006E32D5"/>
    <w:rsid w:val="006E3363"/>
    <w:rsid w:val="006E374A"/>
    <w:rsid w:val="006E39D3"/>
    <w:rsid w:val="006E3A73"/>
    <w:rsid w:val="006E3DBB"/>
    <w:rsid w:val="006E3F1E"/>
    <w:rsid w:val="006E43E7"/>
    <w:rsid w:val="006E4940"/>
    <w:rsid w:val="006E49D0"/>
    <w:rsid w:val="006E4BF1"/>
    <w:rsid w:val="006E4EAF"/>
    <w:rsid w:val="006E5058"/>
    <w:rsid w:val="006E50CC"/>
    <w:rsid w:val="006E53D7"/>
    <w:rsid w:val="006E563D"/>
    <w:rsid w:val="006E5903"/>
    <w:rsid w:val="006E5E3C"/>
    <w:rsid w:val="006E5E7C"/>
    <w:rsid w:val="006E6942"/>
    <w:rsid w:val="006E6A35"/>
    <w:rsid w:val="006E6B03"/>
    <w:rsid w:val="006E6B69"/>
    <w:rsid w:val="006E6C40"/>
    <w:rsid w:val="006E6CFC"/>
    <w:rsid w:val="006E6D6B"/>
    <w:rsid w:val="006E6D90"/>
    <w:rsid w:val="006E7824"/>
    <w:rsid w:val="006E7977"/>
    <w:rsid w:val="006E7E14"/>
    <w:rsid w:val="006E7E53"/>
    <w:rsid w:val="006F02BF"/>
    <w:rsid w:val="006F065F"/>
    <w:rsid w:val="006F0AB4"/>
    <w:rsid w:val="006F0B86"/>
    <w:rsid w:val="006F0E85"/>
    <w:rsid w:val="006F1119"/>
    <w:rsid w:val="006F1306"/>
    <w:rsid w:val="006F13DA"/>
    <w:rsid w:val="006F1776"/>
    <w:rsid w:val="006F1790"/>
    <w:rsid w:val="006F19C1"/>
    <w:rsid w:val="006F1AE1"/>
    <w:rsid w:val="006F1C9F"/>
    <w:rsid w:val="006F1D45"/>
    <w:rsid w:val="006F1EC0"/>
    <w:rsid w:val="006F219C"/>
    <w:rsid w:val="006F2838"/>
    <w:rsid w:val="006F2961"/>
    <w:rsid w:val="006F2E69"/>
    <w:rsid w:val="006F2F05"/>
    <w:rsid w:val="006F3060"/>
    <w:rsid w:val="006F30A7"/>
    <w:rsid w:val="006F3422"/>
    <w:rsid w:val="006F34F0"/>
    <w:rsid w:val="006F366E"/>
    <w:rsid w:val="006F3985"/>
    <w:rsid w:val="006F3E6D"/>
    <w:rsid w:val="006F4057"/>
    <w:rsid w:val="006F44C5"/>
    <w:rsid w:val="006F4560"/>
    <w:rsid w:val="006F466E"/>
    <w:rsid w:val="006F46B4"/>
    <w:rsid w:val="006F4B5C"/>
    <w:rsid w:val="006F4C97"/>
    <w:rsid w:val="006F4CD9"/>
    <w:rsid w:val="006F4E7E"/>
    <w:rsid w:val="006F4EF6"/>
    <w:rsid w:val="006F5077"/>
    <w:rsid w:val="006F55B6"/>
    <w:rsid w:val="006F5927"/>
    <w:rsid w:val="006F5950"/>
    <w:rsid w:val="006F5A52"/>
    <w:rsid w:val="006F5D17"/>
    <w:rsid w:val="006F5EFC"/>
    <w:rsid w:val="006F6431"/>
    <w:rsid w:val="006F65BD"/>
    <w:rsid w:val="006F6633"/>
    <w:rsid w:val="006F67C8"/>
    <w:rsid w:val="006F6B64"/>
    <w:rsid w:val="006F6CE9"/>
    <w:rsid w:val="006F7134"/>
    <w:rsid w:val="006F717E"/>
    <w:rsid w:val="006F7196"/>
    <w:rsid w:val="006F7333"/>
    <w:rsid w:val="006F73DA"/>
    <w:rsid w:val="006F76BA"/>
    <w:rsid w:val="006F7A07"/>
    <w:rsid w:val="006F7C06"/>
    <w:rsid w:val="007003C2"/>
    <w:rsid w:val="007005A4"/>
    <w:rsid w:val="0070068D"/>
    <w:rsid w:val="00700AE6"/>
    <w:rsid w:val="00700FEA"/>
    <w:rsid w:val="00701368"/>
    <w:rsid w:val="0070177A"/>
    <w:rsid w:val="0070182C"/>
    <w:rsid w:val="007018FF"/>
    <w:rsid w:val="00701D2F"/>
    <w:rsid w:val="00701ECD"/>
    <w:rsid w:val="00702005"/>
    <w:rsid w:val="0070233B"/>
    <w:rsid w:val="007026FE"/>
    <w:rsid w:val="0070276E"/>
    <w:rsid w:val="007027BE"/>
    <w:rsid w:val="00702F0B"/>
    <w:rsid w:val="007037B0"/>
    <w:rsid w:val="00703B43"/>
    <w:rsid w:val="00703C1C"/>
    <w:rsid w:val="00703E56"/>
    <w:rsid w:val="007040CD"/>
    <w:rsid w:val="00704230"/>
    <w:rsid w:val="007043CF"/>
    <w:rsid w:val="00704720"/>
    <w:rsid w:val="0070477D"/>
    <w:rsid w:val="0070487A"/>
    <w:rsid w:val="007048D6"/>
    <w:rsid w:val="00705707"/>
    <w:rsid w:val="00705BDC"/>
    <w:rsid w:val="007068A7"/>
    <w:rsid w:val="00706959"/>
    <w:rsid w:val="00707209"/>
    <w:rsid w:val="007073CD"/>
    <w:rsid w:val="007075D3"/>
    <w:rsid w:val="00707949"/>
    <w:rsid w:val="00707B95"/>
    <w:rsid w:val="00707CA9"/>
    <w:rsid w:val="00707CC3"/>
    <w:rsid w:val="00707DDA"/>
    <w:rsid w:val="0071078B"/>
    <w:rsid w:val="00710BB9"/>
    <w:rsid w:val="00710EAC"/>
    <w:rsid w:val="0071126C"/>
    <w:rsid w:val="0071140A"/>
    <w:rsid w:val="0071160C"/>
    <w:rsid w:val="00711875"/>
    <w:rsid w:val="0071198E"/>
    <w:rsid w:val="007119FA"/>
    <w:rsid w:val="00711C79"/>
    <w:rsid w:val="0071268B"/>
    <w:rsid w:val="007128A5"/>
    <w:rsid w:val="00712DCA"/>
    <w:rsid w:val="00713087"/>
    <w:rsid w:val="0071367F"/>
    <w:rsid w:val="00713A06"/>
    <w:rsid w:val="00713D57"/>
    <w:rsid w:val="00713D75"/>
    <w:rsid w:val="0071400A"/>
    <w:rsid w:val="00714327"/>
    <w:rsid w:val="007145A4"/>
    <w:rsid w:val="00714A48"/>
    <w:rsid w:val="00715453"/>
    <w:rsid w:val="00715474"/>
    <w:rsid w:val="007156C6"/>
    <w:rsid w:val="0071571F"/>
    <w:rsid w:val="00715965"/>
    <w:rsid w:val="00715A79"/>
    <w:rsid w:val="00715B22"/>
    <w:rsid w:val="007162B0"/>
    <w:rsid w:val="007162FE"/>
    <w:rsid w:val="00716679"/>
    <w:rsid w:val="0071670A"/>
    <w:rsid w:val="007168EA"/>
    <w:rsid w:val="00716BD2"/>
    <w:rsid w:val="00716C57"/>
    <w:rsid w:val="00716C9E"/>
    <w:rsid w:val="00716DA7"/>
    <w:rsid w:val="00716DF9"/>
    <w:rsid w:val="00716E10"/>
    <w:rsid w:val="00716EFD"/>
    <w:rsid w:val="00716F0F"/>
    <w:rsid w:val="00717501"/>
    <w:rsid w:val="00717567"/>
    <w:rsid w:val="007175E8"/>
    <w:rsid w:val="00717D13"/>
    <w:rsid w:val="00717F47"/>
    <w:rsid w:val="007200E0"/>
    <w:rsid w:val="0072020E"/>
    <w:rsid w:val="0072025A"/>
    <w:rsid w:val="00720790"/>
    <w:rsid w:val="007208D7"/>
    <w:rsid w:val="00720919"/>
    <w:rsid w:val="00720C5F"/>
    <w:rsid w:val="00720C66"/>
    <w:rsid w:val="00720CA0"/>
    <w:rsid w:val="00721290"/>
    <w:rsid w:val="007216A5"/>
    <w:rsid w:val="007216F3"/>
    <w:rsid w:val="007217FF"/>
    <w:rsid w:val="00721809"/>
    <w:rsid w:val="00721A95"/>
    <w:rsid w:val="00721C49"/>
    <w:rsid w:val="00721D8B"/>
    <w:rsid w:val="00721F18"/>
    <w:rsid w:val="00721F32"/>
    <w:rsid w:val="00722673"/>
    <w:rsid w:val="00722DA5"/>
    <w:rsid w:val="00722E2E"/>
    <w:rsid w:val="00723091"/>
    <w:rsid w:val="0072324D"/>
    <w:rsid w:val="0072367B"/>
    <w:rsid w:val="007240AE"/>
    <w:rsid w:val="0072412A"/>
    <w:rsid w:val="0072420C"/>
    <w:rsid w:val="007243F2"/>
    <w:rsid w:val="007243F8"/>
    <w:rsid w:val="00724883"/>
    <w:rsid w:val="007248E8"/>
    <w:rsid w:val="00724B05"/>
    <w:rsid w:val="00724B28"/>
    <w:rsid w:val="00724B5A"/>
    <w:rsid w:val="00724E9F"/>
    <w:rsid w:val="00724F37"/>
    <w:rsid w:val="0072531F"/>
    <w:rsid w:val="007255F8"/>
    <w:rsid w:val="0072567D"/>
    <w:rsid w:val="00725B9C"/>
    <w:rsid w:val="00725E0D"/>
    <w:rsid w:val="00726276"/>
    <w:rsid w:val="007262F8"/>
    <w:rsid w:val="00726818"/>
    <w:rsid w:val="0072695C"/>
    <w:rsid w:val="00726B86"/>
    <w:rsid w:val="00726B9F"/>
    <w:rsid w:val="00726E5F"/>
    <w:rsid w:val="00727291"/>
    <w:rsid w:val="007274DB"/>
    <w:rsid w:val="0072788B"/>
    <w:rsid w:val="00727A68"/>
    <w:rsid w:val="007309EB"/>
    <w:rsid w:val="007311E2"/>
    <w:rsid w:val="0073126E"/>
    <w:rsid w:val="007319AB"/>
    <w:rsid w:val="00731A2C"/>
    <w:rsid w:val="00731A83"/>
    <w:rsid w:val="00731F65"/>
    <w:rsid w:val="0073213C"/>
    <w:rsid w:val="007321D6"/>
    <w:rsid w:val="0073226D"/>
    <w:rsid w:val="007322CD"/>
    <w:rsid w:val="0073232F"/>
    <w:rsid w:val="00732B42"/>
    <w:rsid w:val="00732BDA"/>
    <w:rsid w:val="00733108"/>
    <w:rsid w:val="00733881"/>
    <w:rsid w:val="00733DFC"/>
    <w:rsid w:val="0073405D"/>
    <w:rsid w:val="00734085"/>
    <w:rsid w:val="0073457B"/>
    <w:rsid w:val="00734766"/>
    <w:rsid w:val="00734794"/>
    <w:rsid w:val="00734822"/>
    <w:rsid w:val="0073487E"/>
    <w:rsid w:val="007348DB"/>
    <w:rsid w:val="00734905"/>
    <w:rsid w:val="00734FD6"/>
    <w:rsid w:val="007353E0"/>
    <w:rsid w:val="0073597C"/>
    <w:rsid w:val="007359C0"/>
    <w:rsid w:val="00735D01"/>
    <w:rsid w:val="00735FAA"/>
    <w:rsid w:val="007360AA"/>
    <w:rsid w:val="007361CD"/>
    <w:rsid w:val="0073624E"/>
    <w:rsid w:val="00736260"/>
    <w:rsid w:val="00736268"/>
    <w:rsid w:val="00736B6D"/>
    <w:rsid w:val="00736E67"/>
    <w:rsid w:val="0073713A"/>
    <w:rsid w:val="00737251"/>
    <w:rsid w:val="007374E7"/>
    <w:rsid w:val="0073755B"/>
    <w:rsid w:val="007375BF"/>
    <w:rsid w:val="007377F3"/>
    <w:rsid w:val="007379F6"/>
    <w:rsid w:val="00737C77"/>
    <w:rsid w:val="00737DB9"/>
    <w:rsid w:val="00737F6C"/>
    <w:rsid w:val="00737FF9"/>
    <w:rsid w:val="0074019F"/>
    <w:rsid w:val="00740438"/>
    <w:rsid w:val="00740490"/>
    <w:rsid w:val="007407ED"/>
    <w:rsid w:val="00740A48"/>
    <w:rsid w:val="007410C5"/>
    <w:rsid w:val="00741334"/>
    <w:rsid w:val="00741411"/>
    <w:rsid w:val="00741B7F"/>
    <w:rsid w:val="00741FB4"/>
    <w:rsid w:val="0074212E"/>
    <w:rsid w:val="007421E3"/>
    <w:rsid w:val="0074284C"/>
    <w:rsid w:val="00743029"/>
    <w:rsid w:val="00743191"/>
    <w:rsid w:val="0074349D"/>
    <w:rsid w:val="00743CC0"/>
    <w:rsid w:val="00743E0F"/>
    <w:rsid w:val="0074445E"/>
    <w:rsid w:val="007445BF"/>
    <w:rsid w:val="007448F2"/>
    <w:rsid w:val="007451B7"/>
    <w:rsid w:val="007452FF"/>
    <w:rsid w:val="00745610"/>
    <w:rsid w:val="00745AA7"/>
    <w:rsid w:val="00745D17"/>
    <w:rsid w:val="00745E4A"/>
    <w:rsid w:val="00745FAC"/>
    <w:rsid w:val="0074628A"/>
    <w:rsid w:val="00746617"/>
    <w:rsid w:val="00746659"/>
    <w:rsid w:val="007467DB"/>
    <w:rsid w:val="007468D8"/>
    <w:rsid w:val="00746A0A"/>
    <w:rsid w:val="00746D9C"/>
    <w:rsid w:val="00746EDF"/>
    <w:rsid w:val="0074709F"/>
    <w:rsid w:val="00747133"/>
    <w:rsid w:val="00747364"/>
    <w:rsid w:val="00747B97"/>
    <w:rsid w:val="00747E10"/>
    <w:rsid w:val="00747EFB"/>
    <w:rsid w:val="00747FE3"/>
    <w:rsid w:val="00750433"/>
    <w:rsid w:val="007504A2"/>
    <w:rsid w:val="007505B6"/>
    <w:rsid w:val="00750966"/>
    <w:rsid w:val="00750A07"/>
    <w:rsid w:val="00751124"/>
    <w:rsid w:val="00751245"/>
    <w:rsid w:val="00751438"/>
    <w:rsid w:val="007517A3"/>
    <w:rsid w:val="007519F7"/>
    <w:rsid w:val="00751A12"/>
    <w:rsid w:val="00751D32"/>
    <w:rsid w:val="00751E31"/>
    <w:rsid w:val="00752B3F"/>
    <w:rsid w:val="00752BF3"/>
    <w:rsid w:val="00752D43"/>
    <w:rsid w:val="00752DD0"/>
    <w:rsid w:val="00753523"/>
    <w:rsid w:val="007538E7"/>
    <w:rsid w:val="00753A49"/>
    <w:rsid w:val="00753C22"/>
    <w:rsid w:val="00753C9B"/>
    <w:rsid w:val="00753E10"/>
    <w:rsid w:val="00754131"/>
    <w:rsid w:val="00754174"/>
    <w:rsid w:val="0075419E"/>
    <w:rsid w:val="00754566"/>
    <w:rsid w:val="00754DB2"/>
    <w:rsid w:val="007554BF"/>
    <w:rsid w:val="00755884"/>
    <w:rsid w:val="0075595D"/>
    <w:rsid w:val="00755BE5"/>
    <w:rsid w:val="00755CDD"/>
    <w:rsid w:val="007560F3"/>
    <w:rsid w:val="0075668A"/>
    <w:rsid w:val="007567EA"/>
    <w:rsid w:val="00756B3F"/>
    <w:rsid w:val="007574C4"/>
    <w:rsid w:val="00757867"/>
    <w:rsid w:val="007578FF"/>
    <w:rsid w:val="0075798A"/>
    <w:rsid w:val="00757E48"/>
    <w:rsid w:val="00757F57"/>
    <w:rsid w:val="00760050"/>
    <w:rsid w:val="00760235"/>
    <w:rsid w:val="00760343"/>
    <w:rsid w:val="007603AF"/>
    <w:rsid w:val="00760428"/>
    <w:rsid w:val="0076044D"/>
    <w:rsid w:val="007609A5"/>
    <w:rsid w:val="0076195D"/>
    <w:rsid w:val="00761C45"/>
    <w:rsid w:val="00761CD6"/>
    <w:rsid w:val="00761D5C"/>
    <w:rsid w:val="00761E9E"/>
    <w:rsid w:val="00762210"/>
    <w:rsid w:val="0076247E"/>
    <w:rsid w:val="00762519"/>
    <w:rsid w:val="007625B4"/>
    <w:rsid w:val="007625F7"/>
    <w:rsid w:val="007626C8"/>
    <w:rsid w:val="007628FF"/>
    <w:rsid w:val="00762918"/>
    <w:rsid w:val="00762B3A"/>
    <w:rsid w:val="00762D3E"/>
    <w:rsid w:val="00762E13"/>
    <w:rsid w:val="007630F6"/>
    <w:rsid w:val="007634CE"/>
    <w:rsid w:val="0076354C"/>
    <w:rsid w:val="00763642"/>
    <w:rsid w:val="00763B31"/>
    <w:rsid w:val="0076462A"/>
    <w:rsid w:val="007646BA"/>
    <w:rsid w:val="00764735"/>
    <w:rsid w:val="00764DAF"/>
    <w:rsid w:val="00765286"/>
    <w:rsid w:val="00765651"/>
    <w:rsid w:val="00765760"/>
    <w:rsid w:val="00765812"/>
    <w:rsid w:val="00765C45"/>
    <w:rsid w:val="00765E70"/>
    <w:rsid w:val="00766405"/>
    <w:rsid w:val="007667CA"/>
    <w:rsid w:val="00766AB4"/>
    <w:rsid w:val="00766B4C"/>
    <w:rsid w:val="00766F24"/>
    <w:rsid w:val="007671C7"/>
    <w:rsid w:val="00767925"/>
    <w:rsid w:val="0077001D"/>
    <w:rsid w:val="00770085"/>
    <w:rsid w:val="00770125"/>
    <w:rsid w:val="007701E7"/>
    <w:rsid w:val="007703B9"/>
    <w:rsid w:val="007703BA"/>
    <w:rsid w:val="00770678"/>
    <w:rsid w:val="00770780"/>
    <w:rsid w:val="007707D1"/>
    <w:rsid w:val="00770805"/>
    <w:rsid w:val="00770D86"/>
    <w:rsid w:val="00770E09"/>
    <w:rsid w:val="0077139E"/>
    <w:rsid w:val="007714BE"/>
    <w:rsid w:val="007715F7"/>
    <w:rsid w:val="007717F6"/>
    <w:rsid w:val="007718A0"/>
    <w:rsid w:val="00771B88"/>
    <w:rsid w:val="00772124"/>
    <w:rsid w:val="00772233"/>
    <w:rsid w:val="00772260"/>
    <w:rsid w:val="00772373"/>
    <w:rsid w:val="00772680"/>
    <w:rsid w:val="00772729"/>
    <w:rsid w:val="007727B2"/>
    <w:rsid w:val="00772E32"/>
    <w:rsid w:val="00772FB1"/>
    <w:rsid w:val="00773029"/>
    <w:rsid w:val="00773476"/>
    <w:rsid w:val="007734CC"/>
    <w:rsid w:val="00773F39"/>
    <w:rsid w:val="00774325"/>
    <w:rsid w:val="007744C3"/>
    <w:rsid w:val="007744F6"/>
    <w:rsid w:val="007745DF"/>
    <w:rsid w:val="00774811"/>
    <w:rsid w:val="00774B39"/>
    <w:rsid w:val="0077521D"/>
    <w:rsid w:val="00775319"/>
    <w:rsid w:val="007758F0"/>
    <w:rsid w:val="00775C4F"/>
    <w:rsid w:val="00775DFF"/>
    <w:rsid w:val="00775E17"/>
    <w:rsid w:val="00775E7A"/>
    <w:rsid w:val="00775EBE"/>
    <w:rsid w:val="00776346"/>
    <w:rsid w:val="007764FD"/>
    <w:rsid w:val="0077651F"/>
    <w:rsid w:val="00776708"/>
    <w:rsid w:val="00776862"/>
    <w:rsid w:val="00776C22"/>
    <w:rsid w:val="00777050"/>
    <w:rsid w:val="00777542"/>
    <w:rsid w:val="007777AD"/>
    <w:rsid w:val="00777EF9"/>
    <w:rsid w:val="00777F2C"/>
    <w:rsid w:val="007802F2"/>
    <w:rsid w:val="007804E9"/>
    <w:rsid w:val="007808B1"/>
    <w:rsid w:val="00780987"/>
    <w:rsid w:val="00780A8D"/>
    <w:rsid w:val="00780AAC"/>
    <w:rsid w:val="00780EB7"/>
    <w:rsid w:val="0078104B"/>
    <w:rsid w:val="00781809"/>
    <w:rsid w:val="0078275F"/>
    <w:rsid w:val="00782AF5"/>
    <w:rsid w:val="00783417"/>
    <w:rsid w:val="00783AAD"/>
    <w:rsid w:val="00783C08"/>
    <w:rsid w:val="007842CC"/>
    <w:rsid w:val="007842FE"/>
    <w:rsid w:val="007843A4"/>
    <w:rsid w:val="0078462D"/>
    <w:rsid w:val="007846E6"/>
    <w:rsid w:val="00784828"/>
    <w:rsid w:val="00784905"/>
    <w:rsid w:val="00784950"/>
    <w:rsid w:val="00784B97"/>
    <w:rsid w:val="00784BFB"/>
    <w:rsid w:val="00785605"/>
    <w:rsid w:val="00785AC6"/>
    <w:rsid w:val="00785C42"/>
    <w:rsid w:val="00785E48"/>
    <w:rsid w:val="00785F2B"/>
    <w:rsid w:val="007861D9"/>
    <w:rsid w:val="007866F1"/>
    <w:rsid w:val="00786A0C"/>
    <w:rsid w:val="00786F2E"/>
    <w:rsid w:val="00786FA8"/>
    <w:rsid w:val="00787220"/>
    <w:rsid w:val="007877B3"/>
    <w:rsid w:val="0078793E"/>
    <w:rsid w:val="00787F90"/>
    <w:rsid w:val="00790059"/>
    <w:rsid w:val="00790447"/>
    <w:rsid w:val="0079045F"/>
    <w:rsid w:val="00790A5D"/>
    <w:rsid w:val="00790DB1"/>
    <w:rsid w:val="00790E08"/>
    <w:rsid w:val="00791096"/>
    <w:rsid w:val="00791269"/>
    <w:rsid w:val="0079148E"/>
    <w:rsid w:val="00791B97"/>
    <w:rsid w:val="00791BCD"/>
    <w:rsid w:val="00791DF5"/>
    <w:rsid w:val="007923C8"/>
    <w:rsid w:val="007924F0"/>
    <w:rsid w:val="00792669"/>
    <w:rsid w:val="00792670"/>
    <w:rsid w:val="007926F2"/>
    <w:rsid w:val="00792754"/>
    <w:rsid w:val="00792937"/>
    <w:rsid w:val="00792A2F"/>
    <w:rsid w:val="00792A5F"/>
    <w:rsid w:val="00792B6D"/>
    <w:rsid w:val="00792CE9"/>
    <w:rsid w:val="0079312B"/>
    <w:rsid w:val="0079395A"/>
    <w:rsid w:val="00793A4D"/>
    <w:rsid w:val="00793AD9"/>
    <w:rsid w:val="00793EA7"/>
    <w:rsid w:val="00794810"/>
    <w:rsid w:val="0079482C"/>
    <w:rsid w:val="00794AA5"/>
    <w:rsid w:val="00794DE2"/>
    <w:rsid w:val="007951BD"/>
    <w:rsid w:val="00795BD3"/>
    <w:rsid w:val="007961D5"/>
    <w:rsid w:val="0079629C"/>
    <w:rsid w:val="00796334"/>
    <w:rsid w:val="007966A8"/>
    <w:rsid w:val="007966B0"/>
    <w:rsid w:val="007966CB"/>
    <w:rsid w:val="00796ADB"/>
    <w:rsid w:val="00796AE5"/>
    <w:rsid w:val="00796D2F"/>
    <w:rsid w:val="00796D30"/>
    <w:rsid w:val="00796D72"/>
    <w:rsid w:val="007971DA"/>
    <w:rsid w:val="00797A3C"/>
    <w:rsid w:val="00797BD2"/>
    <w:rsid w:val="00797CD7"/>
    <w:rsid w:val="00797F69"/>
    <w:rsid w:val="007A0110"/>
    <w:rsid w:val="007A07CF"/>
    <w:rsid w:val="007A09AF"/>
    <w:rsid w:val="007A0B67"/>
    <w:rsid w:val="007A0DED"/>
    <w:rsid w:val="007A0E24"/>
    <w:rsid w:val="007A0F5D"/>
    <w:rsid w:val="007A1152"/>
    <w:rsid w:val="007A1254"/>
    <w:rsid w:val="007A1394"/>
    <w:rsid w:val="007A1820"/>
    <w:rsid w:val="007A1CE5"/>
    <w:rsid w:val="007A1D49"/>
    <w:rsid w:val="007A1E55"/>
    <w:rsid w:val="007A1F76"/>
    <w:rsid w:val="007A23EE"/>
    <w:rsid w:val="007A26B7"/>
    <w:rsid w:val="007A2B19"/>
    <w:rsid w:val="007A2C37"/>
    <w:rsid w:val="007A2F37"/>
    <w:rsid w:val="007A3812"/>
    <w:rsid w:val="007A3883"/>
    <w:rsid w:val="007A4160"/>
    <w:rsid w:val="007A418B"/>
    <w:rsid w:val="007A4732"/>
    <w:rsid w:val="007A4A72"/>
    <w:rsid w:val="007A51F6"/>
    <w:rsid w:val="007A5446"/>
    <w:rsid w:val="007A5C04"/>
    <w:rsid w:val="007A5C1B"/>
    <w:rsid w:val="007A5E3E"/>
    <w:rsid w:val="007A665D"/>
    <w:rsid w:val="007A67AD"/>
    <w:rsid w:val="007A6A16"/>
    <w:rsid w:val="007A6DD7"/>
    <w:rsid w:val="007A6F61"/>
    <w:rsid w:val="007A721E"/>
    <w:rsid w:val="007A7278"/>
    <w:rsid w:val="007A748A"/>
    <w:rsid w:val="007A75EB"/>
    <w:rsid w:val="007A76E2"/>
    <w:rsid w:val="007A770D"/>
    <w:rsid w:val="007A7E89"/>
    <w:rsid w:val="007B00B7"/>
    <w:rsid w:val="007B026E"/>
    <w:rsid w:val="007B0349"/>
    <w:rsid w:val="007B05BB"/>
    <w:rsid w:val="007B05D3"/>
    <w:rsid w:val="007B08F2"/>
    <w:rsid w:val="007B0DA2"/>
    <w:rsid w:val="007B103E"/>
    <w:rsid w:val="007B13A0"/>
    <w:rsid w:val="007B15C9"/>
    <w:rsid w:val="007B16BB"/>
    <w:rsid w:val="007B1881"/>
    <w:rsid w:val="007B1C31"/>
    <w:rsid w:val="007B2005"/>
    <w:rsid w:val="007B2122"/>
    <w:rsid w:val="007B21D6"/>
    <w:rsid w:val="007B29D1"/>
    <w:rsid w:val="007B2BA7"/>
    <w:rsid w:val="007B2EC8"/>
    <w:rsid w:val="007B2EE1"/>
    <w:rsid w:val="007B3715"/>
    <w:rsid w:val="007B3B52"/>
    <w:rsid w:val="007B3C8E"/>
    <w:rsid w:val="007B4162"/>
    <w:rsid w:val="007B428C"/>
    <w:rsid w:val="007B493B"/>
    <w:rsid w:val="007B4CB5"/>
    <w:rsid w:val="007B5475"/>
    <w:rsid w:val="007B56EF"/>
    <w:rsid w:val="007B5714"/>
    <w:rsid w:val="007B5A63"/>
    <w:rsid w:val="007B5BED"/>
    <w:rsid w:val="007B5CFC"/>
    <w:rsid w:val="007B5E03"/>
    <w:rsid w:val="007B680C"/>
    <w:rsid w:val="007B6837"/>
    <w:rsid w:val="007B7136"/>
    <w:rsid w:val="007B76A5"/>
    <w:rsid w:val="007B77A2"/>
    <w:rsid w:val="007B77AD"/>
    <w:rsid w:val="007C012B"/>
    <w:rsid w:val="007C021E"/>
    <w:rsid w:val="007C0A18"/>
    <w:rsid w:val="007C0AF9"/>
    <w:rsid w:val="007C0D2A"/>
    <w:rsid w:val="007C0E29"/>
    <w:rsid w:val="007C0EF2"/>
    <w:rsid w:val="007C0FF5"/>
    <w:rsid w:val="007C13EA"/>
    <w:rsid w:val="007C141E"/>
    <w:rsid w:val="007C1513"/>
    <w:rsid w:val="007C1521"/>
    <w:rsid w:val="007C1899"/>
    <w:rsid w:val="007C1D51"/>
    <w:rsid w:val="007C1D7B"/>
    <w:rsid w:val="007C2148"/>
    <w:rsid w:val="007C23AD"/>
    <w:rsid w:val="007C2A7B"/>
    <w:rsid w:val="007C2AF6"/>
    <w:rsid w:val="007C3212"/>
    <w:rsid w:val="007C324D"/>
    <w:rsid w:val="007C34A4"/>
    <w:rsid w:val="007C35E2"/>
    <w:rsid w:val="007C3CE0"/>
    <w:rsid w:val="007C428C"/>
    <w:rsid w:val="007C43E1"/>
    <w:rsid w:val="007C4442"/>
    <w:rsid w:val="007C4703"/>
    <w:rsid w:val="007C47B1"/>
    <w:rsid w:val="007C4A12"/>
    <w:rsid w:val="007C4C7C"/>
    <w:rsid w:val="007C4D94"/>
    <w:rsid w:val="007C523F"/>
    <w:rsid w:val="007C5287"/>
    <w:rsid w:val="007C591D"/>
    <w:rsid w:val="007C5C36"/>
    <w:rsid w:val="007C5D41"/>
    <w:rsid w:val="007C5D81"/>
    <w:rsid w:val="007C6678"/>
    <w:rsid w:val="007C670B"/>
    <w:rsid w:val="007C68AF"/>
    <w:rsid w:val="007C6E7C"/>
    <w:rsid w:val="007C7234"/>
    <w:rsid w:val="007C77B6"/>
    <w:rsid w:val="007C7962"/>
    <w:rsid w:val="007C7F63"/>
    <w:rsid w:val="007D0314"/>
    <w:rsid w:val="007D0519"/>
    <w:rsid w:val="007D07D7"/>
    <w:rsid w:val="007D0932"/>
    <w:rsid w:val="007D0990"/>
    <w:rsid w:val="007D0A5E"/>
    <w:rsid w:val="007D0E2D"/>
    <w:rsid w:val="007D15B1"/>
    <w:rsid w:val="007D2255"/>
    <w:rsid w:val="007D25FD"/>
    <w:rsid w:val="007D26CA"/>
    <w:rsid w:val="007D2767"/>
    <w:rsid w:val="007D27DE"/>
    <w:rsid w:val="007D27E7"/>
    <w:rsid w:val="007D2B5F"/>
    <w:rsid w:val="007D2D1A"/>
    <w:rsid w:val="007D2F67"/>
    <w:rsid w:val="007D304B"/>
    <w:rsid w:val="007D30BB"/>
    <w:rsid w:val="007D319F"/>
    <w:rsid w:val="007D33AA"/>
    <w:rsid w:val="007D37B3"/>
    <w:rsid w:val="007D39AA"/>
    <w:rsid w:val="007D4717"/>
    <w:rsid w:val="007D4800"/>
    <w:rsid w:val="007D4AB4"/>
    <w:rsid w:val="007D4BF9"/>
    <w:rsid w:val="007D4CEF"/>
    <w:rsid w:val="007D4D26"/>
    <w:rsid w:val="007D4E47"/>
    <w:rsid w:val="007D5BDF"/>
    <w:rsid w:val="007D61EC"/>
    <w:rsid w:val="007D6A97"/>
    <w:rsid w:val="007D6CEC"/>
    <w:rsid w:val="007D6D57"/>
    <w:rsid w:val="007D6F91"/>
    <w:rsid w:val="007D6F9F"/>
    <w:rsid w:val="007D70BD"/>
    <w:rsid w:val="007D70EC"/>
    <w:rsid w:val="007D70F9"/>
    <w:rsid w:val="007D7217"/>
    <w:rsid w:val="007D7489"/>
    <w:rsid w:val="007D785B"/>
    <w:rsid w:val="007D7910"/>
    <w:rsid w:val="007D7C4E"/>
    <w:rsid w:val="007D7CBA"/>
    <w:rsid w:val="007D7D71"/>
    <w:rsid w:val="007D7DD4"/>
    <w:rsid w:val="007E0231"/>
    <w:rsid w:val="007E0348"/>
    <w:rsid w:val="007E063A"/>
    <w:rsid w:val="007E08E6"/>
    <w:rsid w:val="007E0BA3"/>
    <w:rsid w:val="007E0BB1"/>
    <w:rsid w:val="007E1136"/>
    <w:rsid w:val="007E1247"/>
    <w:rsid w:val="007E186C"/>
    <w:rsid w:val="007E187A"/>
    <w:rsid w:val="007E191B"/>
    <w:rsid w:val="007E1B25"/>
    <w:rsid w:val="007E1C64"/>
    <w:rsid w:val="007E1F57"/>
    <w:rsid w:val="007E2312"/>
    <w:rsid w:val="007E24A9"/>
    <w:rsid w:val="007E24B4"/>
    <w:rsid w:val="007E282C"/>
    <w:rsid w:val="007E2B99"/>
    <w:rsid w:val="007E2E12"/>
    <w:rsid w:val="007E379F"/>
    <w:rsid w:val="007E38CC"/>
    <w:rsid w:val="007E3CB8"/>
    <w:rsid w:val="007E3DB9"/>
    <w:rsid w:val="007E3E20"/>
    <w:rsid w:val="007E3E41"/>
    <w:rsid w:val="007E3F66"/>
    <w:rsid w:val="007E3F72"/>
    <w:rsid w:val="007E464B"/>
    <w:rsid w:val="007E481A"/>
    <w:rsid w:val="007E4AC3"/>
    <w:rsid w:val="007E5062"/>
    <w:rsid w:val="007E5400"/>
    <w:rsid w:val="007E56FC"/>
    <w:rsid w:val="007E5D11"/>
    <w:rsid w:val="007E5D80"/>
    <w:rsid w:val="007E6677"/>
    <w:rsid w:val="007E66DE"/>
    <w:rsid w:val="007E6714"/>
    <w:rsid w:val="007E6E0C"/>
    <w:rsid w:val="007E739E"/>
    <w:rsid w:val="007E7607"/>
    <w:rsid w:val="007E7BE3"/>
    <w:rsid w:val="007E7BFB"/>
    <w:rsid w:val="007E7CD5"/>
    <w:rsid w:val="007F009E"/>
    <w:rsid w:val="007F03D4"/>
    <w:rsid w:val="007F09B2"/>
    <w:rsid w:val="007F0BF6"/>
    <w:rsid w:val="007F10E3"/>
    <w:rsid w:val="007F137F"/>
    <w:rsid w:val="007F1E9A"/>
    <w:rsid w:val="007F2237"/>
    <w:rsid w:val="007F2805"/>
    <w:rsid w:val="007F28F9"/>
    <w:rsid w:val="007F2A4C"/>
    <w:rsid w:val="007F2CC8"/>
    <w:rsid w:val="007F2F0B"/>
    <w:rsid w:val="007F32AE"/>
    <w:rsid w:val="007F3526"/>
    <w:rsid w:val="007F3600"/>
    <w:rsid w:val="007F3798"/>
    <w:rsid w:val="007F3D43"/>
    <w:rsid w:val="007F3E8B"/>
    <w:rsid w:val="007F4148"/>
    <w:rsid w:val="007F4191"/>
    <w:rsid w:val="007F4847"/>
    <w:rsid w:val="007F4B86"/>
    <w:rsid w:val="007F4BDF"/>
    <w:rsid w:val="007F4F64"/>
    <w:rsid w:val="007F4FA2"/>
    <w:rsid w:val="007F4FBB"/>
    <w:rsid w:val="007F513C"/>
    <w:rsid w:val="007F53FF"/>
    <w:rsid w:val="007F571F"/>
    <w:rsid w:val="007F5980"/>
    <w:rsid w:val="007F5F50"/>
    <w:rsid w:val="007F605D"/>
    <w:rsid w:val="007F66BF"/>
    <w:rsid w:val="007F68FD"/>
    <w:rsid w:val="007F6A9D"/>
    <w:rsid w:val="007F6AB0"/>
    <w:rsid w:val="007F6B32"/>
    <w:rsid w:val="007F6F76"/>
    <w:rsid w:val="007F7008"/>
    <w:rsid w:val="007F7183"/>
    <w:rsid w:val="007F7331"/>
    <w:rsid w:val="007F7399"/>
    <w:rsid w:val="007F74D3"/>
    <w:rsid w:val="007F75CE"/>
    <w:rsid w:val="007F75E4"/>
    <w:rsid w:val="007F769E"/>
    <w:rsid w:val="007F76AB"/>
    <w:rsid w:val="00800253"/>
    <w:rsid w:val="00800267"/>
    <w:rsid w:val="008003D3"/>
    <w:rsid w:val="0080048B"/>
    <w:rsid w:val="008004D2"/>
    <w:rsid w:val="00800730"/>
    <w:rsid w:val="00800AB6"/>
    <w:rsid w:val="00800F9F"/>
    <w:rsid w:val="008011B1"/>
    <w:rsid w:val="008012A5"/>
    <w:rsid w:val="008012EB"/>
    <w:rsid w:val="0080145E"/>
    <w:rsid w:val="008019A2"/>
    <w:rsid w:val="00801EFA"/>
    <w:rsid w:val="008023E0"/>
    <w:rsid w:val="00802426"/>
    <w:rsid w:val="00802471"/>
    <w:rsid w:val="0080248E"/>
    <w:rsid w:val="00802696"/>
    <w:rsid w:val="008027F5"/>
    <w:rsid w:val="00802DD2"/>
    <w:rsid w:val="008030D0"/>
    <w:rsid w:val="008034F7"/>
    <w:rsid w:val="008035F9"/>
    <w:rsid w:val="008037DD"/>
    <w:rsid w:val="00803B80"/>
    <w:rsid w:val="00803BA8"/>
    <w:rsid w:val="00803CBA"/>
    <w:rsid w:val="00803EAC"/>
    <w:rsid w:val="008040FD"/>
    <w:rsid w:val="00804160"/>
    <w:rsid w:val="008043BE"/>
    <w:rsid w:val="00804404"/>
    <w:rsid w:val="00804912"/>
    <w:rsid w:val="00804943"/>
    <w:rsid w:val="00804B03"/>
    <w:rsid w:val="00804D97"/>
    <w:rsid w:val="00804DFB"/>
    <w:rsid w:val="0080588B"/>
    <w:rsid w:val="00805A5C"/>
    <w:rsid w:val="00805CFD"/>
    <w:rsid w:val="00805D74"/>
    <w:rsid w:val="00805DC4"/>
    <w:rsid w:val="00806141"/>
    <w:rsid w:val="0080638D"/>
    <w:rsid w:val="008064A9"/>
    <w:rsid w:val="00806AE2"/>
    <w:rsid w:val="00806CC7"/>
    <w:rsid w:val="008071FA"/>
    <w:rsid w:val="00807532"/>
    <w:rsid w:val="00807553"/>
    <w:rsid w:val="0080758B"/>
    <w:rsid w:val="008075AD"/>
    <w:rsid w:val="0080767A"/>
    <w:rsid w:val="008076C0"/>
    <w:rsid w:val="00807A3F"/>
    <w:rsid w:val="00807AAB"/>
    <w:rsid w:val="00807C31"/>
    <w:rsid w:val="00807C40"/>
    <w:rsid w:val="00807D0F"/>
    <w:rsid w:val="00810125"/>
    <w:rsid w:val="0081025B"/>
    <w:rsid w:val="008102B3"/>
    <w:rsid w:val="00810326"/>
    <w:rsid w:val="00810340"/>
    <w:rsid w:val="008104BF"/>
    <w:rsid w:val="00810656"/>
    <w:rsid w:val="008106F2"/>
    <w:rsid w:val="008108E7"/>
    <w:rsid w:val="00810D85"/>
    <w:rsid w:val="008111B2"/>
    <w:rsid w:val="0081125F"/>
    <w:rsid w:val="008112B1"/>
    <w:rsid w:val="008114A1"/>
    <w:rsid w:val="008116B7"/>
    <w:rsid w:val="00811700"/>
    <w:rsid w:val="00811767"/>
    <w:rsid w:val="008118B5"/>
    <w:rsid w:val="00811AF1"/>
    <w:rsid w:val="00811BC6"/>
    <w:rsid w:val="00811E7A"/>
    <w:rsid w:val="00812006"/>
    <w:rsid w:val="0081224D"/>
    <w:rsid w:val="00812515"/>
    <w:rsid w:val="008125A5"/>
    <w:rsid w:val="00812695"/>
    <w:rsid w:val="008129D0"/>
    <w:rsid w:val="00812B41"/>
    <w:rsid w:val="00812BE2"/>
    <w:rsid w:val="00812C04"/>
    <w:rsid w:val="00812F34"/>
    <w:rsid w:val="00812FF0"/>
    <w:rsid w:val="008131EB"/>
    <w:rsid w:val="008133D0"/>
    <w:rsid w:val="008133E3"/>
    <w:rsid w:val="00813A84"/>
    <w:rsid w:val="00813B2E"/>
    <w:rsid w:val="00813EEF"/>
    <w:rsid w:val="008140D6"/>
    <w:rsid w:val="0081421A"/>
    <w:rsid w:val="00814307"/>
    <w:rsid w:val="0081471B"/>
    <w:rsid w:val="00814B18"/>
    <w:rsid w:val="00814D18"/>
    <w:rsid w:val="0081533C"/>
    <w:rsid w:val="008153A7"/>
    <w:rsid w:val="00815559"/>
    <w:rsid w:val="008157B4"/>
    <w:rsid w:val="008158FA"/>
    <w:rsid w:val="00815929"/>
    <w:rsid w:val="00815AF5"/>
    <w:rsid w:val="00816076"/>
    <w:rsid w:val="00816496"/>
    <w:rsid w:val="00816685"/>
    <w:rsid w:val="00816853"/>
    <w:rsid w:val="0081687D"/>
    <w:rsid w:val="008168F5"/>
    <w:rsid w:val="00816A9D"/>
    <w:rsid w:val="00816D5F"/>
    <w:rsid w:val="0081724E"/>
    <w:rsid w:val="008172AD"/>
    <w:rsid w:val="008174BE"/>
    <w:rsid w:val="00817E64"/>
    <w:rsid w:val="00817FC6"/>
    <w:rsid w:val="008201CE"/>
    <w:rsid w:val="00820757"/>
    <w:rsid w:val="008209CF"/>
    <w:rsid w:val="00820A4A"/>
    <w:rsid w:val="00820EAB"/>
    <w:rsid w:val="00820EE7"/>
    <w:rsid w:val="00821076"/>
    <w:rsid w:val="0082157C"/>
    <w:rsid w:val="008217A1"/>
    <w:rsid w:val="00821AC1"/>
    <w:rsid w:val="008220A3"/>
    <w:rsid w:val="008221D4"/>
    <w:rsid w:val="00822322"/>
    <w:rsid w:val="008223C1"/>
    <w:rsid w:val="0082269E"/>
    <w:rsid w:val="008229AD"/>
    <w:rsid w:val="00822B55"/>
    <w:rsid w:val="00822DEE"/>
    <w:rsid w:val="00823162"/>
    <w:rsid w:val="00823B2F"/>
    <w:rsid w:val="00823F9F"/>
    <w:rsid w:val="00823FA5"/>
    <w:rsid w:val="00824096"/>
    <w:rsid w:val="00824182"/>
    <w:rsid w:val="00824510"/>
    <w:rsid w:val="00824F4A"/>
    <w:rsid w:val="00824FB3"/>
    <w:rsid w:val="00825889"/>
    <w:rsid w:val="00825BED"/>
    <w:rsid w:val="00825DBB"/>
    <w:rsid w:val="00825DCD"/>
    <w:rsid w:val="00825F65"/>
    <w:rsid w:val="008263E8"/>
    <w:rsid w:val="00826961"/>
    <w:rsid w:val="00826C76"/>
    <w:rsid w:val="00826D90"/>
    <w:rsid w:val="00827360"/>
    <w:rsid w:val="00827798"/>
    <w:rsid w:val="00827913"/>
    <w:rsid w:val="00827C30"/>
    <w:rsid w:val="00827DB2"/>
    <w:rsid w:val="00830808"/>
    <w:rsid w:val="00830CA7"/>
    <w:rsid w:val="00830DC2"/>
    <w:rsid w:val="008310B9"/>
    <w:rsid w:val="0083171C"/>
    <w:rsid w:val="00831918"/>
    <w:rsid w:val="008319BE"/>
    <w:rsid w:val="00831A40"/>
    <w:rsid w:val="00831F1A"/>
    <w:rsid w:val="00831FBC"/>
    <w:rsid w:val="0083205F"/>
    <w:rsid w:val="0083246D"/>
    <w:rsid w:val="00832474"/>
    <w:rsid w:val="00832879"/>
    <w:rsid w:val="0083288B"/>
    <w:rsid w:val="0083298F"/>
    <w:rsid w:val="00832A38"/>
    <w:rsid w:val="00832BE9"/>
    <w:rsid w:val="00833024"/>
    <w:rsid w:val="008331AB"/>
    <w:rsid w:val="008334AC"/>
    <w:rsid w:val="0083351E"/>
    <w:rsid w:val="00833538"/>
    <w:rsid w:val="008337BF"/>
    <w:rsid w:val="00833800"/>
    <w:rsid w:val="00833B8C"/>
    <w:rsid w:val="00833DE0"/>
    <w:rsid w:val="00833E32"/>
    <w:rsid w:val="00833F8B"/>
    <w:rsid w:val="008342F6"/>
    <w:rsid w:val="0083496A"/>
    <w:rsid w:val="00834A2E"/>
    <w:rsid w:val="00834C86"/>
    <w:rsid w:val="00834D71"/>
    <w:rsid w:val="00834FE8"/>
    <w:rsid w:val="008352ED"/>
    <w:rsid w:val="008354E9"/>
    <w:rsid w:val="008358FC"/>
    <w:rsid w:val="008359E4"/>
    <w:rsid w:val="00835EC1"/>
    <w:rsid w:val="00836195"/>
    <w:rsid w:val="00836746"/>
    <w:rsid w:val="008367DB"/>
    <w:rsid w:val="0083684F"/>
    <w:rsid w:val="00836866"/>
    <w:rsid w:val="00836C0A"/>
    <w:rsid w:val="00836D71"/>
    <w:rsid w:val="00836DD7"/>
    <w:rsid w:val="00836DDA"/>
    <w:rsid w:val="00836F09"/>
    <w:rsid w:val="00836F42"/>
    <w:rsid w:val="00837036"/>
    <w:rsid w:val="00837212"/>
    <w:rsid w:val="0083722C"/>
    <w:rsid w:val="008376C2"/>
    <w:rsid w:val="00837CB7"/>
    <w:rsid w:val="00837F27"/>
    <w:rsid w:val="00840118"/>
    <w:rsid w:val="00840565"/>
    <w:rsid w:val="00840F4C"/>
    <w:rsid w:val="00840FC1"/>
    <w:rsid w:val="00841070"/>
    <w:rsid w:val="008414DD"/>
    <w:rsid w:val="008415FE"/>
    <w:rsid w:val="008418C9"/>
    <w:rsid w:val="00841B45"/>
    <w:rsid w:val="00841CDA"/>
    <w:rsid w:val="00841CEE"/>
    <w:rsid w:val="00841EED"/>
    <w:rsid w:val="008420F4"/>
    <w:rsid w:val="0084232B"/>
    <w:rsid w:val="0084238C"/>
    <w:rsid w:val="00842D2A"/>
    <w:rsid w:val="00842D64"/>
    <w:rsid w:val="00842E4D"/>
    <w:rsid w:val="00842EDF"/>
    <w:rsid w:val="00842F0F"/>
    <w:rsid w:val="008430F5"/>
    <w:rsid w:val="0084365D"/>
    <w:rsid w:val="008436A7"/>
    <w:rsid w:val="00843725"/>
    <w:rsid w:val="00843853"/>
    <w:rsid w:val="00843909"/>
    <w:rsid w:val="00843A52"/>
    <w:rsid w:val="00843D30"/>
    <w:rsid w:val="00843F21"/>
    <w:rsid w:val="008442B9"/>
    <w:rsid w:val="008443FD"/>
    <w:rsid w:val="008448EF"/>
    <w:rsid w:val="00844A23"/>
    <w:rsid w:val="00844A29"/>
    <w:rsid w:val="00844B51"/>
    <w:rsid w:val="00844D7B"/>
    <w:rsid w:val="00844F7D"/>
    <w:rsid w:val="00845089"/>
    <w:rsid w:val="008451CD"/>
    <w:rsid w:val="008457C5"/>
    <w:rsid w:val="0084590B"/>
    <w:rsid w:val="00845E82"/>
    <w:rsid w:val="00845F27"/>
    <w:rsid w:val="00846106"/>
    <w:rsid w:val="008461B6"/>
    <w:rsid w:val="008462EF"/>
    <w:rsid w:val="00846454"/>
    <w:rsid w:val="008465FB"/>
    <w:rsid w:val="0084680B"/>
    <w:rsid w:val="00846890"/>
    <w:rsid w:val="00846ADE"/>
    <w:rsid w:val="00846BF5"/>
    <w:rsid w:val="00846DED"/>
    <w:rsid w:val="0084780D"/>
    <w:rsid w:val="00847DFC"/>
    <w:rsid w:val="00847F9F"/>
    <w:rsid w:val="008500E5"/>
    <w:rsid w:val="00850E8F"/>
    <w:rsid w:val="008514CB"/>
    <w:rsid w:val="00851816"/>
    <w:rsid w:val="00851D47"/>
    <w:rsid w:val="008523B9"/>
    <w:rsid w:val="008527A3"/>
    <w:rsid w:val="008527DE"/>
    <w:rsid w:val="008529CB"/>
    <w:rsid w:val="00852A1E"/>
    <w:rsid w:val="00852B58"/>
    <w:rsid w:val="00853121"/>
    <w:rsid w:val="00853578"/>
    <w:rsid w:val="0085374D"/>
    <w:rsid w:val="008537CF"/>
    <w:rsid w:val="00853A91"/>
    <w:rsid w:val="00853B4C"/>
    <w:rsid w:val="00853CC0"/>
    <w:rsid w:val="00853D25"/>
    <w:rsid w:val="00853F6F"/>
    <w:rsid w:val="0085438F"/>
    <w:rsid w:val="00854574"/>
    <w:rsid w:val="00854687"/>
    <w:rsid w:val="008550E7"/>
    <w:rsid w:val="008551DD"/>
    <w:rsid w:val="0085522E"/>
    <w:rsid w:val="008553DC"/>
    <w:rsid w:val="00855633"/>
    <w:rsid w:val="00855984"/>
    <w:rsid w:val="00855E17"/>
    <w:rsid w:val="00855EC3"/>
    <w:rsid w:val="0085607C"/>
    <w:rsid w:val="0085636E"/>
    <w:rsid w:val="00856593"/>
    <w:rsid w:val="008565CE"/>
    <w:rsid w:val="0085676E"/>
    <w:rsid w:val="00856BD5"/>
    <w:rsid w:val="00856D16"/>
    <w:rsid w:val="00856D39"/>
    <w:rsid w:val="00856D84"/>
    <w:rsid w:val="00856E52"/>
    <w:rsid w:val="008570BC"/>
    <w:rsid w:val="008572E2"/>
    <w:rsid w:val="008573B0"/>
    <w:rsid w:val="00857809"/>
    <w:rsid w:val="00857B78"/>
    <w:rsid w:val="00857D7D"/>
    <w:rsid w:val="008600E0"/>
    <w:rsid w:val="0086027B"/>
    <w:rsid w:val="00860330"/>
    <w:rsid w:val="00860523"/>
    <w:rsid w:val="0086056F"/>
    <w:rsid w:val="00860905"/>
    <w:rsid w:val="00860A57"/>
    <w:rsid w:val="00860CEE"/>
    <w:rsid w:val="00860EF5"/>
    <w:rsid w:val="00862217"/>
    <w:rsid w:val="008622DC"/>
    <w:rsid w:val="008623F3"/>
    <w:rsid w:val="00862786"/>
    <w:rsid w:val="0086296B"/>
    <w:rsid w:val="00862F49"/>
    <w:rsid w:val="00862FE9"/>
    <w:rsid w:val="00863076"/>
    <w:rsid w:val="00863200"/>
    <w:rsid w:val="00863377"/>
    <w:rsid w:val="0086357A"/>
    <w:rsid w:val="00863A69"/>
    <w:rsid w:val="00864027"/>
    <w:rsid w:val="008640F4"/>
    <w:rsid w:val="0086422B"/>
    <w:rsid w:val="00864FFC"/>
    <w:rsid w:val="0086545A"/>
    <w:rsid w:val="0086555D"/>
    <w:rsid w:val="008656CD"/>
    <w:rsid w:val="008659AF"/>
    <w:rsid w:val="00865A38"/>
    <w:rsid w:val="00865C97"/>
    <w:rsid w:val="00866814"/>
    <w:rsid w:val="008668FA"/>
    <w:rsid w:val="00866A19"/>
    <w:rsid w:val="00866B4A"/>
    <w:rsid w:val="00866B9B"/>
    <w:rsid w:val="00867063"/>
    <w:rsid w:val="008671DF"/>
    <w:rsid w:val="008674EA"/>
    <w:rsid w:val="008677DC"/>
    <w:rsid w:val="008679E5"/>
    <w:rsid w:val="00867B67"/>
    <w:rsid w:val="00867CAB"/>
    <w:rsid w:val="008700F5"/>
    <w:rsid w:val="0087031C"/>
    <w:rsid w:val="0087061F"/>
    <w:rsid w:val="008706A5"/>
    <w:rsid w:val="0087089C"/>
    <w:rsid w:val="00870935"/>
    <w:rsid w:val="00870E0B"/>
    <w:rsid w:val="00870EDD"/>
    <w:rsid w:val="00871042"/>
    <w:rsid w:val="008710FB"/>
    <w:rsid w:val="008712AA"/>
    <w:rsid w:val="0087192F"/>
    <w:rsid w:val="008719E8"/>
    <w:rsid w:val="00871E45"/>
    <w:rsid w:val="00871E89"/>
    <w:rsid w:val="00871F8C"/>
    <w:rsid w:val="0087213D"/>
    <w:rsid w:val="008734A3"/>
    <w:rsid w:val="00873CC6"/>
    <w:rsid w:val="00874557"/>
    <w:rsid w:val="008745DB"/>
    <w:rsid w:val="0087468D"/>
    <w:rsid w:val="008746F5"/>
    <w:rsid w:val="00874924"/>
    <w:rsid w:val="00874AC7"/>
    <w:rsid w:val="0087500D"/>
    <w:rsid w:val="008750A3"/>
    <w:rsid w:val="00875703"/>
    <w:rsid w:val="00875858"/>
    <w:rsid w:val="00875BA9"/>
    <w:rsid w:val="00875CC1"/>
    <w:rsid w:val="00876432"/>
    <w:rsid w:val="008764F6"/>
    <w:rsid w:val="008766CE"/>
    <w:rsid w:val="00876B60"/>
    <w:rsid w:val="00876F44"/>
    <w:rsid w:val="00877181"/>
    <w:rsid w:val="0087739B"/>
    <w:rsid w:val="008773BB"/>
    <w:rsid w:val="008775D0"/>
    <w:rsid w:val="00877611"/>
    <w:rsid w:val="00877A8E"/>
    <w:rsid w:val="00880129"/>
    <w:rsid w:val="00880398"/>
    <w:rsid w:val="0088078E"/>
    <w:rsid w:val="00880A5D"/>
    <w:rsid w:val="00880B03"/>
    <w:rsid w:val="00880C12"/>
    <w:rsid w:val="008811A7"/>
    <w:rsid w:val="0088150A"/>
    <w:rsid w:val="0088166E"/>
    <w:rsid w:val="00881799"/>
    <w:rsid w:val="008818BA"/>
    <w:rsid w:val="00881A96"/>
    <w:rsid w:val="00881D89"/>
    <w:rsid w:val="00881FD4"/>
    <w:rsid w:val="00882152"/>
    <w:rsid w:val="0088223F"/>
    <w:rsid w:val="0088266B"/>
    <w:rsid w:val="00882959"/>
    <w:rsid w:val="008829D5"/>
    <w:rsid w:val="00882E0F"/>
    <w:rsid w:val="00882E4D"/>
    <w:rsid w:val="00882F3D"/>
    <w:rsid w:val="00882FEF"/>
    <w:rsid w:val="008836F3"/>
    <w:rsid w:val="00883995"/>
    <w:rsid w:val="00883CDA"/>
    <w:rsid w:val="0088400C"/>
    <w:rsid w:val="008840AF"/>
    <w:rsid w:val="00884429"/>
    <w:rsid w:val="008845C6"/>
    <w:rsid w:val="0088468D"/>
    <w:rsid w:val="008847DE"/>
    <w:rsid w:val="00884957"/>
    <w:rsid w:val="00884F11"/>
    <w:rsid w:val="00884F81"/>
    <w:rsid w:val="0088514C"/>
    <w:rsid w:val="008854E9"/>
    <w:rsid w:val="00885839"/>
    <w:rsid w:val="00885989"/>
    <w:rsid w:val="00885D00"/>
    <w:rsid w:val="00885DF5"/>
    <w:rsid w:val="008868E6"/>
    <w:rsid w:val="008869BE"/>
    <w:rsid w:val="00886B99"/>
    <w:rsid w:val="00887063"/>
    <w:rsid w:val="00887297"/>
    <w:rsid w:val="0088757D"/>
    <w:rsid w:val="00887AAE"/>
    <w:rsid w:val="00887BA7"/>
    <w:rsid w:val="00890001"/>
    <w:rsid w:val="008904A8"/>
    <w:rsid w:val="008906AD"/>
    <w:rsid w:val="008907FE"/>
    <w:rsid w:val="00890A82"/>
    <w:rsid w:val="00890D0B"/>
    <w:rsid w:val="00890DB8"/>
    <w:rsid w:val="00891B86"/>
    <w:rsid w:val="00892479"/>
    <w:rsid w:val="00892496"/>
    <w:rsid w:val="008924CD"/>
    <w:rsid w:val="008927DF"/>
    <w:rsid w:val="00892CE5"/>
    <w:rsid w:val="00893180"/>
    <w:rsid w:val="0089362D"/>
    <w:rsid w:val="00893A47"/>
    <w:rsid w:val="00893D37"/>
    <w:rsid w:val="00893E04"/>
    <w:rsid w:val="00893EDB"/>
    <w:rsid w:val="008940B2"/>
    <w:rsid w:val="008945C1"/>
    <w:rsid w:val="00894C1E"/>
    <w:rsid w:val="00894DBD"/>
    <w:rsid w:val="00895030"/>
    <w:rsid w:val="008950D3"/>
    <w:rsid w:val="008951B8"/>
    <w:rsid w:val="00895F62"/>
    <w:rsid w:val="00895F8F"/>
    <w:rsid w:val="0089619C"/>
    <w:rsid w:val="00896451"/>
    <w:rsid w:val="008965DF"/>
    <w:rsid w:val="0089689F"/>
    <w:rsid w:val="008968A7"/>
    <w:rsid w:val="00896A22"/>
    <w:rsid w:val="00896FD6"/>
    <w:rsid w:val="00897503"/>
    <w:rsid w:val="008978DB"/>
    <w:rsid w:val="00897BAB"/>
    <w:rsid w:val="008A016F"/>
    <w:rsid w:val="008A0361"/>
    <w:rsid w:val="008A0862"/>
    <w:rsid w:val="008A0BA5"/>
    <w:rsid w:val="008A0D46"/>
    <w:rsid w:val="008A0F65"/>
    <w:rsid w:val="008A1108"/>
    <w:rsid w:val="008A119A"/>
    <w:rsid w:val="008A15CC"/>
    <w:rsid w:val="008A15ED"/>
    <w:rsid w:val="008A17EA"/>
    <w:rsid w:val="008A19D9"/>
    <w:rsid w:val="008A1A3E"/>
    <w:rsid w:val="008A1E13"/>
    <w:rsid w:val="008A2302"/>
    <w:rsid w:val="008A2783"/>
    <w:rsid w:val="008A2AA8"/>
    <w:rsid w:val="008A2BBD"/>
    <w:rsid w:val="008A2D6D"/>
    <w:rsid w:val="008A2F60"/>
    <w:rsid w:val="008A3247"/>
    <w:rsid w:val="008A35E2"/>
    <w:rsid w:val="008A36AB"/>
    <w:rsid w:val="008A3765"/>
    <w:rsid w:val="008A3A98"/>
    <w:rsid w:val="008A3BE8"/>
    <w:rsid w:val="008A3CD8"/>
    <w:rsid w:val="008A4571"/>
    <w:rsid w:val="008A4A17"/>
    <w:rsid w:val="008A4BD8"/>
    <w:rsid w:val="008A4DCD"/>
    <w:rsid w:val="008A52D5"/>
    <w:rsid w:val="008A5587"/>
    <w:rsid w:val="008A5875"/>
    <w:rsid w:val="008A5C8A"/>
    <w:rsid w:val="008A5E17"/>
    <w:rsid w:val="008A6038"/>
    <w:rsid w:val="008A6345"/>
    <w:rsid w:val="008A63AF"/>
    <w:rsid w:val="008A6DF0"/>
    <w:rsid w:val="008A7240"/>
    <w:rsid w:val="008A7611"/>
    <w:rsid w:val="008B0132"/>
    <w:rsid w:val="008B0273"/>
    <w:rsid w:val="008B03DF"/>
    <w:rsid w:val="008B0688"/>
    <w:rsid w:val="008B0B47"/>
    <w:rsid w:val="008B0B5E"/>
    <w:rsid w:val="008B1431"/>
    <w:rsid w:val="008B14C5"/>
    <w:rsid w:val="008B1D52"/>
    <w:rsid w:val="008B1DEC"/>
    <w:rsid w:val="008B2034"/>
    <w:rsid w:val="008B2199"/>
    <w:rsid w:val="008B21CD"/>
    <w:rsid w:val="008B25DF"/>
    <w:rsid w:val="008B2870"/>
    <w:rsid w:val="008B2D2C"/>
    <w:rsid w:val="008B3122"/>
    <w:rsid w:val="008B317A"/>
    <w:rsid w:val="008B3356"/>
    <w:rsid w:val="008B347E"/>
    <w:rsid w:val="008B352B"/>
    <w:rsid w:val="008B3D78"/>
    <w:rsid w:val="008B3DBB"/>
    <w:rsid w:val="008B3E53"/>
    <w:rsid w:val="008B423F"/>
    <w:rsid w:val="008B42B8"/>
    <w:rsid w:val="008B48EC"/>
    <w:rsid w:val="008B4922"/>
    <w:rsid w:val="008B494F"/>
    <w:rsid w:val="008B4CC3"/>
    <w:rsid w:val="008B4E24"/>
    <w:rsid w:val="008B55A8"/>
    <w:rsid w:val="008B5D9D"/>
    <w:rsid w:val="008B5E88"/>
    <w:rsid w:val="008B60BF"/>
    <w:rsid w:val="008B6926"/>
    <w:rsid w:val="008B69FF"/>
    <w:rsid w:val="008B6A8D"/>
    <w:rsid w:val="008B6CBC"/>
    <w:rsid w:val="008B6F1B"/>
    <w:rsid w:val="008B6FAC"/>
    <w:rsid w:val="008B76D8"/>
    <w:rsid w:val="008B781C"/>
    <w:rsid w:val="008B7C0A"/>
    <w:rsid w:val="008B7C69"/>
    <w:rsid w:val="008B7E3A"/>
    <w:rsid w:val="008C02E1"/>
    <w:rsid w:val="008C0325"/>
    <w:rsid w:val="008C0491"/>
    <w:rsid w:val="008C09E9"/>
    <w:rsid w:val="008C0B50"/>
    <w:rsid w:val="008C0CF6"/>
    <w:rsid w:val="008C1008"/>
    <w:rsid w:val="008C103F"/>
    <w:rsid w:val="008C13D9"/>
    <w:rsid w:val="008C142C"/>
    <w:rsid w:val="008C1608"/>
    <w:rsid w:val="008C16A4"/>
    <w:rsid w:val="008C198A"/>
    <w:rsid w:val="008C1B08"/>
    <w:rsid w:val="008C1EBB"/>
    <w:rsid w:val="008C2507"/>
    <w:rsid w:val="008C2574"/>
    <w:rsid w:val="008C28CA"/>
    <w:rsid w:val="008C2A2F"/>
    <w:rsid w:val="008C2E74"/>
    <w:rsid w:val="008C2ECD"/>
    <w:rsid w:val="008C3576"/>
    <w:rsid w:val="008C3941"/>
    <w:rsid w:val="008C39A2"/>
    <w:rsid w:val="008C3A57"/>
    <w:rsid w:val="008C3C16"/>
    <w:rsid w:val="008C4036"/>
    <w:rsid w:val="008C411B"/>
    <w:rsid w:val="008C42E5"/>
    <w:rsid w:val="008C42F4"/>
    <w:rsid w:val="008C4428"/>
    <w:rsid w:val="008C442E"/>
    <w:rsid w:val="008C44D9"/>
    <w:rsid w:val="008C4706"/>
    <w:rsid w:val="008C4731"/>
    <w:rsid w:val="008C4CBE"/>
    <w:rsid w:val="008C4E82"/>
    <w:rsid w:val="008C5340"/>
    <w:rsid w:val="008C56E9"/>
    <w:rsid w:val="008C599E"/>
    <w:rsid w:val="008C5B94"/>
    <w:rsid w:val="008C5BA1"/>
    <w:rsid w:val="008C5D9B"/>
    <w:rsid w:val="008C60C2"/>
    <w:rsid w:val="008C61C8"/>
    <w:rsid w:val="008C61CF"/>
    <w:rsid w:val="008C6392"/>
    <w:rsid w:val="008C7063"/>
    <w:rsid w:val="008C77ED"/>
    <w:rsid w:val="008D01EE"/>
    <w:rsid w:val="008D09B5"/>
    <w:rsid w:val="008D0B1F"/>
    <w:rsid w:val="008D0CA7"/>
    <w:rsid w:val="008D146A"/>
    <w:rsid w:val="008D1471"/>
    <w:rsid w:val="008D156F"/>
    <w:rsid w:val="008D15D6"/>
    <w:rsid w:val="008D1670"/>
    <w:rsid w:val="008D1859"/>
    <w:rsid w:val="008D19B4"/>
    <w:rsid w:val="008D1B5D"/>
    <w:rsid w:val="008D1FFE"/>
    <w:rsid w:val="008D2002"/>
    <w:rsid w:val="008D21CD"/>
    <w:rsid w:val="008D248F"/>
    <w:rsid w:val="008D27FC"/>
    <w:rsid w:val="008D2808"/>
    <w:rsid w:val="008D28E8"/>
    <w:rsid w:val="008D29B9"/>
    <w:rsid w:val="008D2FA7"/>
    <w:rsid w:val="008D2FED"/>
    <w:rsid w:val="008D33E3"/>
    <w:rsid w:val="008D33F8"/>
    <w:rsid w:val="008D3697"/>
    <w:rsid w:val="008D36E3"/>
    <w:rsid w:val="008D3BA8"/>
    <w:rsid w:val="008D3DE3"/>
    <w:rsid w:val="008D3EE8"/>
    <w:rsid w:val="008D413C"/>
    <w:rsid w:val="008D4929"/>
    <w:rsid w:val="008D4AF0"/>
    <w:rsid w:val="008D4E3A"/>
    <w:rsid w:val="008D4FB0"/>
    <w:rsid w:val="008D5172"/>
    <w:rsid w:val="008D5957"/>
    <w:rsid w:val="008D642B"/>
    <w:rsid w:val="008D66F1"/>
    <w:rsid w:val="008D6B8B"/>
    <w:rsid w:val="008D6DA6"/>
    <w:rsid w:val="008D72BE"/>
    <w:rsid w:val="008D77E6"/>
    <w:rsid w:val="008D7AB0"/>
    <w:rsid w:val="008D7C21"/>
    <w:rsid w:val="008D7CA6"/>
    <w:rsid w:val="008D7DE3"/>
    <w:rsid w:val="008E0053"/>
    <w:rsid w:val="008E0297"/>
    <w:rsid w:val="008E0544"/>
    <w:rsid w:val="008E0640"/>
    <w:rsid w:val="008E06FE"/>
    <w:rsid w:val="008E078C"/>
    <w:rsid w:val="008E0918"/>
    <w:rsid w:val="008E0B2F"/>
    <w:rsid w:val="008E0B33"/>
    <w:rsid w:val="008E11D4"/>
    <w:rsid w:val="008E13B8"/>
    <w:rsid w:val="008E13BE"/>
    <w:rsid w:val="008E156F"/>
    <w:rsid w:val="008E162F"/>
    <w:rsid w:val="008E16EE"/>
    <w:rsid w:val="008E1701"/>
    <w:rsid w:val="008E182C"/>
    <w:rsid w:val="008E19C2"/>
    <w:rsid w:val="008E1C6E"/>
    <w:rsid w:val="008E216E"/>
    <w:rsid w:val="008E24F9"/>
    <w:rsid w:val="008E2ED7"/>
    <w:rsid w:val="008E3054"/>
    <w:rsid w:val="008E3652"/>
    <w:rsid w:val="008E3B55"/>
    <w:rsid w:val="008E3D9D"/>
    <w:rsid w:val="008E4316"/>
    <w:rsid w:val="008E435B"/>
    <w:rsid w:val="008E47F9"/>
    <w:rsid w:val="008E48A4"/>
    <w:rsid w:val="008E4B41"/>
    <w:rsid w:val="008E4DD9"/>
    <w:rsid w:val="008E534F"/>
    <w:rsid w:val="008E5410"/>
    <w:rsid w:val="008E559E"/>
    <w:rsid w:val="008E563C"/>
    <w:rsid w:val="008E57AF"/>
    <w:rsid w:val="008E5833"/>
    <w:rsid w:val="008E5A65"/>
    <w:rsid w:val="008E5C5B"/>
    <w:rsid w:val="008E5C8A"/>
    <w:rsid w:val="008E5D93"/>
    <w:rsid w:val="008E67A8"/>
    <w:rsid w:val="008E695B"/>
    <w:rsid w:val="008E6994"/>
    <w:rsid w:val="008E69CD"/>
    <w:rsid w:val="008E6B0D"/>
    <w:rsid w:val="008E6B9A"/>
    <w:rsid w:val="008E6CAE"/>
    <w:rsid w:val="008E6CD2"/>
    <w:rsid w:val="008E6FEE"/>
    <w:rsid w:val="008E739E"/>
    <w:rsid w:val="008E75B8"/>
    <w:rsid w:val="008E772B"/>
    <w:rsid w:val="008E7B9F"/>
    <w:rsid w:val="008F0035"/>
    <w:rsid w:val="008F0168"/>
    <w:rsid w:val="008F02E3"/>
    <w:rsid w:val="008F0392"/>
    <w:rsid w:val="008F04F1"/>
    <w:rsid w:val="008F1048"/>
    <w:rsid w:val="008F123E"/>
    <w:rsid w:val="008F1B26"/>
    <w:rsid w:val="008F1B27"/>
    <w:rsid w:val="008F1D4F"/>
    <w:rsid w:val="008F22B5"/>
    <w:rsid w:val="008F25F7"/>
    <w:rsid w:val="008F28AC"/>
    <w:rsid w:val="008F28D3"/>
    <w:rsid w:val="008F3195"/>
    <w:rsid w:val="008F32DC"/>
    <w:rsid w:val="008F3384"/>
    <w:rsid w:val="008F360F"/>
    <w:rsid w:val="008F3ACC"/>
    <w:rsid w:val="008F3ADA"/>
    <w:rsid w:val="008F3B2F"/>
    <w:rsid w:val="008F3B7F"/>
    <w:rsid w:val="008F3D61"/>
    <w:rsid w:val="008F4A89"/>
    <w:rsid w:val="008F4A96"/>
    <w:rsid w:val="008F4B66"/>
    <w:rsid w:val="008F4D90"/>
    <w:rsid w:val="008F4EFE"/>
    <w:rsid w:val="008F5349"/>
    <w:rsid w:val="008F56DB"/>
    <w:rsid w:val="008F57E7"/>
    <w:rsid w:val="008F5DC6"/>
    <w:rsid w:val="008F6036"/>
    <w:rsid w:val="008F610C"/>
    <w:rsid w:val="008F6250"/>
    <w:rsid w:val="008F63D6"/>
    <w:rsid w:val="008F63F0"/>
    <w:rsid w:val="008F66F1"/>
    <w:rsid w:val="008F67B9"/>
    <w:rsid w:val="008F6C6C"/>
    <w:rsid w:val="008F7149"/>
    <w:rsid w:val="008F73A0"/>
    <w:rsid w:val="008F7A4A"/>
    <w:rsid w:val="008F7D87"/>
    <w:rsid w:val="009006BE"/>
    <w:rsid w:val="00900783"/>
    <w:rsid w:val="00900A0D"/>
    <w:rsid w:val="00900C2A"/>
    <w:rsid w:val="00900C6B"/>
    <w:rsid w:val="009012BA"/>
    <w:rsid w:val="00901794"/>
    <w:rsid w:val="009017C9"/>
    <w:rsid w:val="0090181C"/>
    <w:rsid w:val="00901CB3"/>
    <w:rsid w:val="00901EF4"/>
    <w:rsid w:val="00901F63"/>
    <w:rsid w:val="0090227B"/>
    <w:rsid w:val="00902321"/>
    <w:rsid w:val="00902519"/>
    <w:rsid w:val="009026E3"/>
    <w:rsid w:val="009027A8"/>
    <w:rsid w:val="00902DBC"/>
    <w:rsid w:val="00902F2E"/>
    <w:rsid w:val="00902FA4"/>
    <w:rsid w:val="0090351F"/>
    <w:rsid w:val="00903637"/>
    <w:rsid w:val="009036AD"/>
    <w:rsid w:val="0090383F"/>
    <w:rsid w:val="00903AFD"/>
    <w:rsid w:val="00903C29"/>
    <w:rsid w:val="00903DA0"/>
    <w:rsid w:val="00903F53"/>
    <w:rsid w:val="00903F57"/>
    <w:rsid w:val="00904791"/>
    <w:rsid w:val="00904A6A"/>
    <w:rsid w:val="00904B74"/>
    <w:rsid w:val="00904C1A"/>
    <w:rsid w:val="00904CA1"/>
    <w:rsid w:val="009054A1"/>
    <w:rsid w:val="00905EF1"/>
    <w:rsid w:val="00906794"/>
    <w:rsid w:val="0090695E"/>
    <w:rsid w:val="00906CE3"/>
    <w:rsid w:val="00906EB9"/>
    <w:rsid w:val="00907479"/>
    <w:rsid w:val="0090764F"/>
    <w:rsid w:val="009076F4"/>
    <w:rsid w:val="0090771A"/>
    <w:rsid w:val="0090798B"/>
    <w:rsid w:val="00907998"/>
    <w:rsid w:val="00907A0E"/>
    <w:rsid w:val="00907B96"/>
    <w:rsid w:val="00907BCD"/>
    <w:rsid w:val="00907D8D"/>
    <w:rsid w:val="00907EEB"/>
    <w:rsid w:val="009103A5"/>
    <w:rsid w:val="009104BD"/>
    <w:rsid w:val="009105F8"/>
    <w:rsid w:val="00910971"/>
    <w:rsid w:val="00910C88"/>
    <w:rsid w:val="00910F7B"/>
    <w:rsid w:val="00911062"/>
    <w:rsid w:val="00911086"/>
    <w:rsid w:val="009112B7"/>
    <w:rsid w:val="00911DF1"/>
    <w:rsid w:val="00911DFF"/>
    <w:rsid w:val="00912351"/>
    <w:rsid w:val="0091239D"/>
    <w:rsid w:val="00912429"/>
    <w:rsid w:val="009126E0"/>
    <w:rsid w:val="0091272F"/>
    <w:rsid w:val="00912C83"/>
    <w:rsid w:val="00912D30"/>
    <w:rsid w:val="00912EFA"/>
    <w:rsid w:val="00913099"/>
    <w:rsid w:val="009131EE"/>
    <w:rsid w:val="009131F0"/>
    <w:rsid w:val="009133AE"/>
    <w:rsid w:val="009134F9"/>
    <w:rsid w:val="009134FB"/>
    <w:rsid w:val="009136BE"/>
    <w:rsid w:val="00913E3D"/>
    <w:rsid w:val="0091425D"/>
    <w:rsid w:val="00914535"/>
    <w:rsid w:val="00914B21"/>
    <w:rsid w:val="00914E4D"/>
    <w:rsid w:val="00914F49"/>
    <w:rsid w:val="009156D0"/>
    <w:rsid w:val="00915BCF"/>
    <w:rsid w:val="00915BE4"/>
    <w:rsid w:val="00916111"/>
    <w:rsid w:val="00916506"/>
    <w:rsid w:val="00916991"/>
    <w:rsid w:val="009169BD"/>
    <w:rsid w:val="00916A88"/>
    <w:rsid w:val="00916D7C"/>
    <w:rsid w:val="00916DE7"/>
    <w:rsid w:val="00916EA5"/>
    <w:rsid w:val="0091717B"/>
    <w:rsid w:val="0091722B"/>
    <w:rsid w:val="0091728F"/>
    <w:rsid w:val="009175AE"/>
    <w:rsid w:val="00917713"/>
    <w:rsid w:val="00917AF2"/>
    <w:rsid w:val="00917F77"/>
    <w:rsid w:val="00920A1C"/>
    <w:rsid w:val="00920DF8"/>
    <w:rsid w:val="00921807"/>
    <w:rsid w:val="00921E7B"/>
    <w:rsid w:val="00921FED"/>
    <w:rsid w:val="009223A9"/>
    <w:rsid w:val="009225BD"/>
    <w:rsid w:val="009228BF"/>
    <w:rsid w:val="00922B6A"/>
    <w:rsid w:val="00922FB6"/>
    <w:rsid w:val="0092341D"/>
    <w:rsid w:val="00923C3C"/>
    <w:rsid w:val="00923CA9"/>
    <w:rsid w:val="00923FAA"/>
    <w:rsid w:val="00924246"/>
    <w:rsid w:val="00924366"/>
    <w:rsid w:val="009245A9"/>
    <w:rsid w:val="009245EC"/>
    <w:rsid w:val="00924877"/>
    <w:rsid w:val="009249B7"/>
    <w:rsid w:val="00925005"/>
    <w:rsid w:val="0092519F"/>
    <w:rsid w:val="009251C3"/>
    <w:rsid w:val="009253FB"/>
    <w:rsid w:val="0092559B"/>
    <w:rsid w:val="0092565A"/>
    <w:rsid w:val="00925B6B"/>
    <w:rsid w:val="00925B74"/>
    <w:rsid w:val="00925C02"/>
    <w:rsid w:val="00925C5D"/>
    <w:rsid w:val="00925F6B"/>
    <w:rsid w:val="0092619D"/>
    <w:rsid w:val="009262C7"/>
    <w:rsid w:val="0092632C"/>
    <w:rsid w:val="00926F1D"/>
    <w:rsid w:val="00926FAA"/>
    <w:rsid w:val="00926FF6"/>
    <w:rsid w:val="009273C3"/>
    <w:rsid w:val="00927A25"/>
    <w:rsid w:val="00927B13"/>
    <w:rsid w:val="00927F8A"/>
    <w:rsid w:val="0093073D"/>
    <w:rsid w:val="009307B9"/>
    <w:rsid w:val="009308A2"/>
    <w:rsid w:val="00930B2C"/>
    <w:rsid w:val="00931387"/>
    <w:rsid w:val="00931478"/>
    <w:rsid w:val="00931D47"/>
    <w:rsid w:val="009327C6"/>
    <w:rsid w:val="00932943"/>
    <w:rsid w:val="009329D4"/>
    <w:rsid w:val="00932AEE"/>
    <w:rsid w:val="00932E2B"/>
    <w:rsid w:val="009331F4"/>
    <w:rsid w:val="00933517"/>
    <w:rsid w:val="009336E1"/>
    <w:rsid w:val="009338BA"/>
    <w:rsid w:val="00933D59"/>
    <w:rsid w:val="00933D89"/>
    <w:rsid w:val="00933ED4"/>
    <w:rsid w:val="00933F02"/>
    <w:rsid w:val="00934211"/>
    <w:rsid w:val="0093469C"/>
    <w:rsid w:val="0093476A"/>
    <w:rsid w:val="009348F4"/>
    <w:rsid w:val="00934AC8"/>
    <w:rsid w:val="00934BAD"/>
    <w:rsid w:val="00934D55"/>
    <w:rsid w:val="00934FA4"/>
    <w:rsid w:val="00934FB3"/>
    <w:rsid w:val="00935772"/>
    <w:rsid w:val="00935FC8"/>
    <w:rsid w:val="009365CF"/>
    <w:rsid w:val="00936735"/>
    <w:rsid w:val="00936753"/>
    <w:rsid w:val="00936787"/>
    <w:rsid w:val="00936837"/>
    <w:rsid w:val="00936972"/>
    <w:rsid w:val="0093700D"/>
    <w:rsid w:val="0093759D"/>
    <w:rsid w:val="0093782C"/>
    <w:rsid w:val="00937C2E"/>
    <w:rsid w:val="00937EC8"/>
    <w:rsid w:val="0094025C"/>
    <w:rsid w:val="00940369"/>
    <w:rsid w:val="009405AD"/>
    <w:rsid w:val="009407A9"/>
    <w:rsid w:val="00940DFA"/>
    <w:rsid w:val="00940F65"/>
    <w:rsid w:val="00940F79"/>
    <w:rsid w:val="0094116D"/>
    <w:rsid w:val="009412B0"/>
    <w:rsid w:val="00941321"/>
    <w:rsid w:val="0094144E"/>
    <w:rsid w:val="00941D03"/>
    <w:rsid w:val="0094204F"/>
    <w:rsid w:val="009420E9"/>
    <w:rsid w:val="0094211B"/>
    <w:rsid w:val="00942164"/>
    <w:rsid w:val="00942222"/>
    <w:rsid w:val="009425BC"/>
    <w:rsid w:val="00942877"/>
    <w:rsid w:val="00942C49"/>
    <w:rsid w:val="00942D25"/>
    <w:rsid w:val="00942D50"/>
    <w:rsid w:val="00942F6F"/>
    <w:rsid w:val="00943425"/>
    <w:rsid w:val="009434AB"/>
    <w:rsid w:val="0094352F"/>
    <w:rsid w:val="0094385D"/>
    <w:rsid w:val="0094386A"/>
    <w:rsid w:val="00943B76"/>
    <w:rsid w:val="00943BA2"/>
    <w:rsid w:val="00943DA5"/>
    <w:rsid w:val="00943DE6"/>
    <w:rsid w:val="00943F41"/>
    <w:rsid w:val="009444BB"/>
    <w:rsid w:val="00944863"/>
    <w:rsid w:val="009448DC"/>
    <w:rsid w:val="00944913"/>
    <w:rsid w:val="00944B33"/>
    <w:rsid w:val="00944E73"/>
    <w:rsid w:val="00945398"/>
    <w:rsid w:val="0094586B"/>
    <w:rsid w:val="00945897"/>
    <w:rsid w:val="009461D4"/>
    <w:rsid w:val="00946490"/>
    <w:rsid w:val="00946525"/>
    <w:rsid w:val="00946912"/>
    <w:rsid w:val="00946A5F"/>
    <w:rsid w:val="00946C63"/>
    <w:rsid w:val="00946EBB"/>
    <w:rsid w:val="009470E0"/>
    <w:rsid w:val="009472A9"/>
    <w:rsid w:val="00947D53"/>
    <w:rsid w:val="00947F37"/>
    <w:rsid w:val="0095025C"/>
    <w:rsid w:val="00950311"/>
    <w:rsid w:val="00950451"/>
    <w:rsid w:val="00950468"/>
    <w:rsid w:val="0095070F"/>
    <w:rsid w:val="009507C0"/>
    <w:rsid w:val="0095086F"/>
    <w:rsid w:val="00950966"/>
    <w:rsid w:val="00950B76"/>
    <w:rsid w:val="00950C14"/>
    <w:rsid w:val="009510E8"/>
    <w:rsid w:val="009510F1"/>
    <w:rsid w:val="00951452"/>
    <w:rsid w:val="00951705"/>
    <w:rsid w:val="00951C31"/>
    <w:rsid w:val="00951E6A"/>
    <w:rsid w:val="00952229"/>
    <w:rsid w:val="00952AA1"/>
    <w:rsid w:val="00952C9C"/>
    <w:rsid w:val="00952C9F"/>
    <w:rsid w:val="00952E96"/>
    <w:rsid w:val="00953097"/>
    <w:rsid w:val="009531D0"/>
    <w:rsid w:val="00953215"/>
    <w:rsid w:val="00953310"/>
    <w:rsid w:val="009539AE"/>
    <w:rsid w:val="00953ED8"/>
    <w:rsid w:val="00953EFA"/>
    <w:rsid w:val="00953FCC"/>
    <w:rsid w:val="00954000"/>
    <w:rsid w:val="009545BD"/>
    <w:rsid w:val="0095468E"/>
    <w:rsid w:val="009555E1"/>
    <w:rsid w:val="0095579C"/>
    <w:rsid w:val="00955951"/>
    <w:rsid w:val="00955AB3"/>
    <w:rsid w:val="009562D6"/>
    <w:rsid w:val="009568F3"/>
    <w:rsid w:val="00956AB8"/>
    <w:rsid w:val="00956D14"/>
    <w:rsid w:val="00956DD7"/>
    <w:rsid w:val="0095701B"/>
    <w:rsid w:val="0095709F"/>
    <w:rsid w:val="00957246"/>
    <w:rsid w:val="0095742D"/>
    <w:rsid w:val="00957493"/>
    <w:rsid w:val="0095769B"/>
    <w:rsid w:val="00960169"/>
    <w:rsid w:val="00960435"/>
    <w:rsid w:val="009607A7"/>
    <w:rsid w:val="00960864"/>
    <w:rsid w:val="00960A71"/>
    <w:rsid w:val="00960BF3"/>
    <w:rsid w:val="00960BF7"/>
    <w:rsid w:val="00960C06"/>
    <w:rsid w:val="00960DA2"/>
    <w:rsid w:val="00960DE6"/>
    <w:rsid w:val="00960E56"/>
    <w:rsid w:val="0096148C"/>
    <w:rsid w:val="00961528"/>
    <w:rsid w:val="009618C7"/>
    <w:rsid w:val="00961D02"/>
    <w:rsid w:val="00961E75"/>
    <w:rsid w:val="009622AA"/>
    <w:rsid w:val="00962419"/>
    <w:rsid w:val="0096259A"/>
    <w:rsid w:val="00962750"/>
    <w:rsid w:val="00962C17"/>
    <w:rsid w:val="00962F44"/>
    <w:rsid w:val="00962F59"/>
    <w:rsid w:val="009631D6"/>
    <w:rsid w:val="00963419"/>
    <w:rsid w:val="00963565"/>
    <w:rsid w:val="00963667"/>
    <w:rsid w:val="009636AF"/>
    <w:rsid w:val="009636F6"/>
    <w:rsid w:val="00963897"/>
    <w:rsid w:val="00963C51"/>
    <w:rsid w:val="00964155"/>
    <w:rsid w:val="00964487"/>
    <w:rsid w:val="00964621"/>
    <w:rsid w:val="0096485E"/>
    <w:rsid w:val="00964A2D"/>
    <w:rsid w:val="00964D8F"/>
    <w:rsid w:val="00964E18"/>
    <w:rsid w:val="00964FE4"/>
    <w:rsid w:val="00965221"/>
    <w:rsid w:val="009654DF"/>
    <w:rsid w:val="009655CA"/>
    <w:rsid w:val="009662A3"/>
    <w:rsid w:val="009664C8"/>
    <w:rsid w:val="009665C6"/>
    <w:rsid w:val="00966706"/>
    <w:rsid w:val="00966AAD"/>
    <w:rsid w:val="00966D46"/>
    <w:rsid w:val="00967220"/>
    <w:rsid w:val="0096729A"/>
    <w:rsid w:val="009672D8"/>
    <w:rsid w:val="00967673"/>
    <w:rsid w:val="0096774C"/>
    <w:rsid w:val="00967835"/>
    <w:rsid w:val="00967AF7"/>
    <w:rsid w:val="00967B40"/>
    <w:rsid w:val="00967DE3"/>
    <w:rsid w:val="00967E23"/>
    <w:rsid w:val="00970063"/>
    <w:rsid w:val="0097030D"/>
    <w:rsid w:val="0097049B"/>
    <w:rsid w:val="0097052B"/>
    <w:rsid w:val="00970607"/>
    <w:rsid w:val="0097074F"/>
    <w:rsid w:val="00970859"/>
    <w:rsid w:val="009709F3"/>
    <w:rsid w:val="00970B96"/>
    <w:rsid w:val="00970ECA"/>
    <w:rsid w:val="00971113"/>
    <w:rsid w:val="00971289"/>
    <w:rsid w:val="009712AF"/>
    <w:rsid w:val="00971631"/>
    <w:rsid w:val="00971A1C"/>
    <w:rsid w:val="00971CAA"/>
    <w:rsid w:val="00971ECE"/>
    <w:rsid w:val="00971EF7"/>
    <w:rsid w:val="0097209A"/>
    <w:rsid w:val="009720CD"/>
    <w:rsid w:val="0097233E"/>
    <w:rsid w:val="0097234E"/>
    <w:rsid w:val="009723B1"/>
    <w:rsid w:val="00972B39"/>
    <w:rsid w:val="00972B54"/>
    <w:rsid w:val="00972D98"/>
    <w:rsid w:val="00973597"/>
    <w:rsid w:val="00973B34"/>
    <w:rsid w:val="00973D24"/>
    <w:rsid w:val="009740C9"/>
    <w:rsid w:val="009743DE"/>
    <w:rsid w:val="00974578"/>
    <w:rsid w:val="009749C9"/>
    <w:rsid w:val="00974A09"/>
    <w:rsid w:val="009750D2"/>
    <w:rsid w:val="00975600"/>
    <w:rsid w:val="0097567E"/>
    <w:rsid w:val="009756CE"/>
    <w:rsid w:val="00975A08"/>
    <w:rsid w:val="00975A5C"/>
    <w:rsid w:val="00975D25"/>
    <w:rsid w:val="00975ECE"/>
    <w:rsid w:val="009760AC"/>
    <w:rsid w:val="009762FC"/>
    <w:rsid w:val="009763BD"/>
    <w:rsid w:val="00976459"/>
    <w:rsid w:val="0097649B"/>
    <w:rsid w:val="009765CB"/>
    <w:rsid w:val="00976A54"/>
    <w:rsid w:val="00976BF0"/>
    <w:rsid w:val="00976D7B"/>
    <w:rsid w:val="0097704C"/>
    <w:rsid w:val="0097742F"/>
    <w:rsid w:val="00980126"/>
    <w:rsid w:val="0098077B"/>
    <w:rsid w:val="009808CC"/>
    <w:rsid w:val="009809B6"/>
    <w:rsid w:val="00980BA7"/>
    <w:rsid w:val="00980D23"/>
    <w:rsid w:val="00981CEE"/>
    <w:rsid w:val="00981ECB"/>
    <w:rsid w:val="00981F48"/>
    <w:rsid w:val="009820D7"/>
    <w:rsid w:val="009824AE"/>
    <w:rsid w:val="00982F72"/>
    <w:rsid w:val="00983319"/>
    <w:rsid w:val="0098331D"/>
    <w:rsid w:val="0098340F"/>
    <w:rsid w:val="00983657"/>
    <w:rsid w:val="009839BC"/>
    <w:rsid w:val="00983E83"/>
    <w:rsid w:val="009840D6"/>
    <w:rsid w:val="00984216"/>
    <w:rsid w:val="009848A3"/>
    <w:rsid w:val="00984A81"/>
    <w:rsid w:val="00984E1A"/>
    <w:rsid w:val="00984FC7"/>
    <w:rsid w:val="0098583A"/>
    <w:rsid w:val="00985B18"/>
    <w:rsid w:val="009860C5"/>
    <w:rsid w:val="0098622E"/>
    <w:rsid w:val="0098634D"/>
    <w:rsid w:val="00986614"/>
    <w:rsid w:val="009869FF"/>
    <w:rsid w:val="00986A5B"/>
    <w:rsid w:val="00986B7A"/>
    <w:rsid w:val="00986D7A"/>
    <w:rsid w:val="00987120"/>
    <w:rsid w:val="00987474"/>
    <w:rsid w:val="0098762E"/>
    <w:rsid w:val="00987671"/>
    <w:rsid w:val="00987705"/>
    <w:rsid w:val="00987BEB"/>
    <w:rsid w:val="00990205"/>
    <w:rsid w:val="00990547"/>
    <w:rsid w:val="009908D4"/>
    <w:rsid w:val="00990BCF"/>
    <w:rsid w:val="00990C2F"/>
    <w:rsid w:val="00990D79"/>
    <w:rsid w:val="00990D9B"/>
    <w:rsid w:val="00990E1B"/>
    <w:rsid w:val="00990F3F"/>
    <w:rsid w:val="00991420"/>
    <w:rsid w:val="00991458"/>
    <w:rsid w:val="0099175F"/>
    <w:rsid w:val="00991C16"/>
    <w:rsid w:val="00991E7A"/>
    <w:rsid w:val="00991FA5"/>
    <w:rsid w:val="0099204D"/>
    <w:rsid w:val="009922AC"/>
    <w:rsid w:val="0099260E"/>
    <w:rsid w:val="00992AA3"/>
    <w:rsid w:val="00992BBE"/>
    <w:rsid w:val="00992E73"/>
    <w:rsid w:val="00993181"/>
    <w:rsid w:val="009933B7"/>
    <w:rsid w:val="009934C5"/>
    <w:rsid w:val="00993E53"/>
    <w:rsid w:val="009944F5"/>
    <w:rsid w:val="009949DF"/>
    <w:rsid w:val="00994B67"/>
    <w:rsid w:val="00994BE4"/>
    <w:rsid w:val="00994FCD"/>
    <w:rsid w:val="00995391"/>
    <w:rsid w:val="00995429"/>
    <w:rsid w:val="00995555"/>
    <w:rsid w:val="009956F5"/>
    <w:rsid w:val="00995BEF"/>
    <w:rsid w:val="00995C95"/>
    <w:rsid w:val="00995EC1"/>
    <w:rsid w:val="00995F03"/>
    <w:rsid w:val="00995FAB"/>
    <w:rsid w:val="009960BA"/>
    <w:rsid w:val="009967BC"/>
    <w:rsid w:val="009968AE"/>
    <w:rsid w:val="009968E0"/>
    <w:rsid w:val="00996909"/>
    <w:rsid w:val="00996CDB"/>
    <w:rsid w:val="00996F11"/>
    <w:rsid w:val="00997007"/>
    <w:rsid w:val="009971DE"/>
    <w:rsid w:val="009977D8"/>
    <w:rsid w:val="009977E1"/>
    <w:rsid w:val="0099792C"/>
    <w:rsid w:val="00997EFE"/>
    <w:rsid w:val="009A0034"/>
    <w:rsid w:val="009A00FD"/>
    <w:rsid w:val="009A0943"/>
    <w:rsid w:val="009A0999"/>
    <w:rsid w:val="009A0A00"/>
    <w:rsid w:val="009A12BD"/>
    <w:rsid w:val="009A14DA"/>
    <w:rsid w:val="009A15BD"/>
    <w:rsid w:val="009A165B"/>
    <w:rsid w:val="009A1690"/>
    <w:rsid w:val="009A16DE"/>
    <w:rsid w:val="009A1A70"/>
    <w:rsid w:val="009A1B54"/>
    <w:rsid w:val="009A1D9E"/>
    <w:rsid w:val="009A207E"/>
    <w:rsid w:val="009A26C1"/>
    <w:rsid w:val="009A3875"/>
    <w:rsid w:val="009A3A2E"/>
    <w:rsid w:val="009A3D6F"/>
    <w:rsid w:val="009A3F4D"/>
    <w:rsid w:val="009A4694"/>
    <w:rsid w:val="009A4DE5"/>
    <w:rsid w:val="009A4ED8"/>
    <w:rsid w:val="009A5120"/>
    <w:rsid w:val="009A534A"/>
    <w:rsid w:val="009A580C"/>
    <w:rsid w:val="009A5A3D"/>
    <w:rsid w:val="009A5E51"/>
    <w:rsid w:val="009A623F"/>
    <w:rsid w:val="009A6465"/>
    <w:rsid w:val="009A6A12"/>
    <w:rsid w:val="009A6A29"/>
    <w:rsid w:val="009A6E5F"/>
    <w:rsid w:val="009A6F64"/>
    <w:rsid w:val="009A70B8"/>
    <w:rsid w:val="009A7192"/>
    <w:rsid w:val="009A779F"/>
    <w:rsid w:val="009A7A4B"/>
    <w:rsid w:val="009A7D16"/>
    <w:rsid w:val="009A7E28"/>
    <w:rsid w:val="009A7F55"/>
    <w:rsid w:val="009B0048"/>
    <w:rsid w:val="009B01BE"/>
    <w:rsid w:val="009B026E"/>
    <w:rsid w:val="009B0903"/>
    <w:rsid w:val="009B0FDA"/>
    <w:rsid w:val="009B17B5"/>
    <w:rsid w:val="009B1969"/>
    <w:rsid w:val="009B1AA9"/>
    <w:rsid w:val="009B1D53"/>
    <w:rsid w:val="009B1FB8"/>
    <w:rsid w:val="009B215F"/>
    <w:rsid w:val="009B23D2"/>
    <w:rsid w:val="009B2669"/>
    <w:rsid w:val="009B2BBB"/>
    <w:rsid w:val="009B2D1A"/>
    <w:rsid w:val="009B3097"/>
    <w:rsid w:val="009B32C4"/>
    <w:rsid w:val="009B3341"/>
    <w:rsid w:val="009B3396"/>
    <w:rsid w:val="009B352D"/>
    <w:rsid w:val="009B3713"/>
    <w:rsid w:val="009B39EC"/>
    <w:rsid w:val="009B3AE7"/>
    <w:rsid w:val="009B4377"/>
    <w:rsid w:val="009B4597"/>
    <w:rsid w:val="009B45A4"/>
    <w:rsid w:val="009B45BB"/>
    <w:rsid w:val="009B5157"/>
    <w:rsid w:val="009B5323"/>
    <w:rsid w:val="009B546B"/>
    <w:rsid w:val="009B5493"/>
    <w:rsid w:val="009B552D"/>
    <w:rsid w:val="009B564E"/>
    <w:rsid w:val="009B597F"/>
    <w:rsid w:val="009B5A71"/>
    <w:rsid w:val="009B5E20"/>
    <w:rsid w:val="009B69A6"/>
    <w:rsid w:val="009B6A97"/>
    <w:rsid w:val="009B6EAA"/>
    <w:rsid w:val="009B7299"/>
    <w:rsid w:val="009B7998"/>
    <w:rsid w:val="009B7CEA"/>
    <w:rsid w:val="009B7F11"/>
    <w:rsid w:val="009C0699"/>
    <w:rsid w:val="009C07FD"/>
    <w:rsid w:val="009C094F"/>
    <w:rsid w:val="009C0B0B"/>
    <w:rsid w:val="009C0E72"/>
    <w:rsid w:val="009C1216"/>
    <w:rsid w:val="009C1718"/>
    <w:rsid w:val="009C1B97"/>
    <w:rsid w:val="009C1CDA"/>
    <w:rsid w:val="009C23A5"/>
    <w:rsid w:val="009C2651"/>
    <w:rsid w:val="009C2805"/>
    <w:rsid w:val="009C2ACA"/>
    <w:rsid w:val="009C2B47"/>
    <w:rsid w:val="009C2D1D"/>
    <w:rsid w:val="009C2EAD"/>
    <w:rsid w:val="009C2FA3"/>
    <w:rsid w:val="009C31A6"/>
    <w:rsid w:val="009C335D"/>
    <w:rsid w:val="009C37E5"/>
    <w:rsid w:val="009C39C5"/>
    <w:rsid w:val="009C3BEB"/>
    <w:rsid w:val="009C4080"/>
    <w:rsid w:val="009C40D9"/>
    <w:rsid w:val="009C41C3"/>
    <w:rsid w:val="009C4732"/>
    <w:rsid w:val="009C4B33"/>
    <w:rsid w:val="009C4F5B"/>
    <w:rsid w:val="009C4FCC"/>
    <w:rsid w:val="009C5073"/>
    <w:rsid w:val="009C52A0"/>
    <w:rsid w:val="009C545C"/>
    <w:rsid w:val="009C5489"/>
    <w:rsid w:val="009C5898"/>
    <w:rsid w:val="009C5908"/>
    <w:rsid w:val="009C5E21"/>
    <w:rsid w:val="009C5EBF"/>
    <w:rsid w:val="009C6615"/>
    <w:rsid w:val="009C6632"/>
    <w:rsid w:val="009C6980"/>
    <w:rsid w:val="009C698F"/>
    <w:rsid w:val="009C69E1"/>
    <w:rsid w:val="009C6A68"/>
    <w:rsid w:val="009C70E6"/>
    <w:rsid w:val="009C766D"/>
    <w:rsid w:val="009C7A42"/>
    <w:rsid w:val="009C7AA5"/>
    <w:rsid w:val="009D0045"/>
    <w:rsid w:val="009D03EF"/>
    <w:rsid w:val="009D03FC"/>
    <w:rsid w:val="009D0425"/>
    <w:rsid w:val="009D0609"/>
    <w:rsid w:val="009D080E"/>
    <w:rsid w:val="009D0A0C"/>
    <w:rsid w:val="009D0C4D"/>
    <w:rsid w:val="009D101A"/>
    <w:rsid w:val="009D10E7"/>
    <w:rsid w:val="009D11D0"/>
    <w:rsid w:val="009D1258"/>
    <w:rsid w:val="009D16F3"/>
    <w:rsid w:val="009D1C7F"/>
    <w:rsid w:val="009D1DD7"/>
    <w:rsid w:val="009D1DEF"/>
    <w:rsid w:val="009D1F6B"/>
    <w:rsid w:val="009D22F9"/>
    <w:rsid w:val="009D2476"/>
    <w:rsid w:val="009D2782"/>
    <w:rsid w:val="009D2811"/>
    <w:rsid w:val="009D2AE7"/>
    <w:rsid w:val="009D2B8A"/>
    <w:rsid w:val="009D2CF2"/>
    <w:rsid w:val="009D2CFE"/>
    <w:rsid w:val="009D3361"/>
    <w:rsid w:val="009D34EB"/>
    <w:rsid w:val="009D35AE"/>
    <w:rsid w:val="009D379E"/>
    <w:rsid w:val="009D3983"/>
    <w:rsid w:val="009D3EDA"/>
    <w:rsid w:val="009D40B3"/>
    <w:rsid w:val="009D42E3"/>
    <w:rsid w:val="009D4346"/>
    <w:rsid w:val="009D4981"/>
    <w:rsid w:val="009D4A27"/>
    <w:rsid w:val="009D4CCD"/>
    <w:rsid w:val="009D510C"/>
    <w:rsid w:val="009D5288"/>
    <w:rsid w:val="009D534A"/>
    <w:rsid w:val="009D55C5"/>
    <w:rsid w:val="009D5730"/>
    <w:rsid w:val="009D5A1D"/>
    <w:rsid w:val="009D5F8D"/>
    <w:rsid w:val="009D6099"/>
    <w:rsid w:val="009D6790"/>
    <w:rsid w:val="009D6968"/>
    <w:rsid w:val="009D6A82"/>
    <w:rsid w:val="009D6E7E"/>
    <w:rsid w:val="009D6F4D"/>
    <w:rsid w:val="009D70DE"/>
    <w:rsid w:val="009D720A"/>
    <w:rsid w:val="009D7683"/>
    <w:rsid w:val="009D773D"/>
    <w:rsid w:val="009D7742"/>
    <w:rsid w:val="009D792E"/>
    <w:rsid w:val="009D7958"/>
    <w:rsid w:val="009D79B1"/>
    <w:rsid w:val="009D79CF"/>
    <w:rsid w:val="009D7B4D"/>
    <w:rsid w:val="009E00D5"/>
    <w:rsid w:val="009E0116"/>
    <w:rsid w:val="009E013C"/>
    <w:rsid w:val="009E031A"/>
    <w:rsid w:val="009E074C"/>
    <w:rsid w:val="009E08B7"/>
    <w:rsid w:val="009E0973"/>
    <w:rsid w:val="009E0B79"/>
    <w:rsid w:val="009E102A"/>
    <w:rsid w:val="009E1138"/>
    <w:rsid w:val="009E1259"/>
    <w:rsid w:val="009E12AE"/>
    <w:rsid w:val="009E1493"/>
    <w:rsid w:val="009E160A"/>
    <w:rsid w:val="009E1DE4"/>
    <w:rsid w:val="009E1E2E"/>
    <w:rsid w:val="009E252C"/>
    <w:rsid w:val="009E2593"/>
    <w:rsid w:val="009E262E"/>
    <w:rsid w:val="009E263C"/>
    <w:rsid w:val="009E2664"/>
    <w:rsid w:val="009E267F"/>
    <w:rsid w:val="009E26C9"/>
    <w:rsid w:val="009E2B20"/>
    <w:rsid w:val="009E2BA8"/>
    <w:rsid w:val="009E31CA"/>
    <w:rsid w:val="009E3362"/>
    <w:rsid w:val="009E3468"/>
    <w:rsid w:val="009E36C7"/>
    <w:rsid w:val="009E3F4B"/>
    <w:rsid w:val="009E4578"/>
    <w:rsid w:val="009E4E49"/>
    <w:rsid w:val="009E4F90"/>
    <w:rsid w:val="009E5300"/>
    <w:rsid w:val="009E5352"/>
    <w:rsid w:val="009E57FF"/>
    <w:rsid w:val="009E5F29"/>
    <w:rsid w:val="009E6216"/>
    <w:rsid w:val="009E679F"/>
    <w:rsid w:val="009E6CB4"/>
    <w:rsid w:val="009E6E1E"/>
    <w:rsid w:val="009E6FBB"/>
    <w:rsid w:val="009E6FF1"/>
    <w:rsid w:val="009E7059"/>
    <w:rsid w:val="009E70AF"/>
    <w:rsid w:val="009E74C4"/>
    <w:rsid w:val="009E76C6"/>
    <w:rsid w:val="009E7CD2"/>
    <w:rsid w:val="009E7E8C"/>
    <w:rsid w:val="009E7F21"/>
    <w:rsid w:val="009E7FBD"/>
    <w:rsid w:val="009F0337"/>
    <w:rsid w:val="009F04A4"/>
    <w:rsid w:val="009F082D"/>
    <w:rsid w:val="009F08CA"/>
    <w:rsid w:val="009F093C"/>
    <w:rsid w:val="009F097B"/>
    <w:rsid w:val="009F0D66"/>
    <w:rsid w:val="009F0DBB"/>
    <w:rsid w:val="009F0F1B"/>
    <w:rsid w:val="009F16B4"/>
    <w:rsid w:val="009F1A02"/>
    <w:rsid w:val="009F1AC1"/>
    <w:rsid w:val="009F1BBA"/>
    <w:rsid w:val="009F1DC9"/>
    <w:rsid w:val="009F20A9"/>
    <w:rsid w:val="009F28A6"/>
    <w:rsid w:val="009F292D"/>
    <w:rsid w:val="009F2D18"/>
    <w:rsid w:val="009F2D25"/>
    <w:rsid w:val="009F2D38"/>
    <w:rsid w:val="009F2F51"/>
    <w:rsid w:val="009F35CE"/>
    <w:rsid w:val="009F39C9"/>
    <w:rsid w:val="009F3A2E"/>
    <w:rsid w:val="009F3CC3"/>
    <w:rsid w:val="009F4019"/>
    <w:rsid w:val="009F40E6"/>
    <w:rsid w:val="009F4101"/>
    <w:rsid w:val="009F443E"/>
    <w:rsid w:val="009F4524"/>
    <w:rsid w:val="009F47A4"/>
    <w:rsid w:val="009F49E0"/>
    <w:rsid w:val="009F4ADC"/>
    <w:rsid w:val="009F4C7D"/>
    <w:rsid w:val="009F5565"/>
    <w:rsid w:val="009F57A8"/>
    <w:rsid w:val="009F59C2"/>
    <w:rsid w:val="009F6316"/>
    <w:rsid w:val="009F655F"/>
    <w:rsid w:val="009F6817"/>
    <w:rsid w:val="009F68B0"/>
    <w:rsid w:val="009F6999"/>
    <w:rsid w:val="009F6C7D"/>
    <w:rsid w:val="009F6E0A"/>
    <w:rsid w:val="009F722A"/>
    <w:rsid w:val="009F764B"/>
    <w:rsid w:val="009F78B0"/>
    <w:rsid w:val="009F7AD8"/>
    <w:rsid w:val="009F7DFF"/>
    <w:rsid w:val="009F7F9E"/>
    <w:rsid w:val="00A00036"/>
    <w:rsid w:val="00A0059C"/>
    <w:rsid w:val="00A00A13"/>
    <w:rsid w:val="00A00B02"/>
    <w:rsid w:val="00A00CF2"/>
    <w:rsid w:val="00A00DD0"/>
    <w:rsid w:val="00A0105A"/>
    <w:rsid w:val="00A010A0"/>
    <w:rsid w:val="00A01117"/>
    <w:rsid w:val="00A013EC"/>
    <w:rsid w:val="00A015F0"/>
    <w:rsid w:val="00A01CCD"/>
    <w:rsid w:val="00A01DB6"/>
    <w:rsid w:val="00A01E87"/>
    <w:rsid w:val="00A021DE"/>
    <w:rsid w:val="00A022CA"/>
    <w:rsid w:val="00A0279A"/>
    <w:rsid w:val="00A028E7"/>
    <w:rsid w:val="00A02A4A"/>
    <w:rsid w:val="00A02DD1"/>
    <w:rsid w:val="00A02E27"/>
    <w:rsid w:val="00A02E9D"/>
    <w:rsid w:val="00A02ECB"/>
    <w:rsid w:val="00A02FFA"/>
    <w:rsid w:val="00A030BE"/>
    <w:rsid w:val="00A033F3"/>
    <w:rsid w:val="00A034CA"/>
    <w:rsid w:val="00A035FD"/>
    <w:rsid w:val="00A03C1A"/>
    <w:rsid w:val="00A03C3F"/>
    <w:rsid w:val="00A03E54"/>
    <w:rsid w:val="00A03F2B"/>
    <w:rsid w:val="00A04282"/>
    <w:rsid w:val="00A04324"/>
    <w:rsid w:val="00A046D3"/>
    <w:rsid w:val="00A04D65"/>
    <w:rsid w:val="00A05183"/>
    <w:rsid w:val="00A051AF"/>
    <w:rsid w:val="00A05E9C"/>
    <w:rsid w:val="00A06788"/>
    <w:rsid w:val="00A06832"/>
    <w:rsid w:val="00A06873"/>
    <w:rsid w:val="00A06A14"/>
    <w:rsid w:val="00A06C1A"/>
    <w:rsid w:val="00A06C3B"/>
    <w:rsid w:val="00A06D31"/>
    <w:rsid w:val="00A07069"/>
    <w:rsid w:val="00A0708D"/>
    <w:rsid w:val="00A070E1"/>
    <w:rsid w:val="00A07181"/>
    <w:rsid w:val="00A072FE"/>
    <w:rsid w:val="00A0760C"/>
    <w:rsid w:val="00A076C8"/>
    <w:rsid w:val="00A079C1"/>
    <w:rsid w:val="00A1007C"/>
    <w:rsid w:val="00A104F8"/>
    <w:rsid w:val="00A105A1"/>
    <w:rsid w:val="00A10782"/>
    <w:rsid w:val="00A10DA5"/>
    <w:rsid w:val="00A11044"/>
    <w:rsid w:val="00A1162D"/>
    <w:rsid w:val="00A11DB5"/>
    <w:rsid w:val="00A1238C"/>
    <w:rsid w:val="00A125F5"/>
    <w:rsid w:val="00A12785"/>
    <w:rsid w:val="00A127FD"/>
    <w:rsid w:val="00A128EB"/>
    <w:rsid w:val="00A12900"/>
    <w:rsid w:val="00A1290B"/>
    <w:rsid w:val="00A12B25"/>
    <w:rsid w:val="00A12C13"/>
    <w:rsid w:val="00A12CBC"/>
    <w:rsid w:val="00A12D6A"/>
    <w:rsid w:val="00A12F7C"/>
    <w:rsid w:val="00A132CE"/>
    <w:rsid w:val="00A1337A"/>
    <w:rsid w:val="00A1354C"/>
    <w:rsid w:val="00A139E5"/>
    <w:rsid w:val="00A13C87"/>
    <w:rsid w:val="00A1438B"/>
    <w:rsid w:val="00A14C12"/>
    <w:rsid w:val="00A14C4C"/>
    <w:rsid w:val="00A14C53"/>
    <w:rsid w:val="00A14C54"/>
    <w:rsid w:val="00A14C77"/>
    <w:rsid w:val="00A14CFB"/>
    <w:rsid w:val="00A14DBE"/>
    <w:rsid w:val="00A15391"/>
    <w:rsid w:val="00A15449"/>
    <w:rsid w:val="00A15558"/>
    <w:rsid w:val="00A1574C"/>
    <w:rsid w:val="00A15E06"/>
    <w:rsid w:val="00A162F9"/>
    <w:rsid w:val="00A1643A"/>
    <w:rsid w:val="00A16D3E"/>
    <w:rsid w:val="00A17343"/>
    <w:rsid w:val="00A177C2"/>
    <w:rsid w:val="00A179BF"/>
    <w:rsid w:val="00A20091"/>
    <w:rsid w:val="00A20253"/>
    <w:rsid w:val="00A2091E"/>
    <w:rsid w:val="00A20C13"/>
    <w:rsid w:val="00A20F56"/>
    <w:rsid w:val="00A21232"/>
    <w:rsid w:val="00A21DE2"/>
    <w:rsid w:val="00A22009"/>
    <w:rsid w:val="00A22632"/>
    <w:rsid w:val="00A2270D"/>
    <w:rsid w:val="00A22852"/>
    <w:rsid w:val="00A22AA2"/>
    <w:rsid w:val="00A235BA"/>
    <w:rsid w:val="00A23849"/>
    <w:rsid w:val="00A238C2"/>
    <w:rsid w:val="00A23C92"/>
    <w:rsid w:val="00A23D5A"/>
    <w:rsid w:val="00A2430B"/>
    <w:rsid w:val="00A244D9"/>
    <w:rsid w:val="00A245E0"/>
    <w:rsid w:val="00A2474A"/>
    <w:rsid w:val="00A247D0"/>
    <w:rsid w:val="00A2481E"/>
    <w:rsid w:val="00A24A2D"/>
    <w:rsid w:val="00A251E1"/>
    <w:rsid w:val="00A25C29"/>
    <w:rsid w:val="00A25DFA"/>
    <w:rsid w:val="00A25F60"/>
    <w:rsid w:val="00A25F85"/>
    <w:rsid w:val="00A26940"/>
    <w:rsid w:val="00A26ADD"/>
    <w:rsid w:val="00A270B3"/>
    <w:rsid w:val="00A27240"/>
    <w:rsid w:val="00A27397"/>
    <w:rsid w:val="00A278B1"/>
    <w:rsid w:val="00A27AB2"/>
    <w:rsid w:val="00A27CF6"/>
    <w:rsid w:val="00A27D96"/>
    <w:rsid w:val="00A302D1"/>
    <w:rsid w:val="00A30309"/>
    <w:rsid w:val="00A303BC"/>
    <w:rsid w:val="00A304D8"/>
    <w:rsid w:val="00A308BC"/>
    <w:rsid w:val="00A30AFC"/>
    <w:rsid w:val="00A30CD9"/>
    <w:rsid w:val="00A30D05"/>
    <w:rsid w:val="00A313BF"/>
    <w:rsid w:val="00A31431"/>
    <w:rsid w:val="00A31BD4"/>
    <w:rsid w:val="00A31CEC"/>
    <w:rsid w:val="00A31DF9"/>
    <w:rsid w:val="00A31E74"/>
    <w:rsid w:val="00A32329"/>
    <w:rsid w:val="00A32550"/>
    <w:rsid w:val="00A32668"/>
    <w:rsid w:val="00A32A78"/>
    <w:rsid w:val="00A32AC0"/>
    <w:rsid w:val="00A32C24"/>
    <w:rsid w:val="00A32C5A"/>
    <w:rsid w:val="00A32C61"/>
    <w:rsid w:val="00A32D2D"/>
    <w:rsid w:val="00A32D84"/>
    <w:rsid w:val="00A32DB2"/>
    <w:rsid w:val="00A32E9B"/>
    <w:rsid w:val="00A32FC9"/>
    <w:rsid w:val="00A33740"/>
    <w:rsid w:val="00A337B7"/>
    <w:rsid w:val="00A33940"/>
    <w:rsid w:val="00A33AC0"/>
    <w:rsid w:val="00A33E0A"/>
    <w:rsid w:val="00A33E3B"/>
    <w:rsid w:val="00A33F7E"/>
    <w:rsid w:val="00A341FF"/>
    <w:rsid w:val="00A3427C"/>
    <w:rsid w:val="00A34918"/>
    <w:rsid w:val="00A34929"/>
    <w:rsid w:val="00A34CEF"/>
    <w:rsid w:val="00A34D23"/>
    <w:rsid w:val="00A35B1C"/>
    <w:rsid w:val="00A35D84"/>
    <w:rsid w:val="00A36086"/>
    <w:rsid w:val="00A364BA"/>
    <w:rsid w:val="00A36687"/>
    <w:rsid w:val="00A36A60"/>
    <w:rsid w:val="00A37095"/>
    <w:rsid w:val="00A373AE"/>
    <w:rsid w:val="00A3749C"/>
    <w:rsid w:val="00A3753B"/>
    <w:rsid w:val="00A37680"/>
    <w:rsid w:val="00A37708"/>
    <w:rsid w:val="00A37748"/>
    <w:rsid w:val="00A37AA7"/>
    <w:rsid w:val="00A4031F"/>
    <w:rsid w:val="00A4043E"/>
    <w:rsid w:val="00A40580"/>
    <w:rsid w:val="00A40744"/>
    <w:rsid w:val="00A407F8"/>
    <w:rsid w:val="00A4097A"/>
    <w:rsid w:val="00A40B9A"/>
    <w:rsid w:val="00A41162"/>
    <w:rsid w:val="00A413C1"/>
    <w:rsid w:val="00A41449"/>
    <w:rsid w:val="00A4144E"/>
    <w:rsid w:val="00A41788"/>
    <w:rsid w:val="00A41847"/>
    <w:rsid w:val="00A41C4A"/>
    <w:rsid w:val="00A41C90"/>
    <w:rsid w:val="00A42043"/>
    <w:rsid w:val="00A4250A"/>
    <w:rsid w:val="00A427CF"/>
    <w:rsid w:val="00A4291A"/>
    <w:rsid w:val="00A4355A"/>
    <w:rsid w:val="00A436B5"/>
    <w:rsid w:val="00A439AA"/>
    <w:rsid w:val="00A43D33"/>
    <w:rsid w:val="00A43F5F"/>
    <w:rsid w:val="00A44085"/>
    <w:rsid w:val="00A44319"/>
    <w:rsid w:val="00A444F9"/>
    <w:rsid w:val="00A44528"/>
    <w:rsid w:val="00A4477A"/>
    <w:rsid w:val="00A44B5B"/>
    <w:rsid w:val="00A44C7B"/>
    <w:rsid w:val="00A44FAB"/>
    <w:rsid w:val="00A450F1"/>
    <w:rsid w:val="00A45700"/>
    <w:rsid w:val="00A457FB"/>
    <w:rsid w:val="00A45AEC"/>
    <w:rsid w:val="00A464E8"/>
    <w:rsid w:val="00A468E2"/>
    <w:rsid w:val="00A468EC"/>
    <w:rsid w:val="00A46BD5"/>
    <w:rsid w:val="00A46DBB"/>
    <w:rsid w:val="00A46E2F"/>
    <w:rsid w:val="00A4718C"/>
    <w:rsid w:val="00A47758"/>
    <w:rsid w:val="00A47BE9"/>
    <w:rsid w:val="00A47C1C"/>
    <w:rsid w:val="00A47C43"/>
    <w:rsid w:val="00A47C55"/>
    <w:rsid w:val="00A47F53"/>
    <w:rsid w:val="00A47F94"/>
    <w:rsid w:val="00A50100"/>
    <w:rsid w:val="00A50234"/>
    <w:rsid w:val="00A5145C"/>
    <w:rsid w:val="00A51DDA"/>
    <w:rsid w:val="00A52185"/>
    <w:rsid w:val="00A528FB"/>
    <w:rsid w:val="00A52912"/>
    <w:rsid w:val="00A52ACE"/>
    <w:rsid w:val="00A52B55"/>
    <w:rsid w:val="00A52CDE"/>
    <w:rsid w:val="00A52E01"/>
    <w:rsid w:val="00A52E09"/>
    <w:rsid w:val="00A52E3F"/>
    <w:rsid w:val="00A53488"/>
    <w:rsid w:val="00A53663"/>
    <w:rsid w:val="00A536A8"/>
    <w:rsid w:val="00A53B7E"/>
    <w:rsid w:val="00A53CB2"/>
    <w:rsid w:val="00A53E14"/>
    <w:rsid w:val="00A53FB2"/>
    <w:rsid w:val="00A53FE8"/>
    <w:rsid w:val="00A54326"/>
    <w:rsid w:val="00A54365"/>
    <w:rsid w:val="00A5469F"/>
    <w:rsid w:val="00A54A60"/>
    <w:rsid w:val="00A54AF4"/>
    <w:rsid w:val="00A54DC7"/>
    <w:rsid w:val="00A54E47"/>
    <w:rsid w:val="00A54EDD"/>
    <w:rsid w:val="00A5505A"/>
    <w:rsid w:val="00A550F9"/>
    <w:rsid w:val="00A55441"/>
    <w:rsid w:val="00A555F1"/>
    <w:rsid w:val="00A55B68"/>
    <w:rsid w:val="00A55C62"/>
    <w:rsid w:val="00A5602B"/>
    <w:rsid w:val="00A561E4"/>
    <w:rsid w:val="00A56855"/>
    <w:rsid w:val="00A568A1"/>
    <w:rsid w:val="00A56909"/>
    <w:rsid w:val="00A56E4C"/>
    <w:rsid w:val="00A57230"/>
    <w:rsid w:val="00A572E0"/>
    <w:rsid w:val="00A574CE"/>
    <w:rsid w:val="00A5774C"/>
    <w:rsid w:val="00A57DFC"/>
    <w:rsid w:val="00A57DFD"/>
    <w:rsid w:val="00A602AD"/>
    <w:rsid w:val="00A60357"/>
    <w:rsid w:val="00A6040B"/>
    <w:rsid w:val="00A607CB"/>
    <w:rsid w:val="00A6080C"/>
    <w:rsid w:val="00A60E62"/>
    <w:rsid w:val="00A60EF2"/>
    <w:rsid w:val="00A60F83"/>
    <w:rsid w:val="00A61934"/>
    <w:rsid w:val="00A61976"/>
    <w:rsid w:val="00A61A5E"/>
    <w:rsid w:val="00A61F54"/>
    <w:rsid w:val="00A61F6B"/>
    <w:rsid w:val="00A62158"/>
    <w:rsid w:val="00A622FD"/>
    <w:rsid w:val="00A623D6"/>
    <w:rsid w:val="00A62656"/>
    <w:rsid w:val="00A62671"/>
    <w:rsid w:val="00A62AEB"/>
    <w:rsid w:val="00A63142"/>
    <w:rsid w:val="00A6324D"/>
    <w:rsid w:val="00A63512"/>
    <w:rsid w:val="00A63635"/>
    <w:rsid w:val="00A63695"/>
    <w:rsid w:val="00A638A4"/>
    <w:rsid w:val="00A638B3"/>
    <w:rsid w:val="00A63B2B"/>
    <w:rsid w:val="00A63C23"/>
    <w:rsid w:val="00A63D9A"/>
    <w:rsid w:val="00A6414A"/>
    <w:rsid w:val="00A6428B"/>
    <w:rsid w:val="00A643DB"/>
    <w:rsid w:val="00A645A1"/>
    <w:rsid w:val="00A64618"/>
    <w:rsid w:val="00A6465B"/>
    <w:rsid w:val="00A64891"/>
    <w:rsid w:val="00A6515B"/>
    <w:rsid w:val="00A654B5"/>
    <w:rsid w:val="00A65BB1"/>
    <w:rsid w:val="00A65BC6"/>
    <w:rsid w:val="00A65C3A"/>
    <w:rsid w:val="00A65F2C"/>
    <w:rsid w:val="00A66013"/>
    <w:rsid w:val="00A66107"/>
    <w:rsid w:val="00A6616A"/>
    <w:rsid w:val="00A663B8"/>
    <w:rsid w:val="00A66525"/>
    <w:rsid w:val="00A666D2"/>
    <w:rsid w:val="00A66704"/>
    <w:rsid w:val="00A6670C"/>
    <w:rsid w:val="00A66832"/>
    <w:rsid w:val="00A668F5"/>
    <w:rsid w:val="00A66BC0"/>
    <w:rsid w:val="00A66F2C"/>
    <w:rsid w:val="00A66FCB"/>
    <w:rsid w:val="00A679B3"/>
    <w:rsid w:val="00A67B04"/>
    <w:rsid w:val="00A67B10"/>
    <w:rsid w:val="00A70185"/>
    <w:rsid w:val="00A70A61"/>
    <w:rsid w:val="00A70AD4"/>
    <w:rsid w:val="00A70B64"/>
    <w:rsid w:val="00A70E9F"/>
    <w:rsid w:val="00A713F4"/>
    <w:rsid w:val="00A714EA"/>
    <w:rsid w:val="00A71539"/>
    <w:rsid w:val="00A71A2B"/>
    <w:rsid w:val="00A71AA7"/>
    <w:rsid w:val="00A71C2F"/>
    <w:rsid w:val="00A71D66"/>
    <w:rsid w:val="00A7234B"/>
    <w:rsid w:val="00A723D9"/>
    <w:rsid w:val="00A72B7F"/>
    <w:rsid w:val="00A72DE5"/>
    <w:rsid w:val="00A72F76"/>
    <w:rsid w:val="00A731BE"/>
    <w:rsid w:val="00A73505"/>
    <w:rsid w:val="00A735CF"/>
    <w:rsid w:val="00A73909"/>
    <w:rsid w:val="00A739B3"/>
    <w:rsid w:val="00A73A5D"/>
    <w:rsid w:val="00A73B91"/>
    <w:rsid w:val="00A73D61"/>
    <w:rsid w:val="00A74304"/>
    <w:rsid w:val="00A743B8"/>
    <w:rsid w:val="00A74869"/>
    <w:rsid w:val="00A749A8"/>
    <w:rsid w:val="00A74A0D"/>
    <w:rsid w:val="00A74B99"/>
    <w:rsid w:val="00A74BE2"/>
    <w:rsid w:val="00A74BF7"/>
    <w:rsid w:val="00A74D50"/>
    <w:rsid w:val="00A74E2D"/>
    <w:rsid w:val="00A74E96"/>
    <w:rsid w:val="00A74ED7"/>
    <w:rsid w:val="00A7579B"/>
    <w:rsid w:val="00A75C45"/>
    <w:rsid w:val="00A75F85"/>
    <w:rsid w:val="00A7626F"/>
    <w:rsid w:val="00A7640C"/>
    <w:rsid w:val="00A764BF"/>
    <w:rsid w:val="00A76B68"/>
    <w:rsid w:val="00A76C43"/>
    <w:rsid w:val="00A76D1F"/>
    <w:rsid w:val="00A770FA"/>
    <w:rsid w:val="00A7747A"/>
    <w:rsid w:val="00A7758C"/>
    <w:rsid w:val="00A77E43"/>
    <w:rsid w:val="00A77F0A"/>
    <w:rsid w:val="00A77F21"/>
    <w:rsid w:val="00A80011"/>
    <w:rsid w:val="00A80112"/>
    <w:rsid w:val="00A80144"/>
    <w:rsid w:val="00A8022D"/>
    <w:rsid w:val="00A802AC"/>
    <w:rsid w:val="00A80469"/>
    <w:rsid w:val="00A80681"/>
    <w:rsid w:val="00A808F4"/>
    <w:rsid w:val="00A80A56"/>
    <w:rsid w:val="00A80A62"/>
    <w:rsid w:val="00A80C2D"/>
    <w:rsid w:val="00A80CF1"/>
    <w:rsid w:val="00A810DD"/>
    <w:rsid w:val="00A81165"/>
    <w:rsid w:val="00A812D7"/>
    <w:rsid w:val="00A813FF"/>
    <w:rsid w:val="00A814A1"/>
    <w:rsid w:val="00A817BB"/>
    <w:rsid w:val="00A8195C"/>
    <w:rsid w:val="00A81C76"/>
    <w:rsid w:val="00A81D69"/>
    <w:rsid w:val="00A81F44"/>
    <w:rsid w:val="00A82138"/>
    <w:rsid w:val="00A8249E"/>
    <w:rsid w:val="00A827D4"/>
    <w:rsid w:val="00A82A3B"/>
    <w:rsid w:val="00A82AF1"/>
    <w:rsid w:val="00A82CF0"/>
    <w:rsid w:val="00A82F7F"/>
    <w:rsid w:val="00A83460"/>
    <w:rsid w:val="00A835AF"/>
    <w:rsid w:val="00A83783"/>
    <w:rsid w:val="00A839EC"/>
    <w:rsid w:val="00A83A69"/>
    <w:rsid w:val="00A83ED8"/>
    <w:rsid w:val="00A84261"/>
    <w:rsid w:val="00A84B01"/>
    <w:rsid w:val="00A84BBD"/>
    <w:rsid w:val="00A853A5"/>
    <w:rsid w:val="00A85BF6"/>
    <w:rsid w:val="00A86057"/>
    <w:rsid w:val="00A8638E"/>
    <w:rsid w:val="00A86527"/>
    <w:rsid w:val="00A866E9"/>
    <w:rsid w:val="00A86F58"/>
    <w:rsid w:val="00A87525"/>
    <w:rsid w:val="00A8794A"/>
    <w:rsid w:val="00A87968"/>
    <w:rsid w:val="00A87B66"/>
    <w:rsid w:val="00A90582"/>
    <w:rsid w:val="00A90586"/>
    <w:rsid w:val="00A90CC6"/>
    <w:rsid w:val="00A90F88"/>
    <w:rsid w:val="00A90FDA"/>
    <w:rsid w:val="00A914F8"/>
    <w:rsid w:val="00A9153C"/>
    <w:rsid w:val="00A916F2"/>
    <w:rsid w:val="00A91728"/>
    <w:rsid w:val="00A91749"/>
    <w:rsid w:val="00A919ED"/>
    <w:rsid w:val="00A91B5C"/>
    <w:rsid w:val="00A91BE1"/>
    <w:rsid w:val="00A91DE3"/>
    <w:rsid w:val="00A928A1"/>
    <w:rsid w:val="00A929B1"/>
    <w:rsid w:val="00A929EF"/>
    <w:rsid w:val="00A92B50"/>
    <w:rsid w:val="00A92B62"/>
    <w:rsid w:val="00A92D69"/>
    <w:rsid w:val="00A92E5D"/>
    <w:rsid w:val="00A932D5"/>
    <w:rsid w:val="00A9360E"/>
    <w:rsid w:val="00A93716"/>
    <w:rsid w:val="00A93EC5"/>
    <w:rsid w:val="00A94112"/>
    <w:rsid w:val="00A941D3"/>
    <w:rsid w:val="00A9430E"/>
    <w:rsid w:val="00A94368"/>
    <w:rsid w:val="00A943DC"/>
    <w:rsid w:val="00A94A2B"/>
    <w:rsid w:val="00A95004"/>
    <w:rsid w:val="00A955A6"/>
    <w:rsid w:val="00A95C56"/>
    <w:rsid w:val="00A95E7A"/>
    <w:rsid w:val="00A95ED8"/>
    <w:rsid w:val="00A95F21"/>
    <w:rsid w:val="00A9602D"/>
    <w:rsid w:val="00A96342"/>
    <w:rsid w:val="00A963A0"/>
    <w:rsid w:val="00A966E2"/>
    <w:rsid w:val="00A966F5"/>
    <w:rsid w:val="00A968E7"/>
    <w:rsid w:val="00A972FF"/>
    <w:rsid w:val="00A97382"/>
    <w:rsid w:val="00A975BF"/>
    <w:rsid w:val="00A976B9"/>
    <w:rsid w:val="00A97A3D"/>
    <w:rsid w:val="00A97AC3"/>
    <w:rsid w:val="00A97B6C"/>
    <w:rsid w:val="00A97F13"/>
    <w:rsid w:val="00A97FB7"/>
    <w:rsid w:val="00AA003C"/>
    <w:rsid w:val="00AA0173"/>
    <w:rsid w:val="00AA0486"/>
    <w:rsid w:val="00AA078D"/>
    <w:rsid w:val="00AA0AEC"/>
    <w:rsid w:val="00AA0F34"/>
    <w:rsid w:val="00AA14AD"/>
    <w:rsid w:val="00AA1548"/>
    <w:rsid w:val="00AA15EF"/>
    <w:rsid w:val="00AA16EE"/>
    <w:rsid w:val="00AA16FC"/>
    <w:rsid w:val="00AA186F"/>
    <w:rsid w:val="00AA1A9D"/>
    <w:rsid w:val="00AA1F4F"/>
    <w:rsid w:val="00AA211D"/>
    <w:rsid w:val="00AA2306"/>
    <w:rsid w:val="00AA231C"/>
    <w:rsid w:val="00AA2478"/>
    <w:rsid w:val="00AA2800"/>
    <w:rsid w:val="00AA2AD7"/>
    <w:rsid w:val="00AA2BE6"/>
    <w:rsid w:val="00AA2D05"/>
    <w:rsid w:val="00AA339C"/>
    <w:rsid w:val="00AA34ED"/>
    <w:rsid w:val="00AA385C"/>
    <w:rsid w:val="00AA40FF"/>
    <w:rsid w:val="00AA4100"/>
    <w:rsid w:val="00AA4256"/>
    <w:rsid w:val="00AA46A9"/>
    <w:rsid w:val="00AA47EA"/>
    <w:rsid w:val="00AA491B"/>
    <w:rsid w:val="00AA4A32"/>
    <w:rsid w:val="00AA4F7A"/>
    <w:rsid w:val="00AA4FC8"/>
    <w:rsid w:val="00AA5254"/>
    <w:rsid w:val="00AA576A"/>
    <w:rsid w:val="00AA5B6F"/>
    <w:rsid w:val="00AA5C3F"/>
    <w:rsid w:val="00AA5CC8"/>
    <w:rsid w:val="00AA5D89"/>
    <w:rsid w:val="00AA5F49"/>
    <w:rsid w:val="00AA5F87"/>
    <w:rsid w:val="00AA614C"/>
    <w:rsid w:val="00AA6341"/>
    <w:rsid w:val="00AA63C3"/>
    <w:rsid w:val="00AA66AF"/>
    <w:rsid w:val="00AA688F"/>
    <w:rsid w:val="00AA6C6C"/>
    <w:rsid w:val="00AA7399"/>
    <w:rsid w:val="00AA7897"/>
    <w:rsid w:val="00AA7C1D"/>
    <w:rsid w:val="00AA7F4D"/>
    <w:rsid w:val="00AB03B2"/>
    <w:rsid w:val="00AB0721"/>
    <w:rsid w:val="00AB0757"/>
    <w:rsid w:val="00AB12C3"/>
    <w:rsid w:val="00AB1345"/>
    <w:rsid w:val="00AB1387"/>
    <w:rsid w:val="00AB17D7"/>
    <w:rsid w:val="00AB182C"/>
    <w:rsid w:val="00AB1A85"/>
    <w:rsid w:val="00AB1B81"/>
    <w:rsid w:val="00AB1D76"/>
    <w:rsid w:val="00AB2136"/>
    <w:rsid w:val="00AB230A"/>
    <w:rsid w:val="00AB25F6"/>
    <w:rsid w:val="00AB2729"/>
    <w:rsid w:val="00AB28A5"/>
    <w:rsid w:val="00AB29D0"/>
    <w:rsid w:val="00AB2BAC"/>
    <w:rsid w:val="00AB2C32"/>
    <w:rsid w:val="00AB2C75"/>
    <w:rsid w:val="00AB2D4D"/>
    <w:rsid w:val="00AB3365"/>
    <w:rsid w:val="00AB35B3"/>
    <w:rsid w:val="00AB3618"/>
    <w:rsid w:val="00AB37BA"/>
    <w:rsid w:val="00AB37F0"/>
    <w:rsid w:val="00AB3CEC"/>
    <w:rsid w:val="00AB3F0D"/>
    <w:rsid w:val="00AB3FA6"/>
    <w:rsid w:val="00AB41D2"/>
    <w:rsid w:val="00AB424C"/>
    <w:rsid w:val="00AB4721"/>
    <w:rsid w:val="00AB4A71"/>
    <w:rsid w:val="00AB4C0B"/>
    <w:rsid w:val="00AB4DAF"/>
    <w:rsid w:val="00AB4FE2"/>
    <w:rsid w:val="00AB5118"/>
    <w:rsid w:val="00AB518B"/>
    <w:rsid w:val="00AB51E9"/>
    <w:rsid w:val="00AB578D"/>
    <w:rsid w:val="00AB5CBD"/>
    <w:rsid w:val="00AB5CF4"/>
    <w:rsid w:val="00AB5E99"/>
    <w:rsid w:val="00AB5EAA"/>
    <w:rsid w:val="00AB5F74"/>
    <w:rsid w:val="00AB64E8"/>
    <w:rsid w:val="00AB6689"/>
    <w:rsid w:val="00AB6804"/>
    <w:rsid w:val="00AB6A3F"/>
    <w:rsid w:val="00AB6AA7"/>
    <w:rsid w:val="00AB6AD9"/>
    <w:rsid w:val="00AB6EC0"/>
    <w:rsid w:val="00AB6FFA"/>
    <w:rsid w:val="00AB75AA"/>
    <w:rsid w:val="00AB75F8"/>
    <w:rsid w:val="00AB76C4"/>
    <w:rsid w:val="00AB790F"/>
    <w:rsid w:val="00AB7F7A"/>
    <w:rsid w:val="00AB7F97"/>
    <w:rsid w:val="00AC04A6"/>
    <w:rsid w:val="00AC04B4"/>
    <w:rsid w:val="00AC089C"/>
    <w:rsid w:val="00AC0BD5"/>
    <w:rsid w:val="00AC0DB1"/>
    <w:rsid w:val="00AC0DB9"/>
    <w:rsid w:val="00AC1395"/>
    <w:rsid w:val="00AC15C9"/>
    <w:rsid w:val="00AC1BB9"/>
    <w:rsid w:val="00AC1E22"/>
    <w:rsid w:val="00AC1EA2"/>
    <w:rsid w:val="00AC213F"/>
    <w:rsid w:val="00AC228A"/>
    <w:rsid w:val="00AC2536"/>
    <w:rsid w:val="00AC26B7"/>
    <w:rsid w:val="00AC29B8"/>
    <w:rsid w:val="00AC2A33"/>
    <w:rsid w:val="00AC2C01"/>
    <w:rsid w:val="00AC2F42"/>
    <w:rsid w:val="00AC3402"/>
    <w:rsid w:val="00AC3464"/>
    <w:rsid w:val="00AC3575"/>
    <w:rsid w:val="00AC3663"/>
    <w:rsid w:val="00AC3714"/>
    <w:rsid w:val="00AC3734"/>
    <w:rsid w:val="00AC3C2E"/>
    <w:rsid w:val="00AC3F03"/>
    <w:rsid w:val="00AC41CD"/>
    <w:rsid w:val="00AC420B"/>
    <w:rsid w:val="00AC44EA"/>
    <w:rsid w:val="00AC4756"/>
    <w:rsid w:val="00AC4EED"/>
    <w:rsid w:val="00AC5257"/>
    <w:rsid w:val="00AC590E"/>
    <w:rsid w:val="00AC59F7"/>
    <w:rsid w:val="00AC59FD"/>
    <w:rsid w:val="00AC5A8E"/>
    <w:rsid w:val="00AC5AF2"/>
    <w:rsid w:val="00AC5B95"/>
    <w:rsid w:val="00AC5DFC"/>
    <w:rsid w:val="00AC5EBE"/>
    <w:rsid w:val="00AC5EE2"/>
    <w:rsid w:val="00AC5F40"/>
    <w:rsid w:val="00AC62EC"/>
    <w:rsid w:val="00AC6338"/>
    <w:rsid w:val="00AC6477"/>
    <w:rsid w:val="00AC67F7"/>
    <w:rsid w:val="00AC698C"/>
    <w:rsid w:val="00AC6C91"/>
    <w:rsid w:val="00AC6E88"/>
    <w:rsid w:val="00AC71F2"/>
    <w:rsid w:val="00AC734D"/>
    <w:rsid w:val="00AC73EA"/>
    <w:rsid w:val="00AC7400"/>
    <w:rsid w:val="00AC765A"/>
    <w:rsid w:val="00AC7794"/>
    <w:rsid w:val="00AC77B3"/>
    <w:rsid w:val="00AC77EC"/>
    <w:rsid w:val="00AC7B88"/>
    <w:rsid w:val="00AC7BFE"/>
    <w:rsid w:val="00AC7DAB"/>
    <w:rsid w:val="00AC7F58"/>
    <w:rsid w:val="00AD00B6"/>
    <w:rsid w:val="00AD01BB"/>
    <w:rsid w:val="00AD022E"/>
    <w:rsid w:val="00AD04A7"/>
    <w:rsid w:val="00AD060E"/>
    <w:rsid w:val="00AD0A92"/>
    <w:rsid w:val="00AD0E9A"/>
    <w:rsid w:val="00AD0FDA"/>
    <w:rsid w:val="00AD1167"/>
    <w:rsid w:val="00AD15E3"/>
    <w:rsid w:val="00AD1C4F"/>
    <w:rsid w:val="00AD1CF8"/>
    <w:rsid w:val="00AD1EA3"/>
    <w:rsid w:val="00AD1F5D"/>
    <w:rsid w:val="00AD22D6"/>
    <w:rsid w:val="00AD23DC"/>
    <w:rsid w:val="00AD258C"/>
    <w:rsid w:val="00AD2742"/>
    <w:rsid w:val="00AD27BF"/>
    <w:rsid w:val="00AD296D"/>
    <w:rsid w:val="00AD2DEA"/>
    <w:rsid w:val="00AD2E19"/>
    <w:rsid w:val="00AD2F0F"/>
    <w:rsid w:val="00AD2FB8"/>
    <w:rsid w:val="00AD3358"/>
    <w:rsid w:val="00AD3B40"/>
    <w:rsid w:val="00AD3E29"/>
    <w:rsid w:val="00AD42D9"/>
    <w:rsid w:val="00AD4309"/>
    <w:rsid w:val="00AD4314"/>
    <w:rsid w:val="00AD44B8"/>
    <w:rsid w:val="00AD44F8"/>
    <w:rsid w:val="00AD4A50"/>
    <w:rsid w:val="00AD53A5"/>
    <w:rsid w:val="00AD53BC"/>
    <w:rsid w:val="00AD5647"/>
    <w:rsid w:val="00AD59E8"/>
    <w:rsid w:val="00AD5CF8"/>
    <w:rsid w:val="00AD5F5C"/>
    <w:rsid w:val="00AD5F85"/>
    <w:rsid w:val="00AD62F8"/>
    <w:rsid w:val="00AD6336"/>
    <w:rsid w:val="00AD64A1"/>
    <w:rsid w:val="00AD65EF"/>
    <w:rsid w:val="00AD6894"/>
    <w:rsid w:val="00AD6B22"/>
    <w:rsid w:val="00AD6BED"/>
    <w:rsid w:val="00AD6D95"/>
    <w:rsid w:val="00AD6DE9"/>
    <w:rsid w:val="00AD6DFF"/>
    <w:rsid w:val="00AD739F"/>
    <w:rsid w:val="00AD76B2"/>
    <w:rsid w:val="00AD77F4"/>
    <w:rsid w:val="00AD78E9"/>
    <w:rsid w:val="00AD7A07"/>
    <w:rsid w:val="00AD7E95"/>
    <w:rsid w:val="00AE017B"/>
    <w:rsid w:val="00AE0928"/>
    <w:rsid w:val="00AE0B14"/>
    <w:rsid w:val="00AE0E9A"/>
    <w:rsid w:val="00AE0EC8"/>
    <w:rsid w:val="00AE0EEF"/>
    <w:rsid w:val="00AE0F72"/>
    <w:rsid w:val="00AE11A4"/>
    <w:rsid w:val="00AE1455"/>
    <w:rsid w:val="00AE1585"/>
    <w:rsid w:val="00AE15B5"/>
    <w:rsid w:val="00AE1985"/>
    <w:rsid w:val="00AE19C7"/>
    <w:rsid w:val="00AE1A5B"/>
    <w:rsid w:val="00AE1AB8"/>
    <w:rsid w:val="00AE1C8D"/>
    <w:rsid w:val="00AE1CFD"/>
    <w:rsid w:val="00AE221E"/>
    <w:rsid w:val="00AE223D"/>
    <w:rsid w:val="00AE293C"/>
    <w:rsid w:val="00AE2E10"/>
    <w:rsid w:val="00AE2F2D"/>
    <w:rsid w:val="00AE30DA"/>
    <w:rsid w:val="00AE3260"/>
    <w:rsid w:val="00AE35F6"/>
    <w:rsid w:val="00AE3A4B"/>
    <w:rsid w:val="00AE3E02"/>
    <w:rsid w:val="00AE40A8"/>
    <w:rsid w:val="00AE43C5"/>
    <w:rsid w:val="00AE4932"/>
    <w:rsid w:val="00AE49D8"/>
    <w:rsid w:val="00AE4C40"/>
    <w:rsid w:val="00AE4C88"/>
    <w:rsid w:val="00AE4E6A"/>
    <w:rsid w:val="00AE53DE"/>
    <w:rsid w:val="00AE5499"/>
    <w:rsid w:val="00AE55AA"/>
    <w:rsid w:val="00AE5ABF"/>
    <w:rsid w:val="00AE5B33"/>
    <w:rsid w:val="00AE5B59"/>
    <w:rsid w:val="00AE5D37"/>
    <w:rsid w:val="00AE5E87"/>
    <w:rsid w:val="00AE5FFE"/>
    <w:rsid w:val="00AE67A7"/>
    <w:rsid w:val="00AE67DF"/>
    <w:rsid w:val="00AE6982"/>
    <w:rsid w:val="00AE69E8"/>
    <w:rsid w:val="00AE6E5E"/>
    <w:rsid w:val="00AE7634"/>
    <w:rsid w:val="00AE77D3"/>
    <w:rsid w:val="00AF0205"/>
    <w:rsid w:val="00AF024E"/>
    <w:rsid w:val="00AF0430"/>
    <w:rsid w:val="00AF07D4"/>
    <w:rsid w:val="00AF0AFF"/>
    <w:rsid w:val="00AF0B4D"/>
    <w:rsid w:val="00AF0C86"/>
    <w:rsid w:val="00AF0E74"/>
    <w:rsid w:val="00AF107D"/>
    <w:rsid w:val="00AF1186"/>
    <w:rsid w:val="00AF18B7"/>
    <w:rsid w:val="00AF1C14"/>
    <w:rsid w:val="00AF1E0D"/>
    <w:rsid w:val="00AF1F74"/>
    <w:rsid w:val="00AF223A"/>
    <w:rsid w:val="00AF28AE"/>
    <w:rsid w:val="00AF2C9C"/>
    <w:rsid w:val="00AF2DB8"/>
    <w:rsid w:val="00AF2F7F"/>
    <w:rsid w:val="00AF31D5"/>
    <w:rsid w:val="00AF3360"/>
    <w:rsid w:val="00AF3404"/>
    <w:rsid w:val="00AF358C"/>
    <w:rsid w:val="00AF35C7"/>
    <w:rsid w:val="00AF3643"/>
    <w:rsid w:val="00AF37A1"/>
    <w:rsid w:val="00AF3B3F"/>
    <w:rsid w:val="00AF3D50"/>
    <w:rsid w:val="00AF40E8"/>
    <w:rsid w:val="00AF4169"/>
    <w:rsid w:val="00AF447E"/>
    <w:rsid w:val="00AF4681"/>
    <w:rsid w:val="00AF4799"/>
    <w:rsid w:val="00AF484F"/>
    <w:rsid w:val="00AF4AE1"/>
    <w:rsid w:val="00AF4AF5"/>
    <w:rsid w:val="00AF4BC9"/>
    <w:rsid w:val="00AF4BF0"/>
    <w:rsid w:val="00AF4DFE"/>
    <w:rsid w:val="00AF4E7F"/>
    <w:rsid w:val="00AF5390"/>
    <w:rsid w:val="00AF5D0E"/>
    <w:rsid w:val="00AF64E5"/>
    <w:rsid w:val="00AF688E"/>
    <w:rsid w:val="00AF68A2"/>
    <w:rsid w:val="00AF6989"/>
    <w:rsid w:val="00AF6BEF"/>
    <w:rsid w:val="00AF6EAF"/>
    <w:rsid w:val="00AF72A3"/>
    <w:rsid w:val="00AF7A23"/>
    <w:rsid w:val="00AF7E6E"/>
    <w:rsid w:val="00AF7EAA"/>
    <w:rsid w:val="00AF7F4C"/>
    <w:rsid w:val="00B004E3"/>
    <w:rsid w:val="00B005A0"/>
    <w:rsid w:val="00B00835"/>
    <w:rsid w:val="00B00AAE"/>
    <w:rsid w:val="00B00EC6"/>
    <w:rsid w:val="00B00F72"/>
    <w:rsid w:val="00B00FD8"/>
    <w:rsid w:val="00B00FF5"/>
    <w:rsid w:val="00B01425"/>
    <w:rsid w:val="00B01460"/>
    <w:rsid w:val="00B0150B"/>
    <w:rsid w:val="00B016D4"/>
    <w:rsid w:val="00B01A55"/>
    <w:rsid w:val="00B01CFE"/>
    <w:rsid w:val="00B01D3A"/>
    <w:rsid w:val="00B024A4"/>
    <w:rsid w:val="00B0261F"/>
    <w:rsid w:val="00B02C3F"/>
    <w:rsid w:val="00B02F3C"/>
    <w:rsid w:val="00B032AB"/>
    <w:rsid w:val="00B0364A"/>
    <w:rsid w:val="00B0385A"/>
    <w:rsid w:val="00B03BAA"/>
    <w:rsid w:val="00B03C6B"/>
    <w:rsid w:val="00B03C98"/>
    <w:rsid w:val="00B03D12"/>
    <w:rsid w:val="00B03FB3"/>
    <w:rsid w:val="00B0404C"/>
    <w:rsid w:val="00B04346"/>
    <w:rsid w:val="00B04439"/>
    <w:rsid w:val="00B04493"/>
    <w:rsid w:val="00B044D5"/>
    <w:rsid w:val="00B0458C"/>
    <w:rsid w:val="00B0460E"/>
    <w:rsid w:val="00B047C6"/>
    <w:rsid w:val="00B04889"/>
    <w:rsid w:val="00B04A9A"/>
    <w:rsid w:val="00B0512E"/>
    <w:rsid w:val="00B051A8"/>
    <w:rsid w:val="00B052CC"/>
    <w:rsid w:val="00B053D5"/>
    <w:rsid w:val="00B054DC"/>
    <w:rsid w:val="00B05A83"/>
    <w:rsid w:val="00B05ECD"/>
    <w:rsid w:val="00B061AC"/>
    <w:rsid w:val="00B06218"/>
    <w:rsid w:val="00B062E7"/>
    <w:rsid w:val="00B0661E"/>
    <w:rsid w:val="00B068A4"/>
    <w:rsid w:val="00B06D18"/>
    <w:rsid w:val="00B06D7D"/>
    <w:rsid w:val="00B0729C"/>
    <w:rsid w:val="00B074AD"/>
    <w:rsid w:val="00B07565"/>
    <w:rsid w:val="00B07705"/>
    <w:rsid w:val="00B07769"/>
    <w:rsid w:val="00B07CC2"/>
    <w:rsid w:val="00B07FFD"/>
    <w:rsid w:val="00B10658"/>
    <w:rsid w:val="00B10828"/>
    <w:rsid w:val="00B109F6"/>
    <w:rsid w:val="00B10E73"/>
    <w:rsid w:val="00B11033"/>
    <w:rsid w:val="00B11456"/>
    <w:rsid w:val="00B11524"/>
    <w:rsid w:val="00B11C9D"/>
    <w:rsid w:val="00B11DB5"/>
    <w:rsid w:val="00B1232A"/>
    <w:rsid w:val="00B12383"/>
    <w:rsid w:val="00B12518"/>
    <w:rsid w:val="00B12608"/>
    <w:rsid w:val="00B12A7B"/>
    <w:rsid w:val="00B12F04"/>
    <w:rsid w:val="00B132B8"/>
    <w:rsid w:val="00B133E4"/>
    <w:rsid w:val="00B13966"/>
    <w:rsid w:val="00B13BCA"/>
    <w:rsid w:val="00B13E93"/>
    <w:rsid w:val="00B14066"/>
    <w:rsid w:val="00B1417B"/>
    <w:rsid w:val="00B14261"/>
    <w:rsid w:val="00B142B5"/>
    <w:rsid w:val="00B14755"/>
    <w:rsid w:val="00B14A8A"/>
    <w:rsid w:val="00B14BED"/>
    <w:rsid w:val="00B14C0A"/>
    <w:rsid w:val="00B151C1"/>
    <w:rsid w:val="00B15219"/>
    <w:rsid w:val="00B15584"/>
    <w:rsid w:val="00B15A26"/>
    <w:rsid w:val="00B15E83"/>
    <w:rsid w:val="00B16249"/>
    <w:rsid w:val="00B16300"/>
    <w:rsid w:val="00B1664A"/>
    <w:rsid w:val="00B16A17"/>
    <w:rsid w:val="00B16B33"/>
    <w:rsid w:val="00B16DAD"/>
    <w:rsid w:val="00B171AE"/>
    <w:rsid w:val="00B17227"/>
    <w:rsid w:val="00B1766D"/>
    <w:rsid w:val="00B1795B"/>
    <w:rsid w:val="00B17B15"/>
    <w:rsid w:val="00B17D9A"/>
    <w:rsid w:val="00B20029"/>
    <w:rsid w:val="00B2028E"/>
    <w:rsid w:val="00B204DE"/>
    <w:rsid w:val="00B2065B"/>
    <w:rsid w:val="00B208D9"/>
    <w:rsid w:val="00B20A49"/>
    <w:rsid w:val="00B20BD0"/>
    <w:rsid w:val="00B2139F"/>
    <w:rsid w:val="00B21A2E"/>
    <w:rsid w:val="00B21AEE"/>
    <w:rsid w:val="00B21C7E"/>
    <w:rsid w:val="00B21E6A"/>
    <w:rsid w:val="00B21E76"/>
    <w:rsid w:val="00B21FC8"/>
    <w:rsid w:val="00B21FD5"/>
    <w:rsid w:val="00B2202A"/>
    <w:rsid w:val="00B220E6"/>
    <w:rsid w:val="00B22435"/>
    <w:rsid w:val="00B22676"/>
    <w:rsid w:val="00B229F2"/>
    <w:rsid w:val="00B22A03"/>
    <w:rsid w:val="00B22A0B"/>
    <w:rsid w:val="00B235DC"/>
    <w:rsid w:val="00B2362F"/>
    <w:rsid w:val="00B23A44"/>
    <w:rsid w:val="00B23BE1"/>
    <w:rsid w:val="00B23F41"/>
    <w:rsid w:val="00B24324"/>
    <w:rsid w:val="00B244A4"/>
    <w:rsid w:val="00B24ABF"/>
    <w:rsid w:val="00B24B4C"/>
    <w:rsid w:val="00B24CD3"/>
    <w:rsid w:val="00B24E22"/>
    <w:rsid w:val="00B25004"/>
    <w:rsid w:val="00B255A4"/>
    <w:rsid w:val="00B2583C"/>
    <w:rsid w:val="00B258F4"/>
    <w:rsid w:val="00B25A5B"/>
    <w:rsid w:val="00B25C0C"/>
    <w:rsid w:val="00B25CE4"/>
    <w:rsid w:val="00B26129"/>
    <w:rsid w:val="00B26476"/>
    <w:rsid w:val="00B264F5"/>
    <w:rsid w:val="00B26514"/>
    <w:rsid w:val="00B26681"/>
    <w:rsid w:val="00B26760"/>
    <w:rsid w:val="00B267EF"/>
    <w:rsid w:val="00B26870"/>
    <w:rsid w:val="00B26EBF"/>
    <w:rsid w:val="00B2760C"/>
    <w:rsid w:val="00B27742"/>
    <w:rsid w:val="00B277BC"/>
    <w:rsid w:val="00B30092"/>
    <w:rsid w:val="00B30143"/>
    <w:rsid w:val="00B304DB"/>
    <w:rsid w:val="00B306B4"/>
    <w:rsid w:val="00B309DC"/>
    <w:rsid w:val="00B30C2A"/>
    <w:rsid w:val="00B3108F"/>
    <w:rsid w:val="00B313E5"/>
    <w:rsid w:val="00B31432"/>
    <w:rsid w:val="00B31B99"/>
    <w:rsid w:val="00B31CC4"/>
    <w:rsid w:val="00B326B4"/>
    <w:rsid w:val="00B3284C"/>
    <w:rsid w:val="00B3305B"/>
    <w:rsid w:val="00B331BB"/>
    <w:rsid w:val="00B332F5"/>
    <w:rsid w:val="00B334B4"/>
    <w:rsid w:val="00B334EB"/>
    <w:rsid w:val="00B33A59"/>
    <w:rsid w:val="00B33BB7"/>
    <w:rsid w:val="00B33DAD"/>
    <w:rsid w:val="00B342D2"/>
    <w:rsid w:val="00B342FA"/>
    <w:rsid w:val="00B343FD"/>
    <w:rsid w:val="00B344A6"/>
    <w:rsid w:val="00B34532"/>
    <w:rsid w:val="00B347E8"/>
    <w:rsid w:val="00B34A38"/>
    <w:rsid w:val="00B34C8B"/>
    <w:rsid w:val="00B34F4F"/>
    <w:rsid w:val="00B34F98"/>
    <w:rsid w:val="00B354C2"/>
    <w:rsid w:val="00B35837"/>
    <w:rsid w:val="00B358BB"/>
    <w:rsid w:val="00B35C66"/>
    <w:rsid w:val="00B35DFC"/>
    <w:rsid w:val="00B35EC0"/>
    <w:rsid w:val="00B35EEE"/>
    <w:rsid w:val="00B36228"/>
    <w:rsid w:val="00B365AC"/>
    <w:rsid w:val="00B3666A"/>
    <w:rsid w:val="00B36D69"/>
    <w:rsid w:val="00B36DEA"/>
    <w:rsid w:val="00B36E92"/>
    <w:rsid w:val="00B37569"/>
    <w:rsid w:val="00B378C3"/>
    <w:rsid w:val="00B37A0D"/>
    <w:rsid w:val="00B37F5D"/>
    <w:rsid w:val="00B40271"/>
    <w:rsid w:val="00B40344"/>
    <w:rsid w:val="00B403A6"/>
    <w:rsid w:val="00B40497"/>
    <w:rsid w:val="00B40619"/>
    <w:rsid w:val="00B407A5"/>
    <w:rsid w:val="00B40A45"/>
    <w:rsid w:val="00B40A6A"/>
    <w:rsid w:val="00B40A9C"/>
    <w:rsid w:val="00B40CD2"/>
    <w:rsid w:val="00B40FCD"/>
    <w:rsid w:val="00B41410"/>
    <w:rsid w:val="00B41654"/>
    <w:rsid w:val="00B417FC"/>
    <w:rsid w:val="00B41CAF"/>
    <w:rsid w:val="00B41E6C"/>
    <w:rsid w:val="00B41FE6"/>
    <w:rsid w:val="00B42074"/>
    <w:rsid w:val="00B4217F"/>
    <w:rsid w:val="00B42589"/>
    <w:rsid w:val="00B4264A"/>
    <w:rsid w:val="00B426F4"/>
    <w:rsid w:val="00B4270A"/>
    <w:rsid w:val="00B42AA3"/>
    <w:rsid w:val="00B42B77"/>
    <w:rsid w:val="00B43217"/>
    <w:rsid w:val="00B43275"/>
    <w:rsid w:val="00B4391A"/>
    <w:rsid w:val="00B43AB3"/>
    <w:rsid w:val="00B43C24"/>
    <w:rsid w:val="00B44039"/>
    <w:rsid w:val="00B44056"/>
    <w:rsid w:val="00B440BB"/>
    <w:rsid w:val="00B44169"/>
    <w:rsid w:val="00B449CB"/>
    <w:rsid w:val="00B44A47"/>
    <w:rsid w:val="00B44E7C"/>
    <w:rsid w:val="00B44EC7"/>
    <w:rsid w:val="00B45178"/>
    <w:rsid w:val="00B4519F"/>
    <w:rsid w:val="00B4553D"/>
    <w:rsid w:val="00B457B8"/>
    <w:rsid w:val="00B45D6C"/>
    <w:rsid w:val="00B45D7B"/>
    <w:rsid w:val="00B45E3E"/>
    <w:rsid w:val="00B46285"/>
    <w:rsid w:val="00B464B1"/>
    <w:rsid w:val="00B469F2"/>
    <w:rsid w:val="00B46C00"/>
    <w:rsid w:val="00B46D81"/>
    <w:rsid w:val="00B46F77"/>
    <w:rsid w:val="00B470FE"/>
    <w:rsid w:val="00B4725F"/>
    <w:rsid w:val="00B4727B"/>
    <w:rsid w:val="00B472A7"/>
    <w:rsid w:val="00B472AF"/>
    <w:rsid w:val="00B47306"/>
    <w:rsid w:val="00B477F4"/>
    <w:rsid w:val="00B47891"/>
    <w:rsid w:val="00B47DD3"/>
    <w:rsid w:val="00B47E2D"/>
    <w:rsid w:val="00B501CE"/>
    <w:rsid w:val="00B507DD"/>
    <w:rsid w:val="00B50FBB"/>
    <w:rsid w:val="00B50FDB"/>
    <w:rsid w:val="00B51154"/>
    <w:rsid w:val="00B51974"/>
    <w:rsid w:val="00B51BAC"/>
    <w:rsid w:val="00B51C61"/>
    <w:rsid w:val="00B51CC2"/>
    <w:rsid w:val="00B51E41"/>
    <w:rsid w:val="00B51F00"/>
    <w:rsid w:val="00B526AE"/>
    <w:rsid w:val="00B5270C"/>
    <w:rsid w:val="00B52813"/>
    <w:rsid w:val="00B52CC7"/>
    <w:rsid w:val="00B52D40"/>
    <w:rsid w:val="00B52D8C"/>
    <w:rsid w:val="00B52F76"/>
    <w:rsid w:val="00B531D9"/>
    <w:rsid w:val="00B5393A"/>
    <w:rsid w:val="00B5394B"/>
    <w:rsid w:val="00B53969"/>
    <w:rsid w:val="00B53D5B"/>
    <w:rsid w:val="00B53D85"/>
    <w:rsid w:val="00B53E98"/>
    <w:rsid w:val="00B54050"/>
    <w:rsid w:val="00B54244"/>
    <w:rsid w:val="00B54A56"/>
    <w:rsid w:val="00B54D27"/>
    <w:rsid w:val="00B54FB2"/>
    <w:rsid w:val="00B550A9"/>
    <w:rsid w:val="00B551FD"/>
    <w:rsid w:val="00B553D1"/>
    <w:rsid w:val="00B55937"/>
    <w:rsid w:val="00B55982"/>
    <w:rsid w:val="00B55A2B"/>
    <w:rsid w:val="00B55AA3"/>
    <w:rsid w:val="00B55DFA"/>
    <w:rsid w:val="00B55EA0"/>
    <w:rsid w:val="00B561C7"/>
    <w:rsid w:val="00B565FA"/>
    <w:rsid w:val="00B56627"/>
    <w:rsid w:val="00B566F7"/>
    <w:rsid w:val="00B56AA1"/>
    <w:rsid w:val="00B56F99"/>
    <w:rsid w:val="00B5729B"/>
    <w:rsid w:val="00B57786"/>
    <w:rsid w:val="00B602ED"/>
    <w:rsid w:val="00B6034F"/>
    <w:rsid w:val="00B60541"/>
    <w:rsid w:val="00B605B6"/>
    <w:rsid w:val="00B60FA3"/>
    <w:rsid w:val="00B61445"/>
    <w:rsid w:val="00B619B1"/>
    <w:rsid w:val="00B61AC4"/>
    <w:rsid w:val="00B6267E"/>
    <w:rsid w:val="00B62C50"/>
    <w:rsid w:val="00B62E18"/>
    <w:rsid w:val="00B6325C"/>
    <w:rsid w:val="00B632E4"/>
    <w:rsid w:val="00B63687"/>
    <w:rsid w:val="00B6372D"/>
    <w:rsid w:val="00B63B50"/>
    <w:rsid w:val="00B63E1A"/>
    <w:rsid w:val="00B64431"/>
    <w:rsid w:val="00B64549"/>
    <w:rsid w:val="00B64736"/>
    <w:rsid w:val="00B653B6"/>
    <w:rsid w:val="00B6583F"/>
    <w:rsid w:val="00B6597E"/>
    <w:rsid w:val="00B65A41"/>
    <w:rsid w:val="00B65C90"/>
    <w:rsid w:val="00B662C9"/>
    <w:rsid w:val="00B665FB"/>
    <w:rsid w:val="00B6661F"/>
    <w:rsid w:val="00B6669E"/>
    <w:rsid w:val="00B66710"/>
    <w:rsid w:val="00B66836"/>
    <w:rsid w:val="00B6699D"/>
    <w:rsid w:val="00B66FAA"/>
    <w:rsid w:val="00B670C4"/>
    <w:rsid w:val="00B67262"/>
    <w:rsid w:val="00B675C3"/>
    <w:rsid w:val="00B677B5"/>
    <w:rsid w:val="00B679B1"/>
    <w:rsid w:val="00B67A1E"/>
    <w:rsid w:val="00B67A77"/>
    <w:rsid w:val="00B67CCB"/>
    <w:rsid w:val="00B70146"/>
    <w:rsid w:val="00B701FE"/>
    <w:rsid w:val="00B7026C"/>
    <w:rsid w:val="00B7029D"/>
    <w:rsid w:val="00B707F3"/>
    <w:rsid w:val="00B70950"/>
    <w:rsid w:val="00B70F97"/>
    <w:rsid w:val="00B7114F"/>
    <w:rsid w:val="00B713CF"/>
    <w:rsid w:val="00B71561"/>
    <w:rsid w:val="00B71A7F"/>
    <w:rsid w:val="00B72057"/>
    <w:rsid w:val="00B728DE"/>
    <w:rsid w:val="00B72A62"/>
    <w:rsid w:val="00B72A75"/>
    <w:rsid w:val="00B72DE4"/>
    <w:rsid w:val="00B72FEC"/>
    <w:rsid w:val="00B73382"/>
    <w:rsid w:val="00B74508"/>
    <w:rsid w:val="00B74BBD"/>
    <w:rsid w:val="00B74E5F"/>
    <w:rsid w:val="00B75168"/>
    <w:rsid w:val="00B754AF"/>
    <w:rsid w:val="00B75714"/>
    <w:rsid w:val="00B7573F"/>
    <w:rsid w:val="00B7575A"/>
    <w:rsid w:val="00B7587D"/>
    <w:rsid w:val="00B75A46"/>
    <w:rsid w:val="00B75AA0"/>
    <w:rsid w:val="00B75B6E"/>
    <w:rsid w:val="00B75BB4"/>
    <w:rsid w:val="00B75D8E"/>
    <w:rsid w:val="00B76058"/>
    <w:rsid w:val="00B7634B"/>
    <w:rsid w:val="00B76398"/>
    <w:rsid w:val="00B76657"/>
    <w:rsid w:val="00B766EC"/>
    <w:rsid w:val="00B768E7"/>
    <w:rsid w:val="00B77165"/>
    <w:rsid w:val="00B77177"/>
    <w:rsid w:val="00B77423"/>
    <w:rsid w:val="00B77675"/>
    <w:rsid w:val="00B776E0"/>
    <w:rsid w:val="00B7775E"/>
    <w:rsid w:val="00B778BE"/>
    <w:rsid w:val="00B8007E"/>
    <w:rsid w:val="00B8011D"/>
    <w:rsid w:val="00B80483"/>
    <w:rsid w:val="00B80790"/>
    <w:rsid w:val="00B8090C"/>
    <w:rsid w:val="00B80B34"/>
    <w:rsid w:val="00B8107D"/>
    <w:rsid w:val="00B815CB"/>
    <w:rsid w:val="00B81608"/>
    <w:rsid w:val="00B81975"/>
    <w:rsid w:val="00B81AE2"/>
    <w:rsid w:val="00B81B56"/>
    <w:rsid w:val="00B81B91"/>
    <w:rsid w:val="00B81CA6"/>
    <w:rsid w:val="00B81FBF"/>
    <w:rsid w:val="00B822F4"/>
    <w:rsid w:val="00B826C7"/>
    <w:rsid w:val="00B82ADE"/>
    <w:rsid w:val="00B82C35"/>
    <w:rsid w:val="00B82E30"/>
    <w:rsid w:val="00B82EFB"/>
    <w:rsid w:val="00B83014"/>
    <w:rsid w:val="00B83227"/>
    <w:rsid w:val="00B83323"/>
    <w:rsid w:val="00B8370C"/>
    <w:rsid w:val="00B83BDE"/>
    <w:rsid w:val="00B83D02"/>
    <w:rsid w:val="00B83E8B"/>
    <w:rsid w:val="00B83F39"/>
    <w:rsid w:val="00B84331"/>
    <w:rsid w:val="00B845B7"/>
    <w:rsid w:val="00B8476B"/>
    <w:rsid w:val="00B84837"/>
    <w:rsid w:val="00B84931"/>
    <w:rsid w:val="00B84DFE"/>
    <w:rsid w:val="00B85236"/>
    <w:rsid w:val="00B85361"/>
    <w:rsid w:val="00B85413"/>
    <w:rsid w:val="00B85758"/>
    <w:rsid w:val="00B857D7"/>
    <w:rsid w:val="00B858B8"/>
    <w:rsid w:val="00B86567"/>
    <w:rsid w:val="00B86579"/>
    <w:rsid w:val="00B866F2"/>
    <w:rsid w:val="00B868C8"/>
    <w:rsid w:val="00B86C8C"/>
    <w:rsid w:val="00B86CEB"/>
    <w:rsid w:val="00B870C8"/>
    <w:rsid w:val="00B87228"/>
    <w:rsid w:val="00B87243"/>
    <w:rsid w:val="00B87382"/>
    <w:rsid w:val="00B8762A"/>
    <w:rsid w:val="00B87F46"/>
    <w:rsid w:val="00B900EF"/>
    <w:rsid w:val="00B90286"/>
    <w:rsid w:val="00B904D3"/>
    <w:rsid w:val="00B904FA"/>
    <w:rsid w:val="00B90883"/>
    <w:rsid w:val="00B90C2F"/>
    <w:rsid w:val="00B918DB"/>
    <w:rsid w:val="00B9212E"/>
    <w:rsid w:val="00B92272"/>
    <w:rsid w:val="00B92872"/>
    <w:rsid w:val="00B9292F"/>
    <w:rsid w:val="00B929E2"/>
    <w:rsid w:val="00B92CE4"/>
    <w:rsid w:val="00B93177"/>
    <w:rsid w:val="00B9353D"/>
    <w:rsid w:val="00B937DD"/>
    <w:rsid w:val="00B93C80"/>
    <w:rsid w:val="00B93EBE"/>
    <w:rsid w:val="00B93F75"/>
    <w:rsid w:val="00B93F87"/>
    <w:rsid w:val="00B94593"/>
    <w:rsid w:val="00B945D6"/>
    <w:rsid w:val="00B947A3"/>
    <w:rsid w:val="00B94937"/>
    <w:rsid w:val="00B949E4"/>
    <w:rsid w:val="00B94C2B"/>
    <w:rsid w:val="00B94DE2"/>
    <w:rsid w:val="00B95030"/>
    <w:rsid w:val="00B953D2"/>
    <w:rsid w:val="00B95650"/>
    <w:rsid w:val="00B95C13"/>
    <w:rsid w:val="00B95E3D"/>
    <w:rsid w:val="00B9625A"/>
    <w:rsid w:val="00B9658B"/>
    <w:rsid w:val="00B968DC"/>
    <w:rsid w:val="00B96ECF"/>
    <w:rsid w:val="00B9716A"/>
    <w:rsid w:val="00B972AA"/>
    <w:rsid w:val="00B9749E"/>
    <w:rsid w:val="00B97510"/>
    <w:rsid w:val="00B9778B"/>
    <w:rsid w:val="00BA0520"/>
    <w:rsid w:val="00BA0676"/>
    <w:rsid w:val="00BA06C6"/>
    <w:rsid w:val="00BA15EF"/>
    <w:rsid w:val="00BA1B1E"/>
    <w:rsid w:val="00BA1BEF"/>
    <w:rsid w:val="00BA1E55"/>
    <w:rsid w:val="00BA21B1"/>
    <w:rsid w:val="00BA2339"/>
    <w:rsid w:val="00BA284A"/>
    <w:rsid w:val="00BA30A8"/>
    <w:rsid w:val="00BA3C82"/>
    <w:rsid w:val="00BA3D8E"/>
    <w:rsid w:val="00BA40AF"/>
    <w:rsid w:val="00BA429D"/>
    <w:rsid w:val="00BA44FF"/>
    <w:rsid w:val="00BA4603"/>
    <w:rsid w:val="00BA4BE9"/>
    <w:rsid w:val="00BA4D68"/>
    <w:rsid w:val="00BA4DD7"/>
    <w:rsid w:val="00BA525F"/>
    <w:rsid w:val="00BA5C77"/>
    <w:rsid w:val="00BA5C90"/>
    <w:rsid w:val="00BA5E06"/>
    <w:rsid w:val="00BA61ED"/>
    <w:rsid w:val="00BA69B2"/>
    <w:rsid w:val="00BA6B57"/>
    <w:rsid w:val="00BA6B9C"/>
    <w:rsid w:val="00BA6DBE"/>
    <w:rsid w:val="00BA6E35"/>
    <w:rsid w:val="00BA6F1C"/>
    <w:rsid w:val="00BA70D9"/>
    <w:rsid w:val="00BA71C1"/>
    <w:rsid w:val="00BA71F1"/>
    <w:rsid w:val="00BA71FE"/>
    <w:rsid w:val="00BA74AA"/>
    <w:rsid w:val="00BA775C"/>
    <w:rsid w:val="00BA7770"/>
    <w:rsid w:val="00BA7C63"/>
    <w:rsid w:val="00BA7E00"/>
    <w:rsid w:val="00BB0048"/>
    <w:rsid w:val="00BB019B"/>
    <w:rsid w:val="00BB0424"/>
    <w:rsid w:val="00BB0904"/>
    <w:rsid w:val="00BB0977"/>
    <w:rsid w:val="00BB0BC8"/>
    <w:rsid w:val="00BB0E4A"/>
    <w:rsid w:val="00BB156C"/>
    <w:rsid w:val="00BB19AE"/>
    <w:rsid w:val="00BB20D2"/>
    <w:rsid w:val="00BB257D"/>
    <w:rsid w:val="00BB269F"/>
    <w:rsid w:val="00BB2CF2"/>
    <w:rsid w:val="00BB306C"/>
    <w:rsid w:val="00BB31C2"/>
    <w:rsid w:val="00BB36F7"/>
    <w:rsid w:val="00BB38AF"/>
    <w:rsid w:val="00BB3AA2"/>
    <w:rsid w:val="00BB3CF9"/>
    <w:rsid w:val="00BB4623"/>
    <w:rsid w:val="00BB4632"/>
    <w:rsid w:val="00BB4810"/>
    <w:rsid w:val="00BB48CD"/>
    <w:rsid w:val="00BB501A"/>
    <w:rsid w:val="00BB50BD"/>
    <w:rsid w:val="00BB50ED"/>
    <w:rsid w:val="00BB5207"/>
    <w:rsid w:val="00BB55D8"/>
    <w:rsid w:val="00BB57CB"/>
    <w:rsid w:val="00BB5D39"/>
    <w:rsid w:val="00BB5E8B"/>
    <w:rsid w:val="00BB6151"/>
    <w:rsid w:val="00BB63E5"/>
    <w:rsid w:val="00BB64F6"/>
    <w:rsid w:val="00BB6522"/>
    <w:rsid w:val="00BB6728"/>
    <w:rsid w:val="00BB6F5C"/>
    <w:rsid w:val="00BB7752"/>
    <w:rsid w:val="00BB7867"/>
    <w:rsid w:val="00BB7F0E"/>
    <w:rsid w:val="00BB7FDF"/>
    <w:rsid w:val="00BC0187"/>
    <w:rsid w:val="00BC0341"/>
    <w:rsid w:val="00BC0655"/>
    <w:rsid w:val="00BC0686"/>
    <w:rsid w:val="00BC07DD"/>
    <w:rsid w:val="00BC080C"/>
    <w:rsid w:val="00BC0A4E"/>
    <w:rsid w:val="00BC0BC5"/>
    <w:rsid w:val="00BC0D70"/>
    <w:rsid w:val="00BC0EA4"/>
    <w:rsid w:val="00BC1473"/>
    <w:rsid w:val="00BC15E1"/>
    <w:rsid w:val="00BC176B"/>
    <w:rsid w:val="00BC17C0"/>
    <w:rsid w:val="00BC180D"/>
    <w:rsid w:val="00BC1BD6"/>
    <w:rsid w:val="00BC1BF4"/>
    <w:rsid w:val="00BC1EC8"/>
    <w:rsid w:val="00BC2054"/>
    <w:rsid w:val="00BC21C2"/>
    <w:rsid w:val="00BC2C59"/>
    <w:rsid w:val="00BC2C8C"/>
    <w:rsid w:val="00BC2DE2"/>
    <w:rsid w:val="00BC2EC7"/>
    <w:rsid w:val="00BC3156"/>
    <w:rsid w:val="00BC31D2"/>
    <w:rsid w:val="00BC33C8"/>
    <w:rsid w:val="00BC3480"/>
    <w:rsid w:val="00BC3763"/>
    <w:rsid w:val="00BC38C2"/>
    <w:rsid w:val="00BC3E01"/>
    <w:rsid w:val="00BC3F58"/>
    <w:rsid w:val="00BC46FB"/>
    <w:rsid w:val="00BC4734"/>
    <w:rsid w:val="00BC4C29"/>
    <w:rsid w:val="00BC4ECB"/>
    <w:rsid w:val="00BC4FC6"/>
    <w:rsid w:val="00BC5139"/>
    <w:rsid w:val="00BC5311"/>
    <w:rsid w:val="00BC55D4"/>
    <w:rsid w:val="00BC566F"/>
    <w:rsid w:val="00BC57D7"/>
    <w:rsid w:val="00BC5A4D"/>
    <w:rsid w:val="00BC5E3F"/>
    <w:rsid w:val="00BC5F88"/>
    <w:rsid w:val="00BC6247"/>
    <w:rsid w:val="00BC6B1E"/>
    <w:rsid w:val="00BC6F5B"/>
    <w:rsid w:val="00BC720B"/>
    <w:rsid w:val="00BC72F2"/>
    <w:rsid w:val="00BC7330"/>
    <w:rsid w:val="00BC7333"/>
    <w:rsid w:val="00BC74EE"/>
    <w:rsid w:val="00BC7A47"/>
    <w:rsid w:val="00BD0410"/>
    <w:rsid w:val="00BD04E4"/>
    <w:rsid w:val="00BD0546"/>
    <w:rsid w:val="00BD0941"/>
    <w:rsid w:val="00BD0AE9"/>
    <w:rsid w:val="00BD1396"/>
    <w:rsid w:val="00BD15C6"/>
    <w:rsid w:val="00BD1686"/>
    <w:rsid w:val="00BD182E"/>
    <w:rsid w:val="00BD19E2"/>
    <w:rsid w:val="00BD1E5C"/>
    <w:rsid w:val="00BD1FCF"/>
    <w:rsid w:val="00BD23D0"/>
    <w:rsid w:val="00BD2809"/>
    <w:rsid w:val="00BD29B5"/>
    <w:rsid w:val="00BD2A23"/>
    <w:rsid w:val="00BD2B05"/>
    <w:rsid w:val="00BD2E1E"/>
    <w:rsid w:val="00BD2E59"/>
    <w:rsid w:val="00BD30FE"/>
    <w:rsid w:val="00BD3C8F"/>
    <w:rsid w:val="00BD3CC6"/>
    <w:rsid w:val="00BD4160"/>
    <w:rsid w:val="00BD44CF"/>
    <w:rsid w:val="00BD47ED"/>
    <w:rsid w:val="00BD49EF"/>
    <w:rsid w:val="00BD4B05"/>
    <w:rsid w:val="00BD4C1F"/>
    <w:rsid w:val="00BD4E2E"/>
    <w:rsid w:val="00BD53E5"/>
    <w:rsid w:val="00BD5869"/>
    <w:rsid w:val="00BD5CB1"/>
    <w:rsid w:val="00BD60B6"/>
    <w:rsid w:val="00BD694B"/>
    <w:rsid w:val="00BD6CB9"/>
    <w:rsid w:val="00BD6CDD"/>
    <w:rsid w:val="00BD6D17"/>
    <w:rsid w:val="00BD6E7B"/>
    <w:rsid w:val="00BD7171"/>
    <w:rsid w:val="00BD7287"/>
    <w:rsid w:val="00BD7355"/>
    <w:rsid w:val="00BD741F"/>
    <w:rsid w:val="00BD75B3"/>
    <w:rsid w:val="00BD76A6"/>
    <w:rsid w:val="00BD7BA7"/>
    <w:rsid w:val="00BD7EEF"/>
    <w:rsid w:val="00BD7F2F"/>
    <w:rsid w:val="00BE05C9"/>
    <w:rsid w:val="00BE0794"/>
    <w:rsid w:val="00BE079C"/>
    <w:rsid w:val="00BE07A3"/>
    <w:rsid w:val="00BE085A"/>
    <w:rsid w:val="00BE08FF"/>
    <w:rsid w:val="00BE0902"/>
    <w:rsid w:val="00BE0EDE"/>
    <w:rsid w:val="00BE0F0D"/>
    <w:rsid w:val="00BE11EE"/>
    <w:rsid w:val="00BE1575"/>
    <w:rsid w:val="00BE17AA"/>
    <w:rsid w:val="00BE1987"/>
    <w:rsid w:val="00BE1D24"/>
    <w:rsid w:val="00BE1DB9"/>
    <w:rsid w:val="00BE1EAB"/>
    <w:rsid w:val="00BE23CC"/>
    <w:rsid w:val="00BE24BF"/>
    <w:rsid w:val="00BE2520"/>
    <w:rsid w:val="00BE2AB3"/>
    <w:rsid w:val="00BE2ACF"/>
    <w:rsid w:val="00BE2C10"/>
    <w:rsid w:val="00BE2CCF"/>
    <w:rsid w:val="00BE2EDC"/>
    <w:rsid w:val="00BE2EEF"/>
    <w:rsid w:val="00BE31AD"/>
    <w:rsid w:val="00BE3594"/>
    <w:rsid w:val="00BE3BC6"/>
    <w:rsid w:val="00BE3BC7"/>
    <w:rsid w:val="00BE4213"/>
    <w:rsid w:val="00BE42EA"/>
    <w:rsid w:val="00BE44E4"/>
    <w:rsid w:val="00BE498D"/>
    <w:rsid w:val="00BE4B75"/>
    <w:rsid w:val="00BE4C25"/>
    <w:rsid w:val="00BE4D85"/>
    <w:rsid w:val="00BE4EE3"/>
    <w:rsid w:val="00BE4F5C"/>
    <w:rsid w:val="00BE519C"/>
    <w:rsid w:val="00BE54D1"/>
    <w:rsid w:val="00BE5580"/>
    <w:rsid w:val="00BE5BDF"/>
    <w:rsid w:val="00BE5C00"/>
    <w:rsid w:val="00BE5E3E"/>
    <w:rsid w:val="00BE616D"/>
    <w:rsid w:val="00BE6314"/>
    <w:rsid w:val="00BE6360"/>
    <w:rsid w:val="00BE6503"/>
    <w:rsid w:val="00BE695D"/>
    <w:rsid w:val="00BE6B43"/>
    <w:rsid w:val="00BE6BD7"/>
    <w:rsid w:val="00BE6F27"/>
    <w:rsid w:val="00BE727F"/>
    <w:rsid w:val="00BE7A85"/>
    <w:rsid w:val="00BE7B91"/>
    <w:rsid w:val="00BE7D1C"/>
    <w:rsid w:val="00BF003C"/>
    <w:rsid w:val="00BF0185"/>
    <w:rsid w:val="00BF08D5"/>
    <w:rsid w:val="00BF0A94"/>
    <w:rsid w:val="00BF1B6C"/>
    <w:rsid w:val="00BF1C53"/>
    <w:rsid w:val="00BF1D2D"/>
    <w:rsid w:val="00BF1F12"/>
    <w:rsid w:val="00BF21A4"/>
    <w:rsid w:val="00BF23EB"/>
    <w:rsid w:val="00BF2630"/>
    <w:rsid w:val="00BF29C1"/>
    <w:rsid w:val="00BF2CB1"/>
    <w:rsid w:val="00BF2EC8"/>
    <w:rsid w:val="00BF331A"/>
    <w:rsid w:val="00BF3755"/>
    <w:rsid w:val="00BF3775"/>
    <w:rsid w:val="00BF38A4"/>
    <w:rsid w:val="00BF3981"/>
    <w:rsid w:val="00BF3BC3"/>
    <w:rsid w:val="00BF3EA3"/>
    <w:rsid w:val="00BF40F0"/>
    <w:rsid w:val="00BF4322"/>
    <w:rsid w:val="00BF4445"/>
    <w:rsid w:val="00BF44C8"/>
    <w:rsid w:val="00BF4597"/>
    <w:rsid w:val="00BF45F0"/>
    <w:rsid w:val="00BF4C7A"/>
    <w:rsid w:val="00BF4CFB"/>
    <w:rsid w:val="00BF4DD6"/>
    <w:rsid w:val="00BF4F59"/>
    <w:rsid w:val="00BF51F0"/>
    <w:rsid w:val="00BF54E3"/>
    <w:rsid w:val="00BF58ED"/>
    <w:rsid w:val="00BF597C"/>
    <w:rsid w:val="00BF5EA8"/>
    <w:rsid w:val="00BF5F76"/>
    <w:rsid w:val="00BF62CB"/>
    <w:rsid w:val="00BF6936"/>
    <w:rsid w:val="00BF6D71"/>
    <w:rsid w:val="00BF7064"/>
    <w:rsid w:val="00BF73ED"/>
    <w:rsid w:val="00BF74CF"/>
    <w:rsid w:val="00BF753E"/>
    <w:rsid w:val="00BF7802"/>
    <w:rsid w:val="00BF7BB8"/>
    <w:rsid w:val="00BF7CF0"/>
    <w:rsid w:val="00BF7D23"/>
    <w:rsid w:val="00C004AA"/>
    <w:rsid w:val="00C0070B"/>
    <w:rsid w:val="00C00872"/>
    <w:rsid w:val="00C0091B"/>
    <w:rsid w:val="00C009D6"/>
    <w:rsid w:val="00C00D21"/>
    <w:rsid w:val="00C00EE1"/>
    <w:rsid w:val="00C01011"/>
    <w:rsid w:val="00C0108C"/>
    <w:rsid w:val="00C010BB"/>
    <w:rsid w:val="00C0120B"/>
    <w:rsid w:val="00C012D5"/>
    <w:rsid w:val="00C01394"/>
    <w:rsid w:val="00C016D6"/>
    <w:rsid w:val="00C01976"/>
    <w:rsid w:val="00C01AB5"/>
    <w:rsid w:val="00C01FA7"/>
    <w:rsid w:val="00C02022"/>
    <w:rsid w:val="00C022B6"/>
    <w:rsid w:val="00C0240C"/>
    <w:rsid w:val="00C02822"/>
    <w:rsid w:val="00C029CA"/>
    <w:rsid w:val="00C02A7D"/>
    <w:rsid w:val="00C02BDC"/>
    <w:rsid w:val="00C02BF0"/>
    <w:rsid w:val="00C02D03"/>
    <w:rsid w:val="00C02D81"/>
    <w:rsid w:val="00C02DB9"/>
    <w:rsid w:val="00C02F11"/>
    <w:rsid w:val="00C0339E"/>
    <w:rsid w:val="00C0370F"/>
    <w:rsid w:val="00C0399D"/>
    <w:rsid w:val="00C03A98"/>
    <w:rsid w:val="00C03EBA"/>
    <w:rsid w:val="00C03ED4"/>
    <w:rsid w:val="00C040BB"/>
    <w:rsid w:val="00C0414F"/>
    <w:rsid w:val="00C0447E"/>
    <w:rsid w:val="00C04526"/>
    <w:rsid w:val="00C046E0"/>
    <w:rsid w:val="00C0479D"/>
    <w:rsid w:val="00C04B3E"/>
    <w:rsid w:val="00C04BF1"/>
    <w:rsid w:val="00C051EE"/>
    <w:rsid w:val="00C05343"/>
    <w:rsid w:val="00C05371"/>
    <w:rsid w:val="00C0547B"/>
    <w:rsid w:val="00C0577D"/>
    <w:rsid w:val="00C05BE9"/>
    <w:rsid w:val="00C05DEB"/>
    <w:rsid w:val="00C06005"/>
    <w:rsid w:val="00C0639B"/>
    <w:rsid w:val="00C067DB"/>
    <w:rsid w:val="00C067F3"/>
    <w:rsid w:val="00C06F71"/>
    <w:rsid w:val="00C07005"/>
    <w:rsid w:val="00C0746C"/>
    <w:rsid w:val="00C077B7"/>
    <w:rsid w:val="00C07D3A"/>
    <w:rsid w:val="00C07F9E"/>
    <w:rsid w:val="00C10090"/>
    <w:rsid w:val="00C10242"/>
    <w:rsid w:val="00C10275"/>
    <w:rsid w:val="00C103B4"/>
    <w:rsid w:val="00C104C5"/>
    <w:rsid w:val="00C1064C"/>
    <w:rsid w:val="00C10694"/>
    <w:rsid w:val="00C1084C"/>
    <w:rsid w:val="00C109AE"/>
    <w:rsid w:val="00C10A53"/>
    <w:rsid w:val="00C10F5E"/>
    <w:rsid w:val="00C11009"/>
    <w:rsid w:val="00C111F3"/>
    <w:rsid w:val="00C11212"/>
    <w:rsid w:val="00C114CF"/>
    <w:rsid w:val="00C115CE"/>
    <w:rsid w:val="00C11679"/>
    <w:rsid w:val="00C11E2B"/>
    <w:rsid w:val="00C11F61"/>
    <w:rsid w:val="00C1272C"/>
    <w:rsid w:val="00C12878"/>
    <w:rsid w:val="00C13000"/>
    <w:rsid w:val="00C13167"/>
    <w:rsid w:val="00C13314"/>
    <w:rsid w:val="00C1351F"/>
    <w:rsid w:val="00C13767"/>
    <w:rsid w:val="00C137FD"/>
    <w:rsid w:val="00C13C3D"/>
    <w:rsid w:val="00C13D8B"/>
    <w:rsid w:val="00C13DE4"/>
    <w:rsid w:val="00C13E24"/>
    <w:rsid w:val="00C13F98"/>
    <w:rsid w:val="00C14161"/>
    <w:rsid w:val="00C142A1"/>
    <w:rsid w:val="00C1457A"/>
    <w:rsid w:val="00C145DA"/>
    <w:rsid w:val="00C14658"/>
    <w:rsid w:val="00C14880"/>
    <w:rsid w:val="00C14C5C"/>
    <w:rsid w:val="00C150EE"/>
    <w:rsid w:val="00C152B5"/>
    <w:rsid w:val="00C155C7"/>
    <w:rsid w:val="00C156F2"/>
    <w:rsid w:val="00C15785"/>
    <w:rsid w:val="00C159AE"/>
    <w:rsid w:val="00C15A16"/>
    <w:rsid w:val="00C15BAE"/>
    <w:rsid w:val="00C165A1"/>
    <w:rsid w:val="00C168E8"/>
    <w:rsid w:val="00C179C4"/>
    <w:rsid w:val="00C17CAD"/>
    <w:rsid w:val="00C20328"/>
    <w:rsid w:val="00C203CE"/>
    <w:rsid w:val="00C20517"/>
    <w:rsid w:val="00C205C6"/>
    <w:rsid w:val="00C20A92"/>
    <w:rsid w:val="00C20C53"/>
    <w:rsid w:val="00C20F11"/>
    <w:rsid w:val="00C21A8F"/>
    <w:rsid w:val="00C21AF8"/>
    <w:rsid w:val="00C21DFE"/>
    <w:rsid w:val="00C21E0D"/>
    <w:rsid w:val="00C21E2D"/>
    <w:rsid w:val="00C22562"/>
    <w:rsid w:val="00C2259B"/>
    <w:rsid w:val="00C22829"/>
    <w:rsid w:val="00C22881"/>
    <w:rsid w:val="00C22CF0"/>
    <w:rsid w:val="00C23489"/>
    <w:rsid w:val="00C23664"/>
    <w:rsid w:val="00C237BA"/>
    <w:rsid w:val="00C23B74"/>
    <w:rsid w:val="00C23E0C"/>
    <w:rsid w:val="00C243EB"/>
    <w:rsid w:val="00C24D4F"/>
    <w:rsid w:val="00C24FBA"/>
    <w:rsid w:val="00C2507D"/>
    <w:rsid w:val="00C250F0"/>
    <w:rsid w:val="00C2510A"/>
    <w:rsid w:val="00C25119"/>
    <w:rsid w:val="00C2538E"/>
    <w:rsid w:val="00C2540A"/>
    <w:rsid w:val="00C256B3"/>
    <w:rsid w:val="00C25EFF"/>
    <w:rsid w:val="00C260B4"/>
    <w:rsid w:val="00C26508"/>
    <w:rsid w:val="00C267F1"/>
    <w:rsid w:val="00C269AC"/>
    <w:rsid w:val="00C272C7"/>
    <w:rsid w:val="00C27301"/>
    <w:rsid w:val="00C2737C"/>
    <w:rsid w:val="00C2754A"/>
    <w:rsid w:val="00C2767F"/>
    <w:rsid w:val="00C2783A"/>
    <w:rsid w:val="00C27B0A"/>
    <w:rsid w:val="00C27BAB"/>
    <w:rsid w:val="00C300A4"/>
    <w:rsid w:val="00C30D49"/>
    <w:rsid w:val="00C30E0F"/>
    <w:rsid w:val="00C30EB8"/>
    <w:rsid w:val="00C31094"/>
    <w:rsid w:val="00C3118F"/>
    <w:rsid w:val="00C31201"/>
    <w:rsid w:val="00C313B3"/>
    <w:rsid w:val="00C314DC"/>
    <w:rsid w:val="00C3153D"/>
    <w:rsid w:val="00C31738"/>
    <w:rsid w:val="00C31937"/>
    <w:rsid w:val="00C31D84"/>
    <w:rsid w:val="00C31DA2"/>
    <w:rsid w:val="00C320A2"/>
    <w:rsid w:val="00C32515"/>
    <w:rsid w:val="00C325FF"/>
    <w:rsid w:val="00C3291F"/>
    <w:rsid w:val="00C32D0F"/>
    <w:rsid w:val="00C333DA"/>
    <w:rsid w:val="00C3341A"/>
    <w:rsid w:val="00C33814"/>
    <w:rsid w:val="00C338D5"/>
    <w:rsid w:val="00C3399C"/>
    <w:rsid w:val="00C339A8"/>
    <w:rsid w:val="00C339E3"/>
    <w:rsid w:val="00C33EE8"/>
    <w:rsid w:val="00C33F61"/>
    <w:rsid w:val="00C342C9"/>
    <w:rsid w:val="00C342F5"/>
    <w:rsid w:val="00C34658"/>
    <w:rsid w:val="00C34CE5"/>
    <w:rsid w:val="00C34ED7"/>
    <w:rsid w:val="00C353E1"/>
    <w:rsid w:val="00C35438"/>
    <w:rsid w:val="00C359C6"/>
    <w:rsid w:val="00C35A54"/>
    <w:rsid w:val="00C35CE1"/>
    <w:rsid w:val="00C35CEB"/>
    <w:rsid w:val="00C36099"/>
    <w:rsid w:val="00C36250"/>
    <w:rsid w:val="00C362D8"/>
    <w:rsid w:val="00C36473"/>
    <w:rsid w:val="00C368B1"/>
    <w:rsid w:val="00C36A9F"/>
    <w:rsid w:val="00C36E55"/>
    <w:rsid w:val="00C371C5"/>
    <w:rsid w:val="00C37516"/>
    <w:rsid w:val="00C3784A"/>
    <w:rsid w:val="00C379DA"/>
    <w:rsid w:val="00C37A2E"/>
    <w:rsid w:val="00C37B5B"/>
    <w:rsid w:val="00C37C82"/>
    <w:rsid w:val="00C37ED0"/>
    <w:rsid w:val="00C40304"/>
    <w:rsid w:val="00C40395"/>
    <w:rsid w:val="00C403DD"/>
    <w:rsid w:val="00C4068D"/>
    <w:rsid w:val="00C41180"/>
    <w:rsid w:val="00C412D5"/>
    <w:rsid w:val="00C415CB"/>
    <w:rsid w:val="00C41ADA"/>
    <w:rsid w:val="00C41C6D"/>
    <w:rsid w:val="00C41DB7"/>
    <w:rsid w:val="00C41FDA"/>
    <w:rsid w:val="00C426B7"/>
    <w:rsid w:val="00C43211"/>
    <w:rsid w:val="00C4326D"/>
    <w:rsid w:val="00C4397F"/>
    <w:rsid w:val="00C43E18"/>
    <w:rsid w:val="00C4416C"/>
    <w:rsid w:val="00C44287"/>
    <w:rsid w:val="00C44298"/>
    <w:rsid w:val="00C44636"/>
    <w:rsid w:val="00C44865"/>
    <w:rsid w:val="00C448C9"/>
    <w:rsid w:val="00C44984"/>
    <w:rsid w:val="00C449AE"/>
    <w:rsid w:val="00C449B2"/>
    <w:rsid w:val="00C449DE"/>
    <w:rsid w:val="00C44A6E"/>
    <w:rsid w:val="00C44A93"/>
    <w:rsid w:val="00C44C46"/>
    <w:rsid w:val="00C4531B"/>
    <w:rsid w:val="00C45353"/>
    <w:rsid w:val="00C4542E"/>
    <w:rsid w:val="00C4553A"/>
    <w:rsid w:val="00C45666"/>
    <w:rsid w:val="00C45AC5"/>
    <w:rsid w:val="00C45D4C"/>
    <w:rsid w:val="00C46295"/>
    <w:rsid w:val="00C46A02"/>
    <w:rsid w:val="00C46B4D"/>
    <w:rsid w:val="00C46D7F"/>
    <w:rsid w:val="00C46FDD"/>
    <w:rsid w:val="00C4744E"/>
    <w:rsid w:val="00C47548"/>
    <w:rsid w:val="00C47567"/>
    <w:rsid w:val="00C47CCE"/>
    <w:rsid w:val="00C50177"/>
    <w:rsid w:val="00C50221"/>
    <w:rsid w:val="00C507E9"/>
    <w:rsid w:val="00C50982"/>
    <w:rsid w:val="00C50D01"/>
    <w:rsid w:val="00C5110D"/>
    <w:rsid w:val="00C515A4"/>
    <w:rsid w:val="00C51B50"/>
    <w:rsid w:val="00C51C3A"/>
    <w:rsid w:val="00C52091"/>
    <w:rsid w:val="00C524A0"/>
    <w:rsid w:val="00C52DBA"/>
    <w:rsid w:val="00C53082"/>
    <w:rsid w:val="00C5321C"/>
    <w:rsid w:val="00C53852"/>
    <w:rsid w:val="00C53FF2"/>
    <w:rsid w:val="00C541A3"/>
    <w:rsid w:val="00C54306"/>
    <w:rsid w:val="00C54623"/>
    <w:rsid w:val="00C54D3B"/>
    <w:rsid w:val="00C550C5"/>
    <w:rsid w:val="00C55200"/>
    <w:rsid w:val="00C553DA"/>
    <w:rsid w:val="00C5565C"/>
    <w:rsid w:val="00C55BD6"/>
    <w:rsid w:val="00C5617B"/>
    <w:rsid w:val="00C56280"/>
    <w:rsid w:val="00C563FB"/>
    <w:rsid w:val="00C56E7D"/>
    <w:rsid w:val="00C57110"/>
    <w:rsid w:val="00C57431"/>
    <w:rsid w:val="00C576CE"/>
    <w:rsid w:val="00C578BE"/>
    <w:rsid w:val="00C57B76"/>
    <w:rsid w:val="00C57D2F"/>
    <w:rsid w:val="00C57DA7"/>
    <w:rsid w:val="00C6036B"/>
    <w:rsid w:val="00C6083A"/>
    <w:rsid w:val="00C60D24"/>
    <w:rsid w:val="00C60E7A"/>
    <w:rsid w:val="00C6122A"/>
    <w:rsid w:val="00C6123F"/>
    <w:rsid w:val="00C617EA"/>
    <w:rsid w:val="00C61CD3"/>
    <w:rsid w:val="00C61E17"/>
    <w:rsid w:val="00C61EC6"/>
    <w:rsid w:val="00C6252E"/>
    <w:rsid w:val="00C62895"/>
    <w:rsid w:val="00C62ECD"/>
    <w:rsid w:val="00C62F59"/>
    <w:rsid w:val="00C630C7"/>
    <w:rsid w:val="00C6351B"/>
    <w:rsid w:val="00C636DD"/>
    <w:rsid w:val="00C63F32"/>
    <w:rsid w:val="00C64080"/>
    <w:rsid w:val="00C642D1"/>
    <w:rsid w:val="00C64435"/>
    <w:rsid w:val="00C64777"/>
    <w:rsid w:val="00C649BD"/>
    <w:rsid w:val="00C64A72"/>
    <w:rsid w:val="00C64A81"/>
    <w:rsid w:val="00C64CC5"/>
    <w:rsid w:val="00C64CF4"/>
    <w:rsid w:val="00C650B1"/>
    <w:rsid w:val="00C650DB"/>
    <w:rsid w:val="00C651AC"/>
    <w:rsid w:val="00C651ED"/>
    <w:rsid w:val="00C653B0"/>
    <w:rsid w:val="00C655DC"/>
    <w:rsid w:val="00C65644"/>
    <w:rsid w:val="00C65E98"/>
    <w:rsid w:val="00C65EB6"/>
    <w:rsid w:val="00C65EED"/>
    <w:rsid w:val="00C666B2"/>
    <w:rsid w:val="00C66E3A"/>
    <w:rsid w:val="00C66EAB"/>
    <w:rsid w:val="00C66F6D"/>
    <w:rsid w:val="00C671C6"/>
    <w:rsid w:val="00C67273"/>
    <w:rsid w:val="00C67586"/>
    <w:rsid w:val="00C67901"/>
    <w:rsid w:val="00C67975"/>
    <w:rsid w:val="00C679E1"/>
    <w:rsid w:val="00C67A4D"/>
    <w:rsid w:val="00C67BC9"/>
    <w:rsid w:val="00C67CB1"/>
    <w:rsid w:val="00C700EE"/>
    <w:rsid w:val="00C7015E"/>
    <w:rsid w:val="00C7048B"/>
    <w:rsid w:val="00C706AC"/>
    <w:rsid w:val="00C70A98"/>
    <w:rsid w:val="00C70C11"/>
    <w:rsid w:val="00C70DEE"/>
    <w:rsid w:val="00C712ED"/>
    <w:rsid w:val="00C717A7"/>
    <w:rsid w:val="00C7187E"/>
    <w:rsid w:val="00C71C83"/>
    <w:rsid w:val="00C71D23"/>
    <w:rsid w:val="00C72335"/>
    <w:rsid w:val="00C72528"/>
    <w:rsid w:val="00C72648"/>
    <w:rsid w:val="00C72EE3"/>
    <w:rsid w:val="00C72F10"/>
    <w:rsid w:val="00C73128"/>
    <w:rsid w:val="00C73462"/>
    <w:rsid w:val="00C7350C"/>
    <w:rsid w:val="00C736B8"/>
    <w:rsid w:val="00C73703"/>
    <w:rsid w:val="00C738EB"/>
    <w:rsid w:val="00C738FD"/>
    <w:rsid w:val="00C73907"/>
    <w:rsid w:val="00C73A86"/>
    <w:rsid w:val="00C7428E"/>
    <w:rsid w:val="00C742A9"/>
    <w:rsid w:val="00C74655"/>
    <w:rsid w:val="00C747C2"/>
    <w:rsid w:val="00C7485A"/>
    <w:rsid w:val="00C74AC4"/>
    <w:rsid w:val="00C74ED8"/>
    <w:rsid w:val="00C74FBC"/>
    <w:rsid w:val="00C754ED"/>
    <w:rsid w:val="00C767E2"/>
    <w:rsid w:val="00C76819"/>
    <w:rsid w:val="00C76899"/>
    <w:rsid w:val="00C76A53"/>
    <w:rsid w:val="00C76A65"/>
    <w:rsid w:val="00C76E4C"/>
    <w:rsid w:val="00C77568"/>
    <w:rsid w:val="00C77708"/>
    <w:rsid w:val="00C77773"/>
    <w:rsid w:val="00C777FF"/>
    <w:rsid w:val="00C77912"/>
    <w:rsid w:val="00C77976"/>
    <w:rsid w:val="00C77B39"/>
    <w:rsid w:val="00C77D00"/>
    <w:rsid w:val="00C77D43"/>
    <w:rsid w:val="00C77EA1"/>
    <w:rsid w:val="00C77FF8"/>
    <w:rsid w:val="00C80070"/>
    <w:rsid w:val="00C805D9"/>
    <w:rsid w:val="00C806E4"/>
    <w:rsid w:val="00C80B37"/>
    <w:rsid w:val="00C80B84"/>
    <w:rsid w:val="00C80F7D"/>
    <w:rsid w:val="00C8121A"/>
    <w:rsid w:val="00C81615"/>
    <w:rsid w:val="00C81E23"/>
    <w:rsid w:val="00C82281"/>
    <w:rsid w:val="00C823C1"/>
    <w:rsid w:val="00C82B46"/>
    <w:rsid w:val="00C82BEA"/>
    <w:rsid w:val="00C82C9F"/>
    <w:rsid w:val="00C82DD8"/>
    <w:rsid w:val="00C832D3"/>
    <w:rsid w:val="00C838F3"/>
    <w:rsid w:val="00C83FA3"/>
    <w:rsid w:val="00C83FDD"/>
    <w:rsid w:val="00C8413B"/>
    <w:rsid w:val="00C8452B"/>
    <w:rsid w:val="00C847EA"/>
    <w:rsid w:val="00C84EA8"/>
    <w:rsid w:val="00C854CF"/>
    <w:rsid w:val="00C85A81"/>
    <w:rsid w:val="00C85C41"/>
    <w:rsid w:val="00C85C4E"/>
    <w:rsid w:val="00C85F09"/>
    <w:rsid w:val="00C8600E"/>
    <w:rsid w:val="00C8611C"/>
    <w:rsid w:val="00C861B9"/>
    <w:rsid w:val="00C86366"/>
    <w:rsid w:val="00C86532"/>
    <w:rsid w:val="00C86BA7"/>
    <w:rsid w:val="00C86D45"/>
    <w:rsid w:val="00C86F7F"/>
    <w:rsid w:val="00C8748C"/>
    <w:rsid w:val="00C87679"/>
    <w:rsid w:val="00C87B81"/>
    <w:rsid w:val="00C87EA2"/>
    <w:rsid w:val="00C87EEA"/>
    <w:rsid w:val="00C90917"/>
    <w:rsid w:val="00C90D51"/>
    <w:rsid w:val="00C91264"/>
    <w:rsid w:val="00C91672"/>
    <w:rsid w:val="00C91F56"/>
    <w:rsid w:val="00C925E9"/>
    <w:rsid w:val="00C926B1"/>
    <w:rsid w:val="00C9290B"/>
    <w:rsid w:val="00C92923"/>
    <w:rsid w:val="00C92977"/>
    <w:rsid w:val="00C92B91"/>
    <w:rsid w:val="00C931FF"/>
    <w:rsid w:val="00C93244"/>
    <w:rsid w:val="00C934A2"/>
    <w:rsid w:val="00C9405A"/>
    <w:rsid w:val="00C94784"/>
    <w:rsid w:val="00C9529B"/>
    <w:rsid w:val="00C95BCA"/>
    <w:rsid w:val="00C95E6A"/>
    <w:rsid w:val="00C9676B"/>
    <w:rsid w:val="00C9696D"/>
    <w:rsid w:val="00C96D5F"/>
    <w:rsid w:val="00C96F79"/>
    <w:rsid w:val="00C96F86"/>
    <w:rsid w:val="00C97370"/>
    <w:rsid w:val="00C97B80"/>
    <w:rsid w:val="00C97C7D"/>
    <w:rsid w:val="00C97D55"/>
    <w:rsid w:val="00C97E6C"/>
    <w:rsid w:val="00CA0012"/>
    <w:rsid w:val="00CA0124"/>
    <w:rsid w:val="00CA0253"/>
    <w:rsid w:val="00CA05E9"/>
    <w:rsid w:val="00CA071A"/>
    <w:rsid w:val="00CA08B5"/>
    <w:rsid w:val="00CA0979"/>
    <w:rsid w:val="00CA0A9C"/>
    <w:rsid w:val="00CA0CB4"/>
    <w:rsid w:val="00CA0E8E"/>
    <w:rsid w:val="00CA104B"/>
    <w:rsid w:val="00CA1228"/>
    <w:rsid w:val="00CA133E"/>
    <w:rsid w:val="00CA1356"/>
    <w:rsid w:val="00CA13E0"/>
    <w:rsid w:val="00CA15A5"/>
    <w:rsid w:val="00CA1891"/>
    <w:rsid w:val="00CA1CE1"/>
    <w:rsid w:val="00CA1CE9"/>
    <w:rsid w:val="00CA1D51"/>
    <w:rsid w:val="00CA1D80"/>
    <w:rsid w:val="00CA1DE9"/>
    <w:rsid w:val="00CA2085"/>
    <w:rsid w:val="00CA20F3"/>
    <w:rsid w:val="00CA2361"/>
    <w:rsid w:val="00CA2A71"/>
    <w:rsid w:val="00CA2BF0"/>
    <w:rsid w:val="00CA2C4C"/>
    <w:rsid w:val="00CA2C7B"/>
    <w:rsid w:val="00CA2CCA"/>
    <w:rsid w:val="00CA2DC0"/>
    <w:rsid w:val="00CA337F"/>
    <w:rsid w:val="00CA3681"/>
    <w:rsid w:val="00CA3D06"/>
    <w:rsid w:val="00CA3E60"/>
    <w:rsid w:val="00CA4058"/>
    <w:rsid w:val="00CA41B0"/>
    <w:rsid w:val="00CA4AC1"/>
    <w:rsid w:val="00CA4C01"/>
    <w:rsid w:val="00CA4CC9"/>
    <w:rsid w:val="00CA4E0A"/>
    <w:rsid w:val="00CA4E3D"/>
    <w:rsid w:val="00CA52E4"/>
    <w:rsid w:val="00CA5548"/>
    <w:rsid w:val="00CA563B"/>
    <w:rsid w:val="00CA566C"/>
    <w:rsid w:val="00CA580D"/>
    <w:rsid w:val="00CA5BA2"/>
    <w:rsid w:val="00CA5C10"/>
    <w:rsid w:val="00CA5EEA"/>
    <w:rsid w:val="00CA5F91"/>
    <w:rsid w:val="00CA62E1"/>
    <w:rsid w:val="00CA69A0"/>
    <w:rsid w:val="00CA6A1A"/>
    <w:rsid w:val="00CA7142"/>
    <w:rsid w:val="00CA718A"/>
    <w:rsid w:val="00CA72CC"/>
    <w:rsid w:val="00CA7542"/>
    <w:rsid w:val="00CA7734"/>
    <w:rsid w:val="00CA780E"/>
    <w:rsid w:val="00CA7D04"/>
    <w:rsid w:val="00CA7DBC"/>
    <w:rsid w:val="00CB0597"/>
    <w:rsid w:val="00CB0661"/>
    <w:rsid w:val="00CB088C"/>
    <w:rsid w:val="00CB1015"/>
    <w:rsid w:val="00CB1174"/>
    <w:rsid w:val="00CB1184"/>
    <w:rsid w:val="00CB16BF"/>
    <w:rsid w:val="00CB1877"/>
    <w:rsid w:val="00CB1FB8"/>
    <w:rsid w:val="00CB2E0B"/>
    <w:rsid w:val="00CB3328"/>
    <w:rsid w:val="00CB3450"/>
    <w:rsid w:val="00CB3465"/>
    <w:rsid w:val="00CB37DC"/>
    <w:rsid w:val="00CB38B1"/>
    <w:rsid w:val="00CB3E2F"/>
    <w:rsid w:val="00CB4221"/>
    <w:rsid w:val="00CB449E"/>
    <w:rsid w:val="00CB455B"/>
    <w:rsid w:val="00CB456F"/>
    <w:rsid w:val="00CB48EA"/>
    <w:rsid w:val="00CB5291"/>
    <w:rsid w:val="00CB5682"/>
    <w:rsid w:val="00CB5988"/>
    <w:rsid w:val="00CB5A75"/>
    <w:rsid w:val="00CB5F33"/>
    <w:rsid w:val="00CB65B9"/>
    <w:rsid w:val="00CB664F"/>
    <w:rsid w:val="00CB667A"/>
    <w:rsid w:val="00CB66BD"/>
    <w:rsid w:val="00CB67B9"/>
    <w:rsid w:val="00CB6803"/>
    <w:rsid w:val="00CB6AF3"/>
    <w:rsid w:val="00CB6CBB"/>
    <w:rsid w:val="00CB73CE"/>
    <w:rsid w:val="00CB75F0"/>
    <w:rsid w:val="00CB7682"/>
    <w:rsid w:val="00CC036B"/>
    <w:rsid w:val="00CC0477"/>
    <w:rsid w:val="00CC051E"/>
    <w:rsid w:val="00CC05AD"/>
    <w:rsid w:val="00CC05E3"/>
    <w:rsid w:val="00CC0748"/>
    <w:rsid w:val="00CC07C8"/>
    <w:rsid w:val="00CC0897"/>
    <w:rsid w:val="00CC0A94"/>
    <w:rsid w:val="00CC0B1B"/>
    <w:rsid w:val="00CC0FE3"/>
    <w:rsid w:val="00CC1294"/>
    <w:rsid w:val="00CC1B2B"/>
    <w:rsid w:val="00CC1F44"/>
    <w:rsid w:val="00CC22D4"/>
    <w:rsid w:val="00CC24C1"/>
    <w:rsid w:val="00CC26F7"/>
    <w:rsid w:val="00CC2703"/>
    <w:rsid w:val="00CC2C41"/>
    <w:rsid w:val="00CC2E51"/>
    <w:rsid w:val="00CC2EEA"/>
    <w:rsid w:val="00CC2F2B"/>
    <w:rsid w:val="00CC3337"/>
    <w:rsid w:val="00CC35B7"/>
    <w:rsid w:val="00CC35C3"/>
    <w:rsid w:val="00CC37C6"/>
    <w:rsid w:val="00CC3819"/>
    <w:rsid w:val="00CC38A6"/>
    <w:rsid w:val="00CC403C"/>
    <w:rsid w:val="00CC44F3"/>
    <w:rsid w:val="00CC461E"/>
    <w:rsid w:val="00CC48DB"/>
    <w:rsid w:val="00CC490D"/>
    <w:rsid w:val="00CC4E44"/>
    <w:rsid w:val="00CC50C8"/>
    <w:rsid w:val="00CC5282"/>
    <w:rsid w:val="00CC546F"/>
    <w:rsid w:val="00CC5F2A"/>
    <w:rsid w:val="00CC64AD"/>
    <w:rsid w:val="00CC6521"/>
    <w:rsid w:val="00CC6522"/>
    <w:rsid w:val="00CC65E8"/>
    <w:rsid w:val="00CC68A6"/>
    <w:rsid w:val="00CC6A22"/>
    <w:rsid w:val="00CC6C07"/>
    <w:rsid w:val="00CC71F2"/>
    <w:rsid w:val="00CC7238"/>
    <w:rsid w:val="00CC7975"/>
    <w:rsid w:val="00CC7A26"/>
    <w:rsid w:val="00CC7D58"/>
    <w:rsid w:val="00CC7DCD"/>
    <w:rsid w:val="00CD00F6"/>
    <w:rsid w:val="00CD0156"/>
    <w:rsid w:val="00CD02F0"/>
    <w:rsid w:val="00CD033C"/>
    <w:rsid w:val="00CD0620"/>
    <w:rsid w:val="00CD0649"/>
    <w:rsid w:val="00CD06EF"/>
    <w:rsid w:val="00CD0783"/>
    <w:rsid w:val="00CD14B7"/>
    <w:rsid w:val="00CD15AD"/>
    <w:rsid w:val="00CD1B91"/>
    <w:rsid w:val="00CD1D40"/>
    <w:rsid w:val="00CD1F51"/>
    <w:rsid w:val="00CD2021"/>
    <w:rsid w:val="00CD203A"/>
    <w:rsid w:val="00CD228D"/>
    <w:rsid w:val="00CD241C"/>
    <w:rsid w:val="00CD2495"/>
    <w:rsid w:val="00CD2636"/>
    <w:rsid w:val="00CD2757"/>
    <w:rsid w:val="00CD2800"/>
    <w:rsid w:val="00CD2A7A"/>
    <w:rsid w:val="00CD2DF3"/>
    <w:rsid w:val="00CD2EBC"/>
    <w:rsid w:val="00CD3041"/>
    <w:rsid w:val="00CD306E"/>
    <w:rsid w:val="00CD3280"/>
    <w:rsid w:val="00CD32BF"/>
    <w:rsid w:val="00CD34A5"/>
    <w:rsid w:val="00CD3514"/>
    <w:rsid w:val="00CD39F0"/>
    <w:rsid w:val="00CD3A2F"/>
    <w:rsid w:val="00CD3BF2"/>
    <w:rsid w:val="00CD48E8"/>
    <w:rsid w:val="00CD4A86"/>
    <w:rsid w:val="00CD4DF4"/>
    <w:rsid w:val="00CD4FD1"/>
    <w:rsid w:val="00CD534C"/>
    <w:rsid w:val="00CD5458"/>
    <w:rsid w:val="00CD5637"/>
    <w:rsid w:val="00CD5708"/>
    <w:rsid w:val="00CD5810"/>
    <w:rsid w:val="00CD5976"/>
    <w:rsid w:val="00CD5BF1"/>
    <w:rsid w:val="00CD5CDC"/>
    <w:rsid w:val="00CD5DE7"/>
    <w:rsid w:val="00CD5E4F"/>
    <w:rsid w:val="00CD5E58"/>
    <w:rsid w:val="00CD5F96"/>
    <w:rsid w:val="00CD6075"/>
    <w:rsid w:val="00CD6341"/>
    <w:rsid w:val="00CD6344"/>
    <w:rsid w:val="00CD67F8"/>
    <w:rsid w:val="00CD6853"/>
    <w:rsid w:val="00CD6BE2"/>
    <w:rsid w:val="00CD6E0E"/>
    <w:rsid w:val="00CD6FA7"/>
    <w:rsid w:val="00CD7038"/>
    <w:rsid w:val="00CD7123"/>
    <w:rsid w:val="00CD75AC"/>
    <w:rsid w:val="00CD7849"/>
    <w:rsid w:val="00CD7AA2"/>
    <w:rsid w:val="00CD7AA9"/>
    <w:rsid w:val="00CD7AD0"/>
    <w:rsid w:val="00CD7B18"/>
    <w:rsid w:val="00CD7C30"/>
    <w:rsid w:val="00CD7F1E"/>
    <w:rsid w:val="00CD7FE7"/>
    <w:rsid w:val="00CE0261"/>
    <w:rsid w:val="00CE027E"/>
    <w:rsid w:val="00CE034C"/>
    <w:rsid w:val="00CE0389"/>
    <w:rsid w:val="00CE05A7"/>
    <w:rsid w:val="00CE06F2"/>
    <w:rsid w:val="00CE0AE1"/>
    <w:rsid w:val="00CE0CA8"/>
    <w:rsid w:val="00CE1072"/>
    <w:rsid w:val="00CE128D"/>
    <w:rsid w:val="00CE14EA"/>
    <w:rsid w:val="00CE194C"/>
    <w:rsid w:val="00CE22A8"/>
    <w:rsid w:val="00CE2CE2"/>
    <w:rsid w:val="00CE325A"/>
    <w:rsid w:val="00CE3603"/>
    <w:rsid w:val="00CE3A3D"/>
    <w:rsid w:val="00CE3C69"/>
    <w:rsid w:val="00CE3E25"/>
    <w:rsid w:val="00CE48F5"/>
    <w:rsid w:val="00CE542D"/>
    <w:rsid w:val="00CE561D"/>
    <w:rsid w:val="00CE5F0D"/>
    <w:rsid w:val="00CE5FB3"/>
    <w:rsid w:val="00CE6194"/>
    <w:rsid w:val="00CE66E4"/>
    <w:rsid w:val="00CE6804"/>
    <w:rsid w:val="00CE6830"/>
    <w:rsid w:val="00CE6866"/>
    <w:rsid w:val="00CE692F"/>
    <w:rsid w:val="00CE6AA2"/>
    <w:rsid w:val="00CE6F14"/>
    <w:rsid w:val="00CE7020"/>
    <w:rsid w:val="00CE7B35"/>
    <w:rsid w:val="00CE7C24"/>
    <w:rsid w:val="00CE7CA7"/>
    <w:rsid w:val="00CE7E14"/>
    <w:rsid w:val="00CE7F72"/>
    <w:rsid w:val="00CF022D"/>
    <w:rsid w:val="00CF04F6"/>
    <w:rsid w:val="00CF0535"/>
    <w:rsid w:val="00CF0E85"/>
    <w:rsid w:val="00CF0F65"/>
    <w:rsid w:val="00CF1079"/>
    <w:rsid w:val="00CF1A93"/>
    <w:rsid w:val="00CF1B4B"/>
    <w:rsid w:val="00CF20F3"/>
    <w:rsid w:val="00CF2102"/>
    <w:rsid w:val="00CF23B5"/>
    <w:rsid w:val="00CF24AB"/>
    <w:rsid w:val="00CF2506"/>
    <w:rsid w:val="00CF258D"/>
    <w:rsid w:val="00CF26EB"/>
    <w:rsid w:val="00CF2967"/>
    <w:rsid w:val="00CF29FD"/>
    <w:rsid w:val="00CF2A67"/>
    <w:rsid w:val="00CF2B13"/>
    <w:rsid w:val="00CF2CA3"/>
    <w:rsid w:val="00CF2EE8"/>
    <w:rsid w:val="00CF2EF4"/>
    <w:rsid w:val="00CF3439"/>
    <w:rsid w:val="00CF3486"/>
    <w:rsid w:val="00CF34F8"/>
    <w:rsid w:val="00CF3946"/>
    <w:rsid w:val="00CF398B"/>
    <w:rsid w:val="00CF3C46"/>
    <w:rsid w:val="00CF3E88"/>
    <w:rsid w:val="00CF4584"/>
    <w:rsid w:val="00CF4599"/>
    <w:rsid w:val="00CF477C"/>
    <w:rsid w:val="00CF4B6B"/>
    <w:rsid w:val="00CF4B79"/>
    <w:rsid w:val="00CF4BE6"/>
    <w:rsid w:val="00CF4CAE"/>
    <w:rsid w:val="00CF5599"/>
    <w:rsid w:val="00CF59AA"/>
    <w:rsid w:val="00CF5B87"/>
    <w:rsid w:val="00CF5BE3"/>
    <w:rsid w:val="00CF5CEC"/>
    <w:rsid w:val="00CF5E91"/>
    <w:rsid w:val="00CF6720"/>
    <w:rsid w:val="00CF6792"/>
    <w:rsid w:val="00CF686F"/>
    <w:rsid w:val="00CF6BDE"/>
    <w:rsid w:val="00CF6D65"/>
    <w:rsid w:val="00CF6F33"/>
    <w:rsid w:val="00CF7489"/>
    <w:rsid w:val="00CF74CE"/>
    <w:rsid w:val="00CF74E3"/>
    <w:rsid w:val="00CF7D20"/>
    <w:rsid w:val="00D000A8"/>
    <w:rsid w:val="00D0043B"/>
    <w:rsid w:val="00D00A18"/>
    <w:rsid w:val="00D010D7"/>
    <w:rsid w:val="00D01317"/>
    <w:rsid w:val="00D01342"/>
    <w:rsid w:val="00D01435"/>
    <w:rsid w:val="00D01489"/>
    <w:rsid w:val="00D019DA"/>
    <w:rsid w:val="00D01A7F"/>
    <w:rsid w:val="00D01C0B"/>
    <w:rsid w:val="00D01E07"/>
    <w:rsid w:val="00D02027"/>
    <w:rsid w:val="00D0205F"/>
    <w:rsid w:val="00D020A3"/>
    <w:rsid w:val="00D022D1"/>
    <w:rsid w:val="00D02305"/>
    <w:rsid w:val="00D02328"/>
    <w:rsid w:val="00D02759"/>
    <w:rsid w:val="00D0300D"/>
    <w:rsid w:val="00D03032"/>
    <w:rsid w:val="00D034D6"/>
    <w:rsid w:val="00D0367C"/>
    <w:rsid w:val="00D03B8B"/>
    <w:rsid w:val="00D03BEB"/>
    <w:rsid w:val="00D03C25"/>
    <w:rsid w:val="00D041AC"/>
    <w:rsid w:val="00D04597"/>
    <w:rsid w:val="00D047F3"/>
    <w:rsid w:val="00D04AD9"/>
    <w:rsid w:val="00D04BD4"/>
    <w:rsid w:val="00D04CAB"/>
    <w:rsid w:val="00D04EF6"/>
    <w:rsid w:val="00D0536F"/>
    <w:rsid w:val="00D05753"/>
    <w:rsid w:val="00D05822"/>
    <w:rsid w:val="00D05A25"/>
    <w:rsid w:val="00D05B4F"/>
    <w:rsid w:val="00D05B58"/>
    <w:rsid w:val="00D05EE8"/>
    <w:rsid w:val="00D05F66"/>
    <w:rsid w:val="00D06965"/>
    <w:rsid w:val="00D06E33"/>
    <w:rsid w:val="00D06F3C"/>
    <w:rsid w:val="00D07293"/>
    <w:rsid w:val="00D07452"/>
    <w:rsid w:val="00D07528"/>
    <w:rsid w:val="00D0792A"/>
    <w:rsid w:val="00D07B75"/>
    <w:rsid w:val="00D07C4D"/>
    <w:rsid w:val="00D07C7D"/>
    <w:rsid w:val="00D07DD1"/>
    <w:rsid w:val="00D07F4F"/>
    <w:rsid w:val="00D100A5"/>
    <w:rsid w:val="00D104B4"/>
    <w:rsid w:val="00D1050A"/>
    <w:rsid w:val="00D106D5"/>
    <w:rsid w:val="00D109AB"/>
    <w:rsid w:val="00D10B5D"/>
    <w:rsid w:val="00D112B4"/>
    <w:rsid w:val="00D11E25"/>
    <w:rsid w:val="00D1218B"/>
    <w:rsid w:val="00D12213"/>
    <w:rsid w:val="00D12398"/>
    <w:rsid w:val="00D124A9"/>
    <w:rsid w:val="00D12A58"/>
    <w:rsid w:val="00D12B66"/>
    <w:rsid w:val="00D12B71"/>
    <w:rsid w:val="00D12C99"/>
    <w:rsid w:val="00D12D4B"/>
    <w:rsid w:val="00D12FAA"/>
    <w:rsid w:val="00D13001"/>
    <w:rsid w:val="00D13875"/>
    <w:rsid w:val="00D13F78"/>
    <w:rsid w:val="00D140CB"/>
    <w:rsid w:val="00D14525"/>
    <w:rsid w:val="00D147A4"/>
    <w:rsid w:val="00D14816"/>
    <w:rsid w:val="00D14B19"/>
    <w:rsid w:val="00D14E20"/>
    <w:rsid w:val="00D15216"/>
    <w:rsid w:val="00D15437"/>
    <w:rsid w:val="00D1551A"/>
    <w:rsid w:val="00D159C1"/>
    <w:rsid w:val="00D15BC0"/>
    <w:rsid w:val="00D15F17"/>
    <w:rsid w:val="00D15F71"/>
    <w:rsid w:val="00D16209"/>
    <w:rsid w:val="00D1649B"/>
    <w:rsid w:val="00D172FA"/>
    <w:rsid w:val="00D176D6"/>
    <w:rsid w:val="00D1772E"/>
    <w:rsid w:val="00D17A96"/>
    <w:rsid w:val="00D17CCA"/>
    <w:rsid w:val="00D17F75"/>
    <w:rsid w:val="00D200C0"/>
    <w:rsid w:val="00D20167"/>
    <w:rsid w:val="00D202B1"/>
    <w:rsid w:val="00D205E6"/>
    <w:rsid w:val="00D20A9C"/>
    <w:rsid w:val="00D2117B"/>
    <w:rsid w:val="00D21220"/>
    <w:rsid w:val="00D21D40"/>
    <w:rsid w:val="00D21D93"/>
    <w:rsid w:val="00D21E7A"/>
    <w:rsid w:val="00D220AF"/>
    <w:rsid w:val="00D2214F"/>
    <w:rsid w:val="00D22271"/>
    <w:rsid w:val="00D222A4"/>
    <w:rsid w:val="00D22392"/>
    <w:rsid w:val="00D22986"/>
    <w:rsid w:val="00D22AF5"/>
    <w:rsid w:val="00D22B34"/>
    <w:rsid w:val="00D22CA0"/>
    <w:rsid w:val="00D22EE5"/>
    <w:rsid w:val="00D22FD4"/>
    <w:rsid w:val="00D2324B"/>
    <w:rsid w:val="00D2397B"/>
    <w:rsid w:val="00D239C7"/>
    <w:rsid w:val="00D23AC3"/>
    <w:rsid w:val="00D23D65"/>
    <w:rsid w:val="00D23EA8"/>
    <w:rsid w:val="00D23F0A"/>
    <w:rsid w:val="00D24627"/>
    <w:rsid w:val="00D24722"/>
    <w:rsid w:val="00D24E15"/>
    <w:rsid w:val="00D256CC"/>
    <w:rsid w:val="00D25A92"/>
    <w:rsid w:val="00D25FE4"/>
    <w:rsid w:val="00D260F5"/>
    <w:rsid w:val="00D26247"/>
    <w:rsid w:val="00D262B8"/>
    <w:rsid w:val="00D26889"/>
    <w:rsid w:val="00D26AEE"/>
    <w:rsid w:val="00D26CBF"/>
    <w:rsid w:val="00D26E5D"/>
    <w:rsid w:val="00D26F53"/>
    <w:rsid w:val="00D26FAA"/>
    <w:rsid w:val="00D2751D"/>
    <w:rsid w:val="00D27755"/>
    <w:rsid w:val="00D27765"/>
    <w:rsid w:val="00D279C0"/>
    <w:rsid w:val="00D27CC9"/>
    <w:rsid w:val="00D27FA7"/>
    <w:rsid w:val="00D302BD"/>
    <w:rsid w:val="00D30403"/>
    <w:rsid w:val="00D30DDE"/>
    <w:rsid w:val="00D30EEE"/>
    <w:rsid w:val="00D3130F"/>
    <w:rsid w:val="00D31449"/>
    <w:rsid w:val="00D3163D"/>
    <w:rsid w:val="00D31C41"/>
    <w:rsid w:val="00D31F83"/>
    <w:rsid w:val="00D32372"/>
    <w:rsid w:val="00D3241D"/>
    <w:rsid w:val="00D32EBC"/>
    <w:rsid w:val="00D32ECE"/>
    <w:rsid w:val="00D33178"/>
    <w:rsid w:val="00D336AC"/>
    <w:rsid w:val="00D33BE4"/>
    <w:rsid w:val="00D33F19"/>
    <w:rsid w:val="00D33F63"/>
    <w:rsid w:val="00D34117"/>
    <w:rsid w:val="00D3430A"/>
    <w:rsid w:val="00D34E31"/>
    <w:rsid w:val="00D3530F"/>
    <w:rsid w:val="00D35426"/>
    <w:rsid w:val="00D35469"/>
    <w:rsid w:val="00D354B1"/>
    <w:rsid w:val="00D3579C"/>
    <w:rsid w:val="00D3582B"/>
    <w:rsid w:val="00D3593F"/>
    <w:rsid w:val="00D359D4"/>
    <w:rsid w:val="00D35CAD"/>
    <w:rsid w:val="00D35DAC"/>
    <w:rsid w:val="00D35EC3"/>
    <w:rsid w:val="00D35EF3"/>
    <w:rsid w:val="00D35FEF"/>
    <w:rsid w:val="00D360A7"/>
    <w:rsid w:val="00D3610E"/>
    <w:rsid w:val="00D361D8"/>
    <w:rsid w:val="00D364E5"/>
    <w:rsid w:val="00D36CD1"/>
    <w:rsid w:val="00D370A8"/>
    <w:rsid w:val="00D372DE"/>
    <w:rsid w:val="00D37456"/>
    <w:rsid w:val="00D37958"/>
    <w:rsid w:val="00D37CEE"/>
    <w:rsid w:val="00D37E4F"/>
    <w:rsid w:val="00D400C7"/>
    <w:rsid w:val="00D4058C"/>
    <w:rsid w:val="00D405B9"/>
    <w:rsid w:val="00D4099E"/>
    <w:rsid w:val="00D40C7B"/>
    <w:rsid w:val="00D40D50"/>
    <w:rsid w:val="00D40D5B"/>
    <w:rsid w:val="00D40D9E"/>
    <w:rsid w:val="00D40F5B"/>
    <w:rsid w:val="00D412CD"/>
    <w:rsid w:val="00D412E7"/>
    <w:rsid w:val="00D41693"/>
    <w:rsid w:val="00D41C59"/>
    <w:rsid w:val="00D41F2C"/>
    <w:rsid w:val="00D42017"/>
    <w:rsid w:val="00D421DE"/>
    <w:rsid w:val="00D42329"/>
    <w:rsid w:val="00D423FA"/>
    <w:rsid w:val="00D42614"/>
    <w:rsid w:val="00D426E8"/>
    <w:rsid w:val="00D429BD"/>
    <w:rsid w:val="00D42D8B"/>
    <w:rsid w:val="00D430F3"/>
    <w:rsid w:val="00D431FC"/>
    <w:rsid w:val="00D43359"/>
    <w:rsid w:val="00D4390B"/>
    <w:rsid w:val="00D43C6E"/>
    <w:rsid w:val="00D44497"/>
    <w:rsid w:val="00D44514"/>
    <w:rsid w:val="00D44516"/>
    <w:rsid w:val="00D44ABB"/>
    <w:rsid w:val="00D44E93"/>
    <w:rsid w:val="00D4504A"/>
    <w:rsid w:val="00D450B3"/>
    <w:rsid w:val="00D454DC"/>
    <w:rsid w:val="00D4553C"/>
    <w:rsid w:val="00D45573"/>
    <w:rsid w:val="00D45789"/>
    <w:rsid w:val="00D45B2F"/>
    <w:rsid w:val="00D45ECF"/>
    <w:rsid w:val="00D4618B"/>
    <w:rsid w:val="00D465B5"/>
    <w:rsid w:val="00D4695A"/>
    <w:rsid w:val="00D4699E"/>
    <w:rsid w:val="00D469A4"/>
    <w:rsid w:val="00D46C8C"/>
    <w:rsid w:val="00D46F88"/>
    <w:rsid w:val="00D47107"/>
    <w:rsid w:val="00D473EA"/>
    <w:rsid w:val="00D47B1A"/>
    <w:rsid w:val="00D47B26"/>
    <w:rsid w:val="00D50036"/>
    <w:rsid w:val="00D50191"/>
    <w:rsid w:val="00D501F3"/>
    <w:rsid w:val="00D5028C"/>
    <w:rsid w:val="00D502B9"/>
    <w:rsid w:val="00D506E5"/>
    <w:rsid w:val="00D50842"/>
    <w:rsid w:val="00D50A23"/>
    <w:rsid w:val="00D50D05"/>
    <w:rsid w:val="00D50FF4"/>
    <w:rsid w:val="00D51015"/>
    <w:rsid w:val="00D518DF"/>
    <w:rsid w:val="00D51A68"/>
    <w:rsid w:val="00D51AD5"/>
    <w:rsid w:val="00D5234E"/>
    <w:rsid w:val="00D528A7"/>
    <w:rsid w:val="00D52A33"/>
    <w:rsid w:val="00D52A9B"/>
    <w:rsid w:val="00D52B26"/>
    <w:rsid w:val="00D53044"/>
    <w:rsid w:val="00D535E8"/>
    <w:rsid w:val="00D537C0"/>
    <w:rsid w:val="00D53C8C"/>
    <w:rsid w:val="00D53E6C"/>
    <w:rsid w:val="00D541E4"/>
    <w:rsid w:val="00D54552"/>
    <w:rsid w:val="00D545B1"/>
    <w:rsid w:val="00D54784"/>
    <w:rsid w:val="00D54B8F"/>
    <w:rsid w:val="00D54CD5"/>
    <w:rsid w:val="00D54D36"/>
    <w:rsid w:val="00D54EA7"/>
    <w:rsid w:val="00D54FBB"/>
    <w:rsid w:val="00D55095"/>
    <w:rsid w:val="00D5518D"/>
    <w:rsid w:val="00D5555B"/>
    <w:rsid w:val="00D5571C"/>
    <w:rsid w:val="00D5583B"/>
    <w:rsid w:val="00D558FD"/>
    <w:rsid w:val="00D55C42"/>
    <w:rsid w:val="00D55F59"/>
    <w:rsid w:val="00D5672B"/>
    <w:rsid w:val="00D56FA8"/>
    <w:rsid w:val="00D5703B"/>
    <w:rsid w:val="00D578F6"/>
    <w:rsid w:val="00D57C0D"/>
    <w:rsid w:val="00D57FE3"/>
    <w:rsid w:val="00D600A8"/>
    <w:rsid w:val="00D603B6"/>
    <w:rsid w:val="00D6089A"/>
    <w:rsid w:val="00D60948"/>
    <w:rsid w:val="00D6142A"/>
    <w:rsid w:val="00D61686"/>
    <w:rsid w:val="00D61795"/>
    <w:rsid w:val="00D6187B"/>
    <w:rsid w:val="00D618AD"/>
    <w:rsid w:val="00D61A81"/>
    <w:rsid w:val="00D61AC7"/>
    <w:rsid w:val="00D61C11"/>
    <w:rsid w:val="00D6261D"/>
    <w:rsid w:val="00D6275B"/>
    <w:rsid w:val="00D627AA"/>
    <w:rsid w:val="00D627F0"/>
    <w:rsid w:val="00D62B4D"/>
    <w:rsid w:val="00D62E79"/>
    <w:rsid w:val="00D62ECD"/>
    <w:rsid w:val="00D62FDC"/>
    <w:rsid w:val="00D6309C"/>
    <w:rsid w:val="00D634A4"/>
    <w:rsid w:val="00D63AA6"/>
    <w:rsid w:val="00D63B1D"/>
    <w:rsid w:val="00D63D25"/>
    <w:rsid w:val="00D63FBE"/>
    <w:rsid w:val="00D6416E"/>
    <w:rsid w:val="00D6421E"/>
    <w:rsid w:val="00D643C9"/>
    <w:rsid w:val="00D64916"/>
    <w:rsid w:val="00D64D8B"/>
    <w:rsid w:val="00D655DE"/>
    <w:rsid w:val="00D65951"/>
    <w:rsid w:val="00D65CD2"/>
    <w:rsid w:val="00D665AE"/>
    <w:rsid w:val="00D66D67"/>
    <w:rsid w:val="00D66ED8"/>
    <w:rsid w:val="00D66F25"/>
    <w:rsid w:val="00D6705C"/>
    <w:rsid w:val="00D671F5"/>
    <w:rsid w:val="00D67978"/>
    <w:rsid w:val="00D67DAD"/>
    <w:rsid w:val="00D67EFD"/>
    <w:rsid w:val="00D67FF4"/>
    <w:rsid w:val="00D70156"/>
    <w:rsid w:val="00D701C0"/>
    <w:rsid w:val="00D7048F"/>
    <w:rsid w:val="00D70863"/>
    <w:rsid w:val="00D70868"/>
    <w:rsid w:val="00D708CB"/>
    <w:rsid w:val="00D70E42"/>
    <w:rsid w:val="00D7104B"/>
    <w:rsid w:val="00D71136"/>
    <w:rsid w:val="00D71281"/>
    <w:rsid w:val="00D7157D"/>
    <w:rsid w:val="00D715DA"/>
    <w:rsid w:val="00D715F1"/>
    <w:rsid w:val="00D716F7"/>
    <w:rsid w:val="00D71821"/>
    <w:rsid w:val="00D718C4"/>
    <w:rsid w:val="00D71B23"/>
    <w:rsid w:val="00D72063"/>
    <w:rsid w:val="00D721DB"/>
    <w:rsid w:val="00D72279"/>
    <w:rsid w:val="00D725A5"/>
    <w:rsid w:val="00D72686"/>
    <w:rsid w:val="00D72979"/>
    <w:rsid w:val="00D72CB3"/>
    <w:rsid w:val="00D72ECF"/>
    <w:rsid w:val="00D73368"/>
    <w:rsid w:val="00D737BC"/>
    <w:rsid w:val="00D73BA4"/>
    <w:rsid w:val="00D73F78"/>
    <w:rsid w:val="00D741EE"/>
    <w:rsid w:val="00D74326"/>
    <w:rsid w:val="00D74347"/>
    <w:rsid w:val="00D7455C"/>
    <w:rsid w:val="00D7488C"/>
    <w:rsid w:val="00D749D4"/>
    <w:rsid w:val="00D74A0A"/>
    <w:rsid w:val="00D74BB5"/>
    <w:rsid w:val="00D74E2B"/>
    <w:rsid w:val="00D74E96"/>
    <w:rsid w:val="00D750A5"/>
    <w:rsid w:val="00D75ACE"/>
    <w:rsid w:val="00D75B0F"/>
    <w:rsid w:val="00D75B1C"/>
    <w:rsid w:val="00D75B2A"/>
    <w:rsid w:val="00D75D15"/>
    <w:rsid w:val="00D7607E"/>
    <w:rsid w:val="00D7656F"/>
    <w:rsid w:val="00D76764"/>
    <w:rsid w:val="00D76847"/>
    <w:rsid w:val="00D769E9"/>
    <w:rsid w:val="00D76A77"/>
    <w:rsid w:val="00D76F1C"/>
    <w:rsid w:val="00D77503"/>
    <w:rsid w:val="00D776B4"/>
    <w:rsid w:val="00D779AA"/>
    <w:rsid w:val="00D80075"/>
    <w:rsid w:val="00D8027A"/>
    <w:rsid w:val="00D8035F"/>
    <w:rsid w:val="00D80398"/>
    <w:rsid w:val="00D804D3"/>
    <w:rsid w:val="00D806DB"/>
    <w:rsid w:val="00D80A6F"/>
    <w:rsid w:val="00D80E4D"/>
    <w:rsid w:val="00D81007"/>
    <w:rsid w:val="00D811BD"/>
    <w:rsid w:val="00D814E4"/>
    <w:rsid w:val="00D81FCC"/>
    <w:rsid w:val="00D8201C"/>
    <w:rsid w:val="00D8231B"/>
    <w:rsid w:val="00D82B18"/>
    <w:rsid w:val="00D82CC4"/>
    <w:rsid w:val="00D831E7"/>
    <w:rsid w:val="00D83880"/>
    <w:rsid w:val="00D838B2"/>
    <w:rsid w:val="00D83A2F"/>
    <w:rsid w:val="00D83C59"/>
    <w:rsid w:val="00D83CA1"/>
    <w:rsid w:val="00D83E22"/>
    <w:rsid w:val="00D83E90"/>
    <w:rsid w:val="00D84059"/>
    <w:rsid w:val="00D84060"/>
    <w:rsid w:val="00D8483E"/>
    <w:rsid w:val="00D848BF"/>
    <w:rsid w:val="00D8495F"/>
    <w:rsid w:val="00D84A8C"/>
    <w:rsid w:val="00D84B53"/>
    <w:rsid w:val="00D84CFE"/>
    <w:rsid w:val="00D84DD8"/>
    <w:rsid w:val="00D85D20"/>
    <w:rsid w:val="00D87175"/>
    <w:rsid w:val="00D8736A"/>
    <w:rsid w:val="00D87960"/>
    <w:rsid w:val="00D87AC6"/>
    <w:rsid w:val="00D87D83"/>
    <w:rsid w:val="00D87DA2"/>
    <w:rsid w:val="00D87FA6"/>
    <w:rsid w:val="00D90657"/>
    <w:rsid w:val="00D908B6"/>
    <w:rsid w:val="00D90A86"/>
    <w:rsid w:val="00D90CB5"/>
    <w:rsid w:val="00D90FBD"/>
    <w:rsid w:val="00D910F6"/>
    <w:rsid w:val="00D920DF"/>
    <w:rsid w:val="00D9275D"/>
    <w:rsid w:val="00D92A6B"/>
    <w:rsid w:val="00D92CF5"/>
    <w:rsid w:val="00D9314F"/>
    <w:rsid w:val="00D9329A"/>
    <w:rsid w:val="00D93444"/>
    <w:rsid w:val="00D93532"/>
    <w:rsid w:val="00D93910"/>
    <w:rsid w:val="00D93911"/>
    <w:rsid w:val="00D9393C"/>
    <w:rsid w:val="00D93ACB"/>
    <w:rsid w:val="00D942E4"/>
    <w:rsid w:val="00D9437E"/>
    <w:rsid w:val="00D94562"/>
    <w:rsid w:val="00D94742"/>
    <w:rsid w:val="00D94D0B"/>
    <w:rsid w:val="00D950F7"/>
    <w:rsid w:val="00D9562F"/>
    <w:rsid w:val="00D9579D"/>
    <w:rsid w:val="00D9591F"/>
    <w:rsid w:val="00D95BE2"/>
    <w:rsid w:val="00D96010"/>
    <w:rsid w:val="00D9628D"/>
    <w:rsid w:val="00D962F7"/>
    <w:rsid w:val="00D96446"/>
    <w:rsid w:val="00D96C80"/>
    <w:rsid w:val="00D96D0E"/>
    <w:rsid w:val="00D96DB0"/>
    <w:rsid w:val="00D97387"/>
    <w:rsid w:val="00D97414"/>
    <w:rsid w:val="00D97490"/>
    <w:rsid w:val="00D97A3D"/>
    <w:rsid w:val="00D97AF3"/>
    <w:rsid w:val="00D97B2D"/>
    <w:rsid w:val="00D97DC4"/>
    <w:rsid w:val="00D97E42"/>
    <w:rsid w:val="00D97F34"/>
    <w:rsid w:val="00DA01F7"/>
    <w:rsid w:val="00DA0426"/>
    <w:rsid w:val="00DA04A2"/>
    <w:rsid w:val="00DA08AC"/>
    <w:rsid w:val="00DA0B2B"/>
    <w:rsid w:val="00DA0C01"/>
    <w:rsid w:val="00DA0E83"/>
    <w:rsid w:val="00DA173A"/>
    <w:rsid w:val="00DA18C9"/>
    <w:rsid w:val="00DA198F"/>
    <w:rsid w:val="00DA19E6"/>
    <w:rsid w:val="00DA1C49"/>
    <w:rsid w:val="00DA2150"/>
    <w:rsid w:val="00DA230D"/>
    <w:rsid w:val="00DA23F5"/>
    <w:rsid w:val="00DA24A3"/>
    <w:rsid w:val="00DA271D"/>
    <w:rsid w:val="00DA2815"/>
    <w:rsid w:val="00DA2B30"/>
    <w:rsid w:val="00DA2DF4"/>
    <w:rsid w:val="00DA3424"/>
    <w:rsid w:val="00DA3744"/>
    <w:rsid w:val="00DA38C3"/>
    <w:rsid w:val="00DA46F5"/>
    <w:rsid w:val="00DA49AD"/>
    <w:rsid w:val="00DA4FED"/>
    <w:rsid w:val="00DA4FF9"/>
    <w:rsid w:val="00DA544C"/>
    <w:rsid w:val="00DA59B3"/>
    <w:rsid w:val="00DA5AF5"/>
    <w:rsid w:val="00DA5B46"/>
    <w:rsid w:val="00DA5F0C"/>
    <w:rsid w:val="00DA5F4C"/>
    <w:rsid w:val="00DA6226"/>
    <w:rsid w:val="00DA6422"/>
    <w:rsid w:val="00DA644B"/>
    <w:rsid w:val="00DA6668"/>
    <w:rsid w:val="00DA67D3"/>
    <w:rsid w:val="00DA680B"/>
    <w:rsid w:val="00DA6C5C"/>
    <w:rsid w:val="00DA6E81"/>
    <w:rsid w:val="00DA7319"/>
    <w:rsid w:val="00DA7D1C"/>
    <w:rsid w:val="00DB0111"/>
    <w:rsid w:val="00DB016B"/>
    <w:rsid w:val="00DB04C7"/>
    <w:rsid w:val="00DB04FA"/>
    <w:rsid w:val="00DB08A6"/>
    <w:rsid w:val="00DB0BB4"/>
    <w:rsid w:val="00DB0CDD"/>
    <w:rsid w:val="00DB1105"/>
    <w:rsid w:val="00DB12EB"/>
    <w:rsid w:val="00DB13D4"/>
    <w:rsid w:val="00DB1804"/>
    <w:rsid w:val="00DB25AD"/>
    <w:rsid w:val="00DB27DB"/>
    <w:rsid w:val="00DB330F"/>
    <w:rsid w:val="00DB33ED"/>
    <w:rsid w:val="00DB35AE"/>
    <w:rsid w:val="00DB376F"/>
    <w:rsid w:val="00DB37C6"/>
    <w:rsid w:val="00DB3A87"/>
    <w:rsid w:val="00DB3B29"/>
    <w:rsid w:val="00DB3D1B"/>
    <w:rsid w:val="00DB3E8A"/>
    <w:rsid w:val="00DB45E5"/>
    <w:rsid w:val="00DB4680"/>
    <w:rsid w:val="00DB4A88"/>
    <w:rsid w:val="00DB4B4A"/>
    <w:rsid w:val="00DB51E4"/>
    <w:rsid w:val="00DB5811"/>
    <w:rsid w:val="00DB5AFE"/>
    <w:rsid w:val="00DB5B8C"/>
    <w:rsid w:val="00DB712B"/>
    <w:rsid w:val="00DB77A6"/>
    <w:rsid w:val="00DB7DD8"/>
    <w:rsid w:val="00DC000D"/>
    <w:rsid w:val="00DC01CB"/>
    <w:rsid w:val="00DC0766"/>
    <w:rsid w:val="00DC0AF4"/>
    <w:rsid w:val="00DC105E"/>
    <w:rsid w:val="00DC11A1"/>
    <w:rsid w:val="00DC1548"/>
    <w:rsid w:val="00DC16E3"/>
    <w:rsid w:val="00DC19E5"/>
    <w:rsid w:val="00DC1E32"/>
    <w:rsid w:val="00DC1F9A"/>
    <w:rsid w:val="00DC2020"/>
    <w:rsid w:val="00DC22E8"/>
    <w:rsid w:val="00DC23EC"/>
    <w:rsid w:val="00DC2C15"/>
    <w:rsid w:val="00DC2C7B"/>
    <w:rsid w:val="00DC30E7"/>
    <w:rsid w:val="00DC374F"/>
    <w:rsid w:val="00DC3B22"/>
    <w:rsid w:val="00DC3E89"/>
    <w:rsid w:val="00DC3EDE"/>
    <w:rsid w:val="00DC4586"/>
    <w:rsid w:val="00DC4665"/>
    <w:rsid w:val="00DC46ED"/>
    <w:rsid w:val="00DC4E98"/>
    <w:rsid w:val="00DC5283"/>
    <w:rsid w:val="00DC56FA"/>
    <w:rsid w:val="00DC5EAF"/>
    <w:rsid w:val="00DC5FC6"/>
    <w:rsid w:val="00DC60A8"/>
    <w:rsid w:val="00DC6277"/>
    <w:rsid w:val="00DC6442"/>
    <w:rsid w:val="00DC68D6"/>
    <w:rsid w:val="00DC69C1"/>
    <w:rsid w:val="00DC6B1A"/>
    <w:rsid w:val="00DC6D25"/>
    <w:rsid w:val="00DC6E60"/>
    <w:rsid w:val="00DC74DC"/>
    <w:rsid w:val="00DC777B"/>
    <w:rsid w:val="00DC7CB5"/>
    <w:rsid w:val="00DD0072"/>
    <w:rsid w:val="00DD0718"/>
    <w:rsid w:val="00DD0B06"/>
    <w:rsid w:val="00DD16A8"/>
    <w:rsid w:val="00DD17EB"/>
    <w:rsid w:val="00DD1971"/>
    <w:rsid w:val="00DD1DE6"/>
    <w:rsid w:val="00DD25DB"/>
    <w:rsid w:val="00DD341F"/>
    <w:rsid w:val="00DD3446"/>
    <w:rsid w:val="00DD3470"/>
    <w:rsid w:val="00DD3687"/>
    <w:rsid w:val="00DD3A2A"/>
    <w:rsid w:val="00DD3D13"/>
    <w:rsid w:val="00DD4329"/>
    <w:rsid w:val="00DD466C"/>
    <w:rsid w:val="00DD4A99"/>
    <w:rsid w:val="00DD4C55"/>
    <w:rsid w:val="00DD4F2F"/>
    <w:rsid w:val="00DD4FCC"/>
    <w:rsid w:val="00DD50C2"/>
    <w:rsid w:val="00DD5103"/>
    <w:rsid w:val="00DD5B25"/>
    <w:rsid w:val="00DD5CA3"/>
    <w:rsid w:val="00DD5CA8"/>
    <w:rsid w:val="00DD641F"/>
    <w:rsid w:val="00DD6725"/>
    <w:rsid w:val="00DD6758"/>
    <w:rsid w:val="00DD6847"/>
    <w:rsid w:val="00DD6B29"/>
    <w:rsid w:val="00DD6EA8"/>
    <w:rsid w:val="00DD70E2"/>
    <w:rsid w:val="00DD714E"/>
    <w:rsid w:val="00DD765A"/>
    <w:rsid w:val="00DD77CF"/>
    <w:rsid w:val="00DD7F38"/>
    <w:rsid w:val="00DE000D"/>
    <w:rsid w:val="00DE0331"/>
    <w:rsid w:val="00DE0736"/>
    <w:rsid w:val="00DE0871"/>
    <w:rsid w:val="00DE0C3D"/>
    <w:rsid w:val="00DE0D4F"/>
    <w:rsid w:val="00DE0DF5"/>
    <w:rsid w:val="00DE167A"/>
    <w:rsid w:val="00DE1794"/>
    <w:rsid w:val="00DE1911"/>
    <w:rsid w:val="00DE1C44"/>
    <w:rsid w:val="00DE20C1"/>
    <w:rsid w:val="00DE23CF"/>
    <w:rsid w:val="00DE264D"/>
    <w:rsid w:val="00DE28EB"/>
    <w:rsid w:val="00DE291A"/>
    <w:rsid w:val="00DE295F"/>
    <w:rsid w:val="00DE2ECA"/>
    <w:rsid w:val="00DE308B"/>
    <w:rsid w:val="00DE3828"/>
    <w:rsid w:val="00DE397B"/>
    <w:rsid w:val="00DE3A2C"/>
    <w:rsid w:val="00DE3B53"/>
    <w:rsid w:val="00DE3B6C"/>
    <w:rsid w:val="00DE3CEA"/>
    <w:rsid w:val="00DE3EE3"/>
    <w:rsid w:val="00DE4056"/>
    <w:rsid w:val="00DE43A4"/>
    <w:rsid w:val="00DE4595"/>
    <w:rsid w:val="00DE4737"/>
    <w:rsid w:val="00DE4790"/>
    <w:rsid w:val="00DE47AA"/>
    <w:rsid w:val="00DE5144"/>
    <w:rsid w:val="00DE55E5"/>
    <w:rsid w:val="00DE57D6"/>
    <w:rsid w:val="00DE5818"/>
    <w:rsid w:val="00DE5EB3"/>
    <w:rsid w:val="00DE5F09"/>
    <w:rsid w:val="00DE627E"/>
    <w:rsid w:val="00DE6353"/>
    <w:rsid w:val="00DE636D"/>
    <w:rsid w:val="00DE662A"/>
    <w:rsid w:val="00DE66F6"/>
    <w:rsid w:val="00DE6A43"/>
    <w:rsid w:val="00DE6B63"/>
    <w:rsid w:val="00DE6C00"/>
    <w:rsid w:val="00DE6E16"/>
    <w:rsid w:val="00DE6E19"/>
    <w:rsid w:val="00DE6EF8"/>
    <w:rsid w:val="00DE719F"/>
    <w:rsid w:val="00DE72CB"/>
    <w:rsid w:val="00DE72D4"/>
    <w:rsid w:val="00DE732A"/>
    <w:rsid w:val="00DE73FF"/>
    <w:rsid w:val="00DE7777"/>
    <w:rsid w:val="00DE7B72"/>
    <w:rsid w:val="00DE7F6B"/>
    <w:rsid w:val="00DF0013"/>
    <w:rsid w:val="00DF0276"/>
    <w:rsid w:val="00DF03AC"/>
    <w:rsid w:val="00DF0494"/>
    <w:rsid w:val="00DF04C6"/>
    <w:rsid w:val="00DF06E5"/>
    <w:rsid w:val="00DF0870"/>
    <w:rsid w:val="00DF0E2C"/>
    <w:rsid w:val="00DF1466"/>
    <w:rsid w:val="00DF17A7"/>
    <w:rsid w:val="00DF1902"/>
    <w:rsid w:val="00DF1C5D"/>
    <w:rsid w:val="00DF1CC5"/>
    <w:rsid w:val="00DF1E1B"/>
    <w:rsid w:val="00DF2190"/>
    <w:rsid w:val="00DF23FB"/>
    <w:rsid w:val="00DF2416"/>
    <w:rsid w:val="00DF2487"/>
    <w:rsid w:val="00DF273F"/>
    <w:rsid w:val="00DF2741"/>
    <w:rsid w:val="00DF2BC4"/>
    <w:rsid w:val="00DF2EE4"/>
    <w:rsid w:val="00DF2FAB"/>
    <w:rsid w:val="00DF3422"/>
    <w:rsid w:val="00DF39C4"/>
    <w:rsid w:val="00DF3CF0"/>
    <w:rsid w:val="00DF43AF"/>
    <w:rsid w:val="00DF4B7B"/>
    <w:rsid w:val="00DF4D58"/>
    <w:rsid w:val="00DF4F04"/>
    <w:rsid w:val="00DF57BC"/>
    <w:rsid w:val="00DF5876"/>
    <w:rsid w:val="00DF6066"/>
    <w:rsid w:val="00DF608B"/>
    <w:rsid w:val="00DF684F"/>
    <w:rsid w:val="00DF6C93"/>
    <w:rsid w:val="00DF7470"/>
    <w:rsid w:val="00DF75E3"/>
    <w:rsid w:val="00DF762D"/>
    <w:rsid w:val="00DF769F"/>
    <w:rsid w:val="00DF7A64"/>
    <w:rsid w:val="00DF7B3C"/>
    <w:rsid w:val="00E0011E"/>
    <w:rsid w:val="00E0025C"/>
    <w:rsid w:val="00E00982"/>
    <w:rsid w:val="00E00C30"/>
    <w:rsid w:val="00E01033"/>
    <w:rsid w:val="00E01356"/>
    <w:rsid w:val="00E01808"/>
    <w:rsid w:val="00E01C53"/>
    <w:rsid w:val="00E01CF4"/>
    <w:rsid w:val="00E027F0"/>
    <w:rsid w:val="00E031FD"/>
    <w:rsid w:val="00E033A3"/>
    <w:rsid w:val="00E03AEB"/>
    <w:rsid w:val="00E03B8F"/>
    <w:rsid w:val="00E03EDE"/>
    <w:rsid w:val="00E03FEA"/>
    <w:rsid w:val="00E04292"/>
    <w:rsid w:val="00E0478D"/>
    <w:rsid w:val="00E051FF"/>
    <w:rsid w:val="00E0545F"/>
    <w:rsid w:val="00E05F51"/>
    <w:rsid w:val="00E06035"/>
    <w:rsid w:val="00E06041"/>
    <w:rsid w:val="00E065E6"/>
    <w:rsid w:val="00E06D33"/>
    <w:rsid w:val="00E06DF4"/>
    <w:rsid w:val="00E06F8F"/>
    <w:rsid w:val="00E07E21"/>
    <w:rsid w:val="00E07E2A"/>
    <w:rsid w:val="00E105E2"/>
    <w:rsid w:val="00E106F0"/>
    <w:rsid w:val="00E1086D"/>
    <w:rsid w:val="00E108D7"/>
    <w:rsid w:val="00E108FA"/>
    <w:rsid w:val="00E1090C"/>
    <w:rsid w:val="00E109E9"/>
    <w:rsid w:val="00E10BD2"/>
    <w:rsid w:val="00E10FD2"/>
    <w:rsid w:val="00E10FDD"/>
    <w:rsid w:val="00E1139B"/>
    <w:rsid w:val="00E1184E"/>
    <w:rsid w:val="00E120EC"/>
    <w:rsid w:val="00E1259E"/>
    <w:rsid w:val="00E125AB"/>
    <w:rsid w:val="00E1269C"/>
    <w:rsid w:val="00E1274B"/>
    <w:rsid w:val="00E12983"/>
    <w:rsid w:val="00E12A8B"/>
    <w:rsid w:val="00E12B54"/>
    <w:rsid w:val="00E137DA"/>
    <w:rsid w:val="00E13E50"/>
    <w:rsid w:val="00E143AE"/>
    <w:rsid w:val="00E1450C"/>
    <w:rsid w:val="00E14532"/>
    <w:rsid w:val="00E148AF"/>
    <w:rsid w:val="00E14B0F"/>
    <w:rsid w:val="00E14E96"/>
    <w:rsid w:val="00E14F2D"/>
    <w:rsid w:val="00E15081"/>
    <w:rsid w:val="00E150F5"/>
    <w:rsid w:val="00E152FC"/>
    <w:rsid w:val="00E1554A"/>
    <w:rsid w:val="00E1569A"/>
    <w:rsid w:val="00E156E3"/>
    <w:rsid w:val="00E15AB0"/>
    <w:rsid w:val="00E15B40"/>
    <w:rsid w:val="00E15BB8"/>
    <w:rsid w:val="00E160DB"/>
    <w:rsid w:val="00E16230"/>
    <w:rsid w:val="00E16B5B"/>
    <w:rsid w:val="00E16C1D"/>
    <w:rsid w:val="00E16CB4"/>
    <w:rsid w:val="00E16CF6"/>
    <w:rsid w:val="00E16FB9"/>
    <w:rsid w:val="00E176D9"/>
    <w:rsid w:val="00E17F53"/>
    <w:rsid w:val="00E20175"/>
    <w:rsid w:val="00E20374"/>
    <w:rsid w:val="00E205A6"/>
    <w:rsid w:val="00E206CA"/>
    <w:rsid w:val="00E2071C"/>
    <w:rsid w:val="00E20A88"/>
    <w:rsid w:val="00E20AA5"/>
    <w:rsid w:val="00E20E86"/>
    <w:rsid w:val="00E2100E"/>
    <w:rsid w:val="00E2104A"/>
    <w:rsid w:val="00E210CF"/>
    <w:rsid w:val="00E2118E"/>
    <w:rsid w:val="00E2160F"/>
    <w:rsid w:val="00E21C1D"/>
    <w:rsid w:val="00E21DF5"/>
    <w:rsid w:val="00E220EF"/>
    <w:rsid w:val="00E22252"/>
    <w:rsid w:val="00E2236A"/>
    <w:rsid w:val="00E224E4"/>
    <w:rsid w:val="00E227E8"/>
    <w:rsid w:val="00E228EB"/>
    <w:rsid w:val="00E2295E"/>
    <w:rsid w:val="00E22A3C"/>
    <w:rsid w:val="00E22F1E"/>
    <w:rsid w:val="00E231F3"/>
    <w:rsid w:val="00E2359D"/>
    <w:rsid w:val="00E2360D"/>
    <w:rsid w:val="00E23B9A"/>
    <w:rsid w:val="00E23BB7"/>
    <w:rsid w:val="00E23CA8"/>
    <w:rsid w:val="00E24029"/>
    <w:rsid w:val="00E244BE"/>
    <w:rsid w:val="00E245C3"/>
    <w:rsid w:val="00E24B89"/>
    <w:rsid w:val="00E24F18"/>
    <w:rsid w:val="00E24FFB"/>
    <w:rsid w:val="00E2554C"/>
    <w:rsid w:val="00E257AD"/>
    <w:rsid w:val="00E25D9B"/>
    <w:rsid w:val="00E25F25"/>
    <w:rsid w:val="00E262CB"/>
    <w:rsid w:val="00E26658"/>
    <w:rsid w:val="00E267C9"/>
    <w:rsid w:val="00E26E3A"/>
    <w:rsid w:val="00E270AB"/>
    <w:rsid w:val="00E2718D"/>
    <w:rsid w:val="00E2744C"/>
    <w:rsid w:val="00E27647"/>
    <w:rsid w:val="00E279C1"/>
    <w:rsid w:val="00E27A79"/>
    <w:rsid w:val="00E27D52"/>
    <w:rsid w:val="00E310B6"/>
    <w:rsid w:val="00E31693"/>
    <w:rsid w:val="00E318F6"/>
    <w:rsid w:val="00E31907"/>
    <w:rsid w:val="00E31913"/>
    <w:rsid w:val="00E31A06"/>
    <w:rsid w:val="00E31C4C"/>
    <w:rsid w:val="00E31F79"/>
    <w:rsid w:val="00E32297"/>
    <w:rsid w:val="00E323D2"/>
    <w:rsid w:val="00E3241A"/>
    <w:rsid w:val="00E324F2"/>
    <w:rsid w:val="00E325DD"/>
    <w:rsid w:val="00E32A58"/>
    <w:rsid w:val="00E32AE9"/>
    <w:rsid w:val="00E32D18"/>
    <w:rsid w:val="00E32F0B"/>
    <w:rsid w:val="00E33405"/>
    <w:rsid w:val="00E336CF"/>
    <w:rsid w:val="00E34248"/>
    <w:rsid w:val="00E3435A"/>
    <w:rsid w:val="00E343BB"/>
    <w:rsid w:val="00E3476A"/>
    <w:rsid w:val="00E34A13"/>
    <w:rsid w:val="00E34BE2"/>
    <w:rsid w:val="00E34CED"/>
    <w:rsid w:val="00E34DD5"/>
    <w:rsid w:val="00E35313"/>
    <w:rsid w:val="00E3572B"/>
    <w:rsid w:val="00E35CE0"/>
    <w:rsid w:val="00E35DDD"/>
    <w:rsid w:val="00E35FCE"/>
    <w:rsid w:val="00E36649"/>
    <w:rsid w:val="00E36A57"/>
    <w:rsid w:val="00E36F2C"/>
    <w:rsid w:val="00E37150"/>
    <w:rsid w:val="00E371CB"/>
    <w:rsid w:val="00E37462"/>
    <w:rsid w:val="00E37BDE"/>
    <w:rsid w:val="00E37CA1"/>
    <w:rsid w:val="00E37D13"/>
    <w:rsid w:val="00E37DAD"/>
    <w:rsid w:val="00E37F67"/>
    <w:rsid w:val="00E4016B"/>
    <w:rsid w:val="00E40981"/>
    <w:rsid w:val="00E40D74"/>
    <w:rsid w:val="00E41488"/>
    <w:rsid w:val="00E41645"/>
    <w:rsid w:val="00E418AE"/>
    <w:rsid w:val="00E41A14"/>
    <w:rsid w:val="00E41C7E"/>
    <w:rsid w:val="00E42095"/>
    <w:rsid w:val="00E423A9"/>
    <w:rsid w:val="00E425AF"/>
    <w:rsid w:val="00E42800"/>
    <w:rsid w:val="00E42804"/>
    <w:rsid w:val="00E42DE1"/>
    <w:rsid w:val="00E43219"/>
    <w:rsid w:val="00E43A6F"/>
    <w:rsid w:val="00E43B17"/>
    <w:rsid w:val="00E43B81"/>
    <w:rsid w:val="00E43BD3"/>
    <w:rsid w:val="00E43D1A"/>
    <w:rsid w:val="00E43D6C"/>
    <w:rsid w:val="00E43E2E"/>
    <w:rsid w:val="00E44307"/>
    <w:rsid w:val="00E4435A"/>
    <w:rsid w:val="00E443F7"/>
    <w:rsid w:val="00E44D2D"/>
    <w:rsid w:val="00E45CF1"/>
    <w:rsid w:val="00E45D6B"/>
    <w:rsid w:val="00E45D8B"/>
    <w:rsid w:val="00E45F0E"/>
    <w:rsid w:val="00E468EB"/>
    <w:rsid w:val="00E4698C"/>
    <w:rsid w:val="00E4699E"/>
    <w:rsid w:val="00E469D9"/>
    <w:rsid w:val="00E46B87"/>
    <w:rsid w:val="00E46B8D"/>
    <w:rsid w:val="00E46DBB"/>
    <w:rsid w:val="00E46E62"/>
    <w:rsid w:val="00E46F9F"/>
    <w:rsid w:val="00E470FE"/>
    <w:rsid w:val="00E4741C"/>
    <w:rsid w:val="00E4749C"/>
    <w:rsid w:val="00E47617"/>
    <w:rsid w:val="00E476BE"/>
    <w:rsid w:val="00E47703"/>
    <w:rsid w:val="00E478A7"/>
    <w:rsid w:val="00E47B6E"/>
    <w:rsid w:val="00E47B7A"/>
    <w:rsid w:val="00E47CFF"/>
    <w:rsid w:val="00E47DDC"/>
    <w:rsid w:val="00E50177"/>
    <w:rsid w:val="00E502C7"/>
    <w:rsid w:val="00E50A24"/>
    <w:rsid w:val="00E50B88"/>
    <w:rsid w:val="00E50E41"/>
    <w:rsid w:val="00E51218"/>
    <w:rsid w:val="00E51245"/>
    <w:rsid w:val="00E5129E"/>
    <w:rsid w:val="00E517C3"/>
    <w:rsid w:val="00E517FD"/>
    <w:rsid w:val="00E51ABA"/>
    <w:rsid w:val="00E51ADD"/>
    <w:rsid w:val="00E51BD1"/>
    <w:rsid w:val="00E521F8"/>
    <w:rsid w:val="00E5220E"/>
    <w:rsid w:val="00E524CC"/>
    <w:rsid w:val="00E529AE"/>
    <w:rsid w:val="00E52B0E"/>
    <w:rsid w:val="00E52DFA"/>
    <w:rsid w:val="00E52FF7"/>
    <w:rsid w:val="00E53032"/>
    <w:rsid w:val="00E53138"/>
    <w:rsid w:val="00E53184"/>
    <w:rsid w:val="00E53507"/>
    <w:rsid w:val="00E5353A"/>
    <w:rsid w:val="00E535A3"/>
    <w:rsid w:val="00E53882"/>
    <w:rsid w:val="00E53C6F"/>
    <w:rsid w:val="00E53CB6"/>
    <w:rsid w:val="00E53CE0"/>
    <w:rsid w:val="00E53E32"/>
    <w:rsid w:val="00E5413F"/>
    <w:rsid w:val="00E54884"/>
    <w:rsid w:val="00E54BF0"/>
    <w:rsid w:val="00E54CCC"/>
    <w:rsid w:val="00E5512C"/>
    <w:rsid w:val="00E5526A"/>
    <w:rsid w:val="00E5535B"/>
    <w:rsid w:val="00E5578E"/>
    <w:rsid w:val="00E55BAA"/>
    <w:rsid w:val="00E55D2B"/>
    <w:rsid w:val="00E55EA5"/>
    <w:rsid w:val="00E55F3F"/>
    <w:rsid w:val="00E564F6"/>
    <w:rsid w:val="00E567E6"/>
    <w:rsid w:val="00E568A0"/>
    <w:rsid w:val="00E56A4B"/>
    <w:rsid w:val="00E56C4F"/>
    <w:rsid w:val="00E56E63"/>
    <w:rsid w:val="00E57169"/>
    <w:rsid w:val="00E577F5"/>
    <w:rsid w:val="00E57824"/>
    <w:rsid w:val="00E578FC"/>
    <w:rsid w:val="00E57C19"/>
    <w:rsid w:val="00E57EEC"/>
    <w:rsid w:val="00E60104"/>
    <w:rsid w:val="00E60153"/>
    <w:rsid w:val="00E602E9"/>
    <w:rsid w:val="00E60638"/>
    <w:rsid w:val="00E609C6"/>
    <w:rsid w:val="00E60BF5"/>
    <w:rsid w:val="00E60E13"/>
    <w:rsid w:val="00E60EC0"/>
    <w:rsid w:val="00E611A8"/>
    <w:rsid w:val="00E617AD"/>
    <w:rsid w:val="00E61960"/>
    <w:rsid w:val="00E61BA1"/>
    <w:rsid w:val="00E6213A"/>
    <w:rsid w:val="00E621F2"/>
    <w:rsid w:val="00E622D6"/>
    <w:rsid w:val="00E62345"/>
    <w:rsid w:val="00E6284C"/>
    <w:rsid w:val="00E62EC8"/>
    <w:rsid w:val="00E630B7"/>
    <w:rsid w:val="00E63237"/>
    <w:rsid w:val="00E63486"/>
    <w:rsid w:val="00E6348D"/>
    <w:rsid w:val="00E635A6"/>
    <w:rsid w:val="00E6386C"/>
    <w:rsid w:val="00E63B5F"/>
    <w:rsid w:val="00E63B7A"/>
    <w:rsid w:val="00E6423E"/>
    <w:rsid w:val="00E646C8"/>
    <w:rsid w:val="00E64854"/>
    <w:rsid w:val="00E648D9"/>
    <w:rsid w:val="00E6494B"/>
    <w:rsid w:val="00E649A8"/>
    <w:rsid w:val="00E64F0C"/>
    <w:rsid w:val="00E64FAB"/>
    <w:rsid w:val="00E65157"/>
    <w:rsid w:val="00E65267"/>
    <w:rsid w:val="00E65269"/>
    <w:rsid w:val="00E6593A"/>
    <w:rsid w:val="00E65AFC"/>
    <w:rsid w:val="00E65BEA"/>
    <w:rsid w:val="00E6622E"/>
    <w:rsid w:val="00E662FC"/>
    <w:rsid w:val="00E6652E"/>
    <w:rsid w:val="00E66548"/>
    <w:rsid w:val="00E66633"/>
    <w:rsid w:val="00E667E3"/>
    <w:rsid w:val="00E668E5"/>
    <w:rsid w:val="00E669AA"/>
    <w:rsid w:val="00E66ABA"/>
    <w:rsid w:val="00E66BF7"/>
    <w:rsid w:val="00E66D4C"/>
    <w:rsid w:val="00E66D8D"/>
    <w:rsid w:val="00E66DB1"/>
    <w:rsid w:val="00E66E8D"/>
    <w:rsid w:val="00E67287"/>
    <w:rsid w:val="00E676D0"/>
    <w:rsid w:val="00E676E5"/>
    <w:rsid w:val="00E6770B"/>
    <w:rsid w:val="00E677C6"/>
    <w:rsid w:val="00E67801"/>
    <w:rsid w:val="00E67BA0"/>
    <w:rsid w:val="00E70011"/>
    <w:rsid w:val="00E70247"/>
    <w:rsid w:val="00E702DC"/>
    <w:rsid w:val="00E703F4"/>
    <w:rsid w:val="00E703F6"/>
    <w:rsid w:val="00E7052D"/>
    <w:rsid w:val="00E7068B"/>
    <w:rsid w:val="00E70718"/>
    <w:rsid w:val="00E707F4"/>
    <w:rsid w:val="00E7093D"/>
    <w:rsid w:val="00E70B55"/>
    <w:rsid w:val="00E70E48"/>
    <w:rsid w:val="00E710C0"/>
    <w:rsid w:val="00E71271"/>
    <w:rsid w:val="00E7151B"/>
    <w:rsid w:val="00E715C1"/>
    <w:rsid w:val="00E716AD"/>
    <w:rsid w:val="00E7183C"/>
    <w:rsid w:val="00E71905"/>
    <w:rsid w:val="00E71B1F"/>
    <w:rsid w:val="00E722BA"/>
    <w:rsid w:val="00E7241E"/>
    <w:rsid w:val="00E727A4"/>
    <w:rsid w:val="00E728E3"/>
    <w:rsid w:val="00E73647"/>
    <w:rsid w:val="00E7372C"/>
    <w:rsid w:val="00E73806"/>
    <w:rsid w:val="00E73931"/>
    <w:rsid w:val="00E73DD5"/>
    <w:rsid w:val="00E73F15"/>
    <w:rsid w:val="00E73F53"/>
    <w:rsid w:val="00E7437D"/>
    <w:rsid w:val="00E74692"/>
    <w:rsid w:val="00E74695"/>
    <w:rsid w:val="00E74855"/>
    <w:rsid w:val="00E74AAE"/>
    <w:rsid w:val="00E74B72"/>
    <w:rsid w:val="00E74B8E"/>
    <w:rsid w:val="00E750D1"/>
    <w:rsid w:val="00E751E7"/>
    <w:rsid w:val="00E7522A"/>
    <w:rsid w:val="00E75438"/>
    <w:rsid w:val="00E7553E"/>
    <w:rsid w:val="00E7573C"/>
    <w:rsid w:val="00E76075"/>
    <w:rsid w:val="00E760CF"/>
    <w:rsid w:val="00E76163"/>
    <w:rsid w:val="00E76BA2"/>
    <w:rsid w:val="00E76FC4"/>
    <w:rsid w:val="00E7706F"/>
    <w:rsid w:val="00E77178"/>
    <w:rsid w:val="00E773B7"/>
    <w:rsid w:val="00E77467"/>
    <w:rsid w:val="00E7792C"/>
    <w:rsid w:val="00E77962"/>
    <w:rsid w:val="00E77C27"/>
    <w:rsid w:val="00E80015"/>
    <w:rsid w:val="00E802A1"/>
    <w:rsid w:val="00E80518"/>
    <w:rsid w:val="00E805E9"/>
    <w:rsid w:val="00E81219"/>
    <w:rsid w:val="00E81368"/>
    <w:rsid w:val="00E81491"/>
    <w:rsid w:val="00E817A0"/>
    <w:rsid w:val="00E81AE3"/>
    <w:rsid w:val="00E81C5E"/>
    <w:rsid w:val="00E81E96"/>
    <w:rsid w:val="00E81EF2"/>
    <w:rsid w:val="00E81F19"/>
    <w:rsid w:val="00E8218C"/>
    <w:rsid w:val="00E821A5"/>
    <w:rsid w:val="00E82259"/>
    <w:rsid w:val="00E824EC"/>
    <w:rsid w:val="00E82704"/>
    <w:rsid w:val="00E82A88"/>
    <w:rsid w:val="00E82D19"/>
    <w:rsid w:val="00E82E7C"/>
    <w:rsid w:val="00E8309C"/>
    <w:rsid w:val="00E833C3"/>
    <w:rsid w:val="00E83761"/>
    <w:rsid w:val="00E8390B"/>
    <w:rsid w:val="00E83DF6"/>
    <w:rsid w:val="00E840FE"/>
    <w:rsid w:val="00E8421E"/>
    <w:rsid w:val="00E8450C"/>
    <w:rsid w:val="00E84526"/>
    <w:rsid w:val="00E84552"/>
    <w:rsid w:val="00E847CD"/>
    <w:rsid w:val="00E849CB"/>
    <w:rsid w:val="00E84EF2"/>
    <w:rsid w:val="00E85130"/>
    <w:rsid w:val="00E853B8"/>
    <w:rsid w:val="00E859CC"/>
    <w:rsid w:val="00E85BBA"/>
    <w:rsid w:val="00E85DE1"/>
    <w:rsid w:val="00E85FD4"/>
    <w:rsid w:val="00E8611E"/>
    <w:rsid w:val="00E8623F"/>
    <w:rsid w:val="00E863E0"/>
    <w:rsid w:val="00E86A26"/>
    <w:rsid w:val="00E86C8B"/>
    <w:rsid w:val="00E87072"/>
    <w:rsid w:val="00E874B3"/>
    <w:rsid w:val="00E875D7"/>
    <w:rsid w:val="00E87769"/>
    <w:rsid w:val="00E87903"/>
    <w:rsid w:val="00E87FC6"/>
    <w:rsid w:val="00E900CC"/>
    <w:rsid w:val="00E90144"/>
    <w:rsid w:val="00E90207"/>
    <w:rsid w:val="00E904E1"/>
    <w:rsid w:val="00E9081F"/>
    <w:rsid w:val="00E90FAC"/>
    <w:rsid w:val="00E910AB"/>
    <w:rsid w:val="00E91560"/>
    <w:rsid w:val="00E915D6"/>
    <w:rsid w:val="00E9173A"/>
    <w:rsid w:val="00E91BCA"/>
    <w:rsid w:val="00E91F50"/>
    <w:rsid w:val="00E92120"/>
    <w:rsid w:val="00E92661"/>
    <w:rsid w:val="00E92704"/>
    <w:rsid w:val="00E92895"/>
    <w:rsid w:val="00E92E34"/>
    <w:rsid w:val="00E93372"/>
    <w:rsid w:val="00E93593"/>
    <w:rsid w:val="00E93726"/>
    <w:rsid w:val="00E9383D"/>
    <w:rsid w:val="00E93A3A"/>
    <w:rsid w:val="00E93D01"/>
    <w:rsid w:val="00E94889"/>
    <w:rsid w:val="00E94B11"/>
    <w:rsid w:val="00E94B29"/>
    <w:rsid w:val="00E94BE3"/>
    <w:rsid w:val="00E94BF3"/>
    <w:rsid w:val="00E94CF3"/>
    <w:rsid w:val="00E94D21"/>
    <w:rsid w:val="00E9540C"/>
    <w:rsid w:val="00E95435"/>
    <w:rsid w:val="00E956C7"/>
    <w:rsid w:val="00E957A7"/>
    <w:rsid w:val="00E95CF2"/>
    <w:rsid w:val="00E96009"/>
    <w:rsid w:val="00E960D9"/>
    <w:rsid w:val="00E961AF"/>
    <w:rsid w:val="00E964AF"/>
    <w:rsid w:val="00E96745"/>
    <w:rsid w:val="00E96968"/>
    <w:rsid w:val="00E96BF8"/>
    <w:rsid w:val="00E96EBE"/>
    <w:rsid w:val="00E9727A"/>
    <w:rsid w:val="00E97563"/>
    <w:rsid w:val="00E975FD"/>
    <w:rsid w:val="00E9761E"/>
    <w:rsid w:val="00E9771A"/>
    <w:rsid w:val="00E9775B"/>
    <w:rsid w:val="00E97D0E"/>
    <w:rsid w:val="00EA0325"/>
    <w:rsid w:val="00EA09A2"/>
    <w:rsid w:val="00EA0B38"/>
    <w:rsid w:val="00EA0C27"/>
    <w:rsid w:val="00EA0C7F"/>
    <w:rsid w:val="00EA0CBC"/>
    <w:rsid w:val="00EA0D58"/>
    <w:rsid w:val="00EA0DB6"/>
    <w:rsid w:val="00EA0E02"/>
    <w:rsid w:val="00EA0F9A"/>
    <w:rsid w:val="00EA1622"/>
    <w:rsid w:val="00EA168A"/>
    <w:rsid w:val="00EA1B2E"/>
    <w:rsid w:val="00EA1BE4"/>
    <w:rsid w:val="00EA1D5F"/>
    <w:rsid w:val="00EA226C"/>
    <w:rsid w:val="00EA2295"/>
    <w:rsid w:val="00EA2684"/>
    <w:rsid w:val="00EA26AB"/>
    <w:rsid w:val="00EA2962"/>
    <w:rsid w:val="00EA2C34"/>
    <w:rsid w:val="00EA30E4"/>
    <w:rsid w:val="00EA31F4"/>
    <w:rsid w:val="00EA327C"/>
    <w:rsid w:val="00EA34C2"/>
    <w:rsid w:val="00EA3536"/>
    <w:rsid w:val="00EA36BB"/>
    <w:rsid w:val="00EA381D"/>
    <w:rsid w:val="00EA3A8B"/>
    <w:rsid w:val="00EA3F42"/>
    <w:rsid w:val="00EA44D4"/>
    <w:rsid w:val="00EA4721"/>
    <w:rsid w:val="00EA4CB7"/>
    <w:rsid w:val="00EA4E86"/>
    <w:rsid w:val="00EA5277"/>
    <w:rsid w:val="00EA541E"/>
    <w:rsid w:val="00EA56C9"/>
    <w:rsid w:val="00EA587F"/>
    <w:rsid w:val="00EA5BDE"/>
    <w:rsid w:val="00EA5F5F"/>
    <w:rsid w:val="00EA6597"/>
    <w:rsid w:val="00EA67B6"/>
    <w:rsid w:val="00EA6C6F"/>
    <w:rsid w:val="00EA6CE3"/>
    <w:rsid w:val="00EA6E1B"/>
    <w:rsid w:val="00EA6F48"/>
    <w:rsid w:val="00EA701E"/>
    <w:rsid w:val="00EA7055"/>
    <w:rsid w:val="00EA769F"/>
    <w:rsid w:val="00EA7728"/>
    <w:rsid w:val="00EA78A6"/>
    <w:rsid w:val="00EA7A41"/>
    <w:rsid w:val="00EA7EB7"/>
    <w:rsid w:val="00EA7EBC"/>
    <w:rsid w:val="00EB00DD"/>
    <w:rsid w:val="00EB0801"/>
    <w:rsid w:val="00EB1108"/>
    <w:rsid w:val="00EB1427"/>
    <w:rsid w:val="00EB1A75"/>
    <w:rsid w:val="00EB1A7D"/>
    <w:rsid w:val="00EB1C4F"/>
    <w:rsid w:val="00EB1D32"/>
    <w:rsid w:val="00EB1D3A"/>
    <w:rsid w:val="00EB1DC6"/>
    <w:rsid w:val="00EB2354"/>
    <w:rsid w:val="00EB2656"/>
    <w:rsid w:val="00EB2C01"/>
    <w:rsid w:val="00EB2E54"/>
    <w:rsid w:val="00EB2F63"/>
    <w:rsid w:val="00EB327B"/>
    <w:rsid w:val="00EB32C9"/>
    <w:rsid w:val="00EB33B4"/>
    <w:rsid w:val="00EB3543"/>
    <w:rsid w:val="00EB3A8B"/>
    <w:rsid w:val="00EB3F24"/>
    <w:rsid w:val="00EB4459"/>
    <w:rsid w:val="00EB4712"/>
    <w:rsid w:val="00EB4ABD"/>
    <w:rsid w:val="00EB4AE2"/>
    <w:rsid w:val="00EB4B43"/>
    <w:rsid w:val="00EB4CC6"/>
    <w:rsid w:val="00EB4E7B"/>
    <w:rsid w:val="00EB518B"/>
    <w:rsid w:val="00EB5372"/>
    <w:rsid w:val="00EB5428"/>
    <w:rsid w:val="00EB55AA"/>
    <w:rsid w:val="00EB55EF"/>
    <w:rsid w:val="00EB5C57"/>
    <w:rsid w:val="00EB5FE7"/>
    <w:rsid w:val="00EB6282"/>
    <w:rsid w:val="00EB62E1"/>
    <w:rsid w:val="00EB6382"/>
    <w:rsid w:val="00EB639D"/>
    <w:rsid w:val="00EB678B"/>
    <w:rsid w:val="00EB7178"/>
    <w:rsid w:val="00EB71B4"/>
    <w:rsid w:val="00EB751E"/>
    <w:rsid w:val="00EB76C5"/>
    <w:rsid w:val="00EB7795"/>
    <w:rsid w:val="00EB7D64"/>
    <w:rsid w:val="00EB7FEC"/>
    <w:rsid w:val="00EC015E"/>
    <w:rsid w:val="00EC027F"/>
    <w:rsid w:val="00EC0294"/>
    <w:rsid w:val="00EC0F8E"/>
    <w:rsid w:val="00EC1393"/>
    <w:rsid w:val="00EC17BF"/>
    <w:rsid w:val="00EC1A3D"/>
    <w:rsid w:val="00EC1D18"/>
    <w:rsid w:val="00EC2218"/>
    <w:rsid w:val="00EC221B"/>
    <w:rsid w:val="00EC2395"/>
    <w:rsid w:val="00EC248C"/>
    <w:rsid w:val="00EC2508"/>
    <w:rsid w:val="00EC26A9"/>
    <w:rsid w:val="00EC277E"/>
    <w:rsid w:val="00EC2D81"/>
    <w:rsid w:val="00EC2E4C"/>
    <w:rsid w:val="00EC3000"/>
    <w:rsid w:val="00EC3752"/>
    <w:rsid w:val="00EC388A"/>
    <w:rsid w:val="00EC39B0"/>
    <w:rsid w:val="00EC39E7"/>
    <w:rsid w:val="00EC3A3A"/>
    <w:rsid w:val="00EC3B87"/>
    <w:rsid w:val="00EC3DD6"/>
    <w:rsid w:val="00EC46A9"/>
    <w:rsid w:val="00EC4B29"/>
    <w:rsid w:val="00EC4BDC"/>
    <w:rsid w:val="00EC4F1C"/>
    <w:rsid w:val="00EC4F46"/>
    <w:rsid w:val="00EC5324"/>
    <w:rsid w:val="00EC545D"/>
    <w:rsid w:val="00EC5571"/>
    <w:rsid w:val="00EC5954"/>
    <w:rsid w:val="00EC5B6B"/>
    <w:rsid w:val="00EC5BEE"/>
    <w:rsid w:val="00EC69EC"/>
    <w:rsid w:val="00EC6F15"/>
    <w:rsid w:val="00EC70B9"/>
    <w:rsid w:val="00EC71BC"/>
    <w:rsid w:val="00EC7B30"/>
    <w:rsid w:val="00EC7BD2"/>
    <w:rsid w:val="00ED016D"/>
    <w:rsid w:val="00ED024E"/>
    <w:rsid w:val="00ED03A1"/>
    <w:rsid w:val="00ED0612"/>
    <w:rsid w:val="00ED0841"/>
    <w:rsid w:val="00ED0860"/>
    <w:rsid w:val="00ED0E73"/>
    <w:rsid w:val="00ED152C"/>
    <w:rsid w:val="00ED1574"/>
    <w:rsid w:val="00ED17DB"/>
    <w:rsid w:val="00ED1AD8"/>
    <w:rsid w:val="00ED1C29"/>
    <w:rsid w:val="00ED230E"/>
    <w:rsid w:val="00ED27A5"/>
    <w:rsid w:val="00ED281E"/>
    <w:rsid w:val="00ED3165"/>
    <w:rsid w:val="00ED373B"/>
    <w:rsid w:val="00ED392F"/>
    <w:rsid w:val="00ED3A4E"/>
    <w:rsid w:val="00ED3B48"/>
    <w:rsid w:val="00ED3B8A"/>
    <w:rsid w:val="00ED3E60"/>
    <w:rsid w:val="00ED3FB4"/>
    <w:rsid w:val="00ED4663"/>
    <w:rsid w:val="00ED476E"/>
    <w:rsid w:val="00ED4A42"/>
    <w:rsid w:val="00ED4AD5"/>
    <w:rsid w:val="00ED4E2E"/>
    <w:rsid w:val="00ED5107"/>
    <w:rsid w:val="00ED52A2"/>
    <w:rsid w:val="00ED52E9"/>
    <w:rsid w:val="00ED52F6"/>
    <w:rsid w:val="00ED56FE"/>
    <w:rsid w:val="00ED5851"/>
    <w:rsid w:val="00ED593E"/>
    <w:rsid w:val="00ED5D27"/>
    <w:rsid w:val="00ED6301"/>
    <w:rsid w:val="00ED63BD"/>
    <w:rsid w:val="00ED6572"/>
    <w:rsid w:val="00ED661B"/>
    <w:rsid w:val="00ED6778"/>
    <w:rsid w:val="00ED6781"/>
    <w:rsid w:val="00ED683C"/>
    <w:rsid w:val="00ED694D"/>
    <w:rsid w:val="00ED7452"/>
    <w:rsid w:val="00ED7548"/>
    <w:rsid w:val="00ED7B7F"/>
    <w:rsid w:val="00ED7B8D"/>
    <w:rsid w:val="00EE0442"/>
    <w:rsid w:val="00EE06A6"/>
    <w:rsid w:val="00EE0792"/>
    <w:rsid w:val="00EE0894"/>
    <w:rsid w:val="00EE094C"/>
    <w:rsid w:val="00EE0A1F"/>
    <w:rsid w:val="00EE0C9A"/>
    <w:rsid w:val="00EE0CC1"/>
    <w:rsid w:val="00EE1159"/>
    <w:rsid w:val="00EE1418"/>
    <w:rsid w:val="00EE15EB"/>
    <w:rsid w:val="00EE1840"/>
    <w:rsid w:val="00EE1C7F"/>
    <w:rsid w:val="00EE1D0A"/>
    <w:rsid w:val="00EE1D6A"/>
    <w:rsid w:val="00EE1E18"/>
    <w:rsid w:val="00EE22DC"/>
    <w:rsid w:val="00EE2479"/>
    <w:rsid w:val="00EE283C"/>
    <w:rsid w:val="00EE2871"/>
    <w:rsid w:val="00EE2989"/>
    <w:rsid w:val="00EE29A1"/>
    <w:rsid w:val="00EE2DA7"/>
    <w:rsid w:val="00EE2EEA"/>
    <w:rsid w:val="00EE2F72"/>
    <w:rsid w:val="00EE31B3"/>
    <w:rsid w:val="00EE32A0"/>
    <w:rsid w:val="00EE34F4"/>
    <w:rsid w:val="00EE3D13"/>
    <w:rsid w:val="00EE3EB0"/>
    <w:rsid w:val="00EE4463"/>
    <w:rsid w:val="00EE4654"/>
    <w:rsid w:val="00EE46D3"/>
    <w:rsid w:val="00EE4A5A"/>
    <w:rsid w:val="00EE4D24"/>
    <w:rsid w:val="00EE4D55"/>
    <w:rsid w:val="00EE4DA8"/>
    <w:rsid w:val="00EE5DC4"/>
    <w:rsid w:val="00EE5FBF"/>
    <w:rsid w:val="00EE61BB"/>
    <w:rsid w:val="00EE61FB"/>
    <w:rsid w:val="00EE6381"/>
    <w:rsid w:val="00EE642E"/>
    <w:rsid w:val="00EE66E7"/>
    <w:rsid w:val="00EE673C"/>
    <w:rsid w:val="00EE68A4"/>
    <w:rsid w:val="00EE696A"/>
    <w:rsid w:val="00EE6DC1"/>
    <w:rsid w:val="00EE6F46"/>
    <w:rsid w:val="00EE7037"/>
    <w:rsid w:val="00EE79EE"/>
    <w:rsid w:val="00EE7B08"/>
    <w:rsid w:val="00EE7E33"/>
    <w:rsid w:val="00EE7F7D"/>
    <w:rsid w:val="00EF049A"/>
    <w:rsid w:val="00EF055C"/>
    <w:rsid w:val="00EF0690"/>
    <w:rsid w:val="00EF072C"/>
    <w:rsid w:val="00EF076F"/>
    <w:rsid w:val="00EF0981"/>
    <w:rsid w:val="00EF0CE3"/>
    <w:rsid w:val="00EF0FAB"/>
    <w:rsid w:val="00EF1086"/>
    <w:rsid w:val="00EF1A26"/>
    <w:rsid w:val="00EF1A96"/>
    <w:rsid w:val="00EF1BB5"/>
    <w:rsid w:val="00EF1DB4"/>
    <w:rsid w:val="00EF2058"/>
    <w:rsid w:val="00EF20C2"/>
    <w:rsid w:val="00EF2363"/>
    <w:rsid w:val="00EF2997"/>
    <w:rsid w:val="00EF332A"/>
    <w:rsid w:val="00EF35C5"/>
    <w:rsid w:val="00EF3A7F"/>
    <w:rsid w:val="00EF3D20"/>
    <w:rsid w:val="00EF4352"/>
    <w:rsid w:val="00EF4472"/>
    <w:rsid w:val="00EF46E4"/>
    <w:rsid w:val="00EF4768"/>
    <w:rsid w:val="00EF4FED"/>
    <w:rsid w:val="00EF525C"/>
    <w:rsid w:val="00EF5266"/>
    <w:rsid w:val="00EF55BD"/>
    <w:rsid w:val="00EF5862"/>
    <w:rsid w:val="00EF597F"/>
    <w:rsid w:val="00EF5D47"/>
    <w:rsid w:val="00EF5DE1"/>
    <w:rsid w:val="00EF67D7"/>
    <w:rsid w:val="00EF6CFE"/>
    <w:rsid w:val="00EF6DA0"/>
    <w:rsid w:val="00EF7746"/>
    <w:rsid w:val="00EF7D8C"/>
    <w:rsid w:val="00EF7D91"/>
    <w:rsid w:val="00F001EF"/>
    <w:rsid w:val="00F00605"/>
    <w:rsid w:val="00F00877"/>
    <w:rsid w:val="00F00C26"/>
    <w:rsid w:val="00F00DBA"/>
    <w:rsid w:val="00F01036"/>
    <w:rsid w:val="00F012C9"/>
    <w:rsid w:val="00F012D7"/>
    <w:rsid w:val="00F013C6"/>
    <w:rsid w:val="00F015D0"/>
    <w:rsid w:val="00F01EAB"/>
    <w:rsid w:val="00F02FAA"/>
    <w:rsid w:val="00F0339E"/>
    <w:rsid w:val="00F034FD"/>
    <w:rsid w:val="00F03548"/>
    <w:rsid w:val="00F035C4"/>
    <w:rsid w:val="00F035C9"/>
    <w:rsid w:val="00F03703"/>
    <w:rsid w:val="00F03947"/>
    <w:rsid w:val="00F03CCD"/>
    <w:rsid w:val="00F03DB2"/>
    <w:rsid w:val="00F03DEB"/>
    <w:rsid w:val="00F03EC1"/>
    <w:rsid w:val="00F03FC3"/>
    <w:rsid w:val="00F04C4E"/>
    <w:rsid w:val="00F04D90"/>
    <w:rsid w:val="00F04D99"/>
    <w:rsid w:val="00F04E12"/>
    <w:rsid w:val="00F051C3"/>
    <w:rsid w:val="00F0525D"/>
    <w:rsid w:val="00F05270"/>
    <w:rsid w:val="00F05319"/>
    <w:rsid w:val="00F057B7"/>
    <w:rsid w:val="00F057CD"/>
    <w:rsid w:val="00F059D9"/>
    <w:rsid w:val="00F05B22"/>
    <w:rsid w:val="00F05F3F"/>
    <w:rsid w:val="00F05F6C"/>
    <w:rsid w:val="00F06336"/>
    <w:rsid w:val="00F064A4"/>
    <w:rsid w:val="00F069B7"/>
    <w:rsid w:val="00F06C94"/>
    <w:rsid w:val="00F06E83"/>
    <w:rsid w:val="00F06ECF"/>
    <w:rsid w:val="00F06F28"/>
    <w:rsid w:val="00F074D4"/>
    <w:rsid w:val="00F07B70"/>
    <w:rsid w:val="00F07BCB"/>
    <w:rsid w:val="00F07FEC"/>
    <w:rsid w:val="00F102E7"/>
    <w:rsid w:val="00F11325"/>
    <w:rsid w:val="00F11609"/>
    <w:rsid w:val="00F119DF"/>
    <w:rsid w:val="00F11BAA"/>
    <w:rsid w:val="00F12515"/>
    <w:rsid w:val="00F12B0E"/>
    <w:rsid w:val="00F12E4C"/>
    <w:rsid w:val="00F12F20"/>
    <w:rsid w:val="00F1319F"/>
    <w:rsid w:val="00F13315"/>
    <w:rsid w:val="00F13482"/>
    <w:rsid w:val="00F13554"/>
    <w:rsid w:val="00F136D1"/>
    <w:rsid w:val="00F13C8B"/>
    <w:rsid w:val="00F13C9F"/>
    <w:rsid w:val="00F13CCB"/>
    <w:rsid w:val="00F1453B"/>
    <w:rsid w:val="00F14582"/>
    <w:rsid w:val="00F145F6"/>
    <w:rsid w:val="00F147B8"/>
    <w:rsid w:val="00F148B4"/>
    <w:rsid w:val="00F1491E"/>
    <w:rsid w:val="00F149C8"/>
    <w:rsid w:val="00F149FA"/>
    <w:rsid w:val="00F14A2D"/>
    <w:rsid w:val="00F14E8B"/>
    <w:rsid w:val="00F150D6"/>
    <w:rsid w:val="00F1518D"/>
    <w:rsid w:val="00F1551F"/>
    <w:rsid w:val="00F1568D"/>
    <w:rsid w:val="00F156FA"/>
    <w:rsid w:val="00F15768"/>
    <w:rsid w:val="00F15F1C"/>
    <w:rsid w:val="00F1633F"/>
    <w:rsid w:val="00F164B2"/>
    <w:rsid w:val="00F16829"/>
    <w:rsid w:val="00F16996"/>
    <w:rsid w:val="00F16A8A"/>
    <w:rsid w:val="00F16F3D"/>
    <w:rsid w:val="00F17499"/>
    <w:rsid w:val="00F175F4"/>
    <w:rsid w:val="00F177D8"/>
    <w:rsid w:val="00F17914"/>
    <w:rsid w:val="00F2023D"/>
    <w:rsid w:val="00F20470"/>
    <w:rsid w:val="00F20C26"/>
    <w:rsid w:val="00F20C37"/>
    <w:rsid w:val="00F210DE"/>
    <w:rsid w:val="00F21215"/>
    <w:rsid w:val="00F2172B"/>
    <w:rsid w:val="00F21825"/>
    <w:rsid w:val="00F21F30"/>
    <w:rsid w:val="00F220E8"/>
    <w:rsid w:val="00F22682"/>
    <w:rsid w:val="00F22B7E"/>
    <w:rsid w:val="00F22BF7"/>
    <w:rsid w:val="00F22C12"/>
    <w:rsid w:val="00F22F4B"/>
    <w:rsid w:val="00F232F2"/>
    <w:rsid w:val="00F236F2"/>
    <w:rsid w:val="00F23B5C"/>
    <w:rsid w:val="00F24296"/>
    <w:rsid w:val="00F24361"/>
    <w:rsid w:val="00F24409"/>
    <w:rsid w:val="00F245C9"/>
    <w:rsid w:val="00F24628"/>
    <w:rsid w:val="00F246EE"/>
    <w:rsid w:val="00F248AA"/>
    <w:rsid w:val="00F24CB0"/>
    <w:rsid w:val="00F24FD7"/>
    <w:rsid w:val="00F25319"/>
    <w:rsid w:val="00F254A9"/>
    <w:rsid w:val="00F25AD5"/>
    <w:rsid w:val="00F25D36"/>
    <w:rsid w:val="00F26D97"/>
    <w:rsid w:val="00F26DEC"/>
    <w:rsid w:val="00F26E03"/>
    <w:rsid w:val="00F26ED2"/>
    <w:rsid w:val="00F27A96"/>
    <w:rsid w:val="00F27BF6"/>
    <w:rsid w:val="00F27C38"/>
    <w:rsid w:val="00F27DC5"/>
    <w:rsid w:val="00F3020D"/>
    <w:rsid w:val="00F30701"/>
    <w:rsid w:val="00F307C5"/>
    <w:rsid w:val="00F30D86"/>
    <w:rsid w:val="00F31060"/>
    <w:rsid w:val="00F310B3"/>
    <w:rsid w:val="00F31213"/>
    <w:rsid w:val="00F31DD8"/>
    <w:rsid w:val="00F31EB4"/>
    <w:rsid w:val="00F3200C"/>
    <w:rsid w:val="00F32579"/>
    <w:rsid w:val="00F32584"/>
    <w:rsid w:val="00F326C9"/>
    <w:rsid w:val="00F32704"/>
    <w:rsid w:val="00F3294D"/>
    <w:rsid w:val="00F32AA6"/>
    <w:rsid w:val="00F32B0B"/>
    <w:rsid w:val="00F3303B"/>
    <w:rsid w:val="00F330FC"/>
    <w:rsid w:val="00F33660"/>
    <w:rsid w:val="00F33A6F"/>
    <w:rsid w:val="00F33B54"/>
    <w:rsid w:val="00F34595"/>
    <w:rsid w:val="00F34C55"/>
    <w:rsid w:val="00F34F20"/>
    <w:rsid w:val="00F355FD"/>
    <w:rsid w:val="00F3563A"/>
    <w:rsid w:val="00F3595D"/>
    <w:rsid w:val="00F35B0C"/>
    <w:rsid w:val="00F35BAA"/>
    <w:rsid w:val="00F35E63"/>
    <w:rsid w:val="00F35EBB"/>
    <w:rsid w:val="00F35F23"/>
    <w:rsid w:val="00F364AD"/>
    <w:rsid w:val="00F36BB8"/>
    <w:rsid w:val="00F36BC0"/>
    <w:rsid w:val="00F3704E"/>
    <w:rsid w:val="00F370E9"/>
    <w:rsid w:val="00F37463"/>
    <w:rsid w:val="00F3747A"/>
    <w:rsid w:val="00F3771A"/>
    <w:rsid w:val="00F378F6"/>
    <w:rsid w:val="00F379DA"/>
    <w:rsid w:val="00F37E37"/>
    <w:rsid w:val="00F402E2"/>
    <w:rsid w:val="00F4057F"/>
    <w:rsid w:val="00F40728"/>
    <w:rsid w:val="00F40B31"/>
    <w:rsid w:val="00F40BC1"/>
    <w:rsid w:val="00F40C8E"/>
    <w:rsid w:val="00F413ED"/>
    <w:rsid w:val="00F41488"/>
    <w:rsid w:val="00F41511"/>
    <w:rsid w:val="00F4174A"/>
    <w:rsid w:val="00F41846"/>
    <w:rsid w:val="00F418E1"/>
    <w:rsid w:val="00F41B03"/>
    <w:rsid w:val="00F41B06"/>
    <w:rsid w:val="00F41E94"/>
    <w:rsid w:val="00F423A9"/>
    <w:rsid w:val="00F42467"/>
    <w:rsid w:val="00F42965"/>
    <w:rsid w:val="00F42D3B"/>
    <w:rsid w:val="00F43041"/>
    <w:rsid w:val="00F430D8"/>
    <w:rsid w:val="00F43673"/>
    <w:rsid w:val="00F43BA3"/>
    <w:rsid w:val="00F43F4D"/>
    <w:rsid w:val="00F4417B"/>
    <w:rsid w:val="00F4475C"/>
    <w:rsid w:val="00F449E9"/>
    <w:rsid w:val="00F44A8F"/>
    <w:rsid w:val="00F44B1A"/>
    <w:rsid w:val="00F44B28"/>
    <w:rsid w:val="00F44E5C"/>
    <w:rsid w:val="00F457D3"/>
    <w:rsid w:val="00F45891"/>
    <w:rsid w:val="00F459C4"/>
    <w:rsid w:val="00F45C24"/>
    <w:rsid w:val="00F46021"/>
    <w:rsid w:val="00F4607F"/>
    <w:rsid w:val="00F4637A"/>
    <w:rsid w:val="00F463F9"/>
    <w:rsid w:val="00F46630"/>
    <w:rsid w:val="00F46AA3"/>
    <w:rsid w:val="00F470DE"/>
    <w:rsid w:val="00F472D0"/>
    <w:rsid w:val="00F47394"/>
    <w:rsid w:val="00F475AD"/>
    <w:rsid w:val="00F47610"/>
    <w:rsid w:val="00F47645"/>
    <w:rsid w:val="00F47CF0"/>
    <w:rsid w:val="00F47E4B"/>
    <w:rsid w:val="00F500B2"/>
    <w:rsid w:val="00F50592"/>
    <w:rsid w:val="00F50956"/>
    <w:rsid w:val="00F50963"/>
    <w:rsid w:val="00F50B4D"/>
    <w:rsid w:val="00F50F31"/>
    <w:rsid w:val="00F51036"/>
    <w:rsid w:val="00F51042"/>
    <w:rsid w:val="00F5113D"/>
    <w:rsid w:val="00F5131B"/>
    <w:rsid w:val="00F51A54"/>
    <w:rsid w:val="00F51BF6"/>
    <w:rsid w:val="00F51F91"/>
    <w:rsid w:val="00F5239A"/>
    <w:rsid w:val="00F52458"/>
    <w:rsid w:val="00F525E9"/>
    <w:rsid w:val="00F5271A"/>
    <w:rsid w:val="00F528CC"/>
    <w:rsid w:val="00F529A1"/>
    <w:rsid w:val="00F529E8"/>
    <w:rsid w:val="00F52B06"/>
    <w:rsid w:val="00F5317C"/>
    <w:rsid w:val="00F542EB"/>
    <w:rsid w:val="00F54AEC"/>
    <w:rsid w:val="00F54B98"/>
    <w:rsid w:val="00F54C4D"/>
    <w:rsid w:val="00F54D3F"/>
    <w:rsid w:val="00F54FEF"/>
    <w:rsid w:val="00F555B2"/>
    <w:rsid w:val="00F55AD0"/>
    <w:rsid w:val="00F55EF3"/>
    <w:rsid w:val="00F56D52"/>
    <w:rsid w:val="00F56E0E"/>
    <w:rsid w:val="00F5736A"/>
    <w:rsid w:val="00F57505"/>
    <w:rsid w:val="00F576FA"/>
    <w:rsid w:val="00F57926"/>
    <w:rsid w:val="00F60135"/>
    <w:rsid w:val="00F603B4"/>
    <w:rsid w:val="00F6071F"/>
    <w:rsid w:val="00F6076E"/>
    <w:rsid w:val="00F60E9C"/>
    <w:rsid w:val="00F614EE"/>
    <w:rsid w:val="00F615B7"/>
    <w:rsid w:val="00F618A1"/>
    <w:rsid w:val="00F6197C"/>
    <w:rsid w:val="00F62294"/>
    <w:rsid w:val="00F63347"/>
    <w:rsid w:val="00F6338F"/>
    <w:rsid w:val="00F633F4"/>
    <w:rsid w:val="00F635C5"/>
    <w:rsid w:val="00F63943"/>
    <w:rsid w:val="00F63CC3"/>
    <w:rsid w:val="00F64277"/>
    <w:rsid w:val="00F64C73"/>
    <w:rsid w:val="00F64F90"/>
    <w:rsid w:val="00F6519E"/>
    <w:rsid w:val="00F65769"/>
    <w:rsid w:val="00F6585A"/>
    <w:rsid w:val="00F65C26"/>
    <w:rsid w:val="00F6601A"/>
    <w:rsid w:val="00F662F4"/>
    <w:rsid w:val="00F66478"/>
    <w:rsid w:val="00F66479"/>
    <w:rsid w:val="00F664C8"/>
    <w:rsid w:val="00F66610"/>
    <w:rsid w:val="00F6672D"/>
    <w:rsid w:val="00F66995"/>
    <w:rsid w:val="00F66C20"/>
    <w:rsid w:val="00F67011"/>
    <w:rsid w:val="00F67033"/>
    <w:rsid w:val="00F672D7"/>
    <w:rsid w:val="00F67801"/>
    <w:rsid w:val="00F67819"/>
    <w:rsid w:val="00F70882"/>
    <w:rsid w:val="00F70B95"/>
    <w:rsid w:val="00F70E38"/>
    <w:rsid w:val="00F70E4A"/>
    <w:rsid w:val="00F712CC"/>
    <w:rsid w:val="00F7163A"/>
    <w:rsid w:val="00F7222B"/>
    <w:rsid w:val="00F72298"/>
    <w:rsid w:val="00F72687"/>
    <w:rsid w:val="00F728CF"/>
    <w:rsid w:val="00F72B7B"/>
    <w:rsid w:val="00F72F36"/>
    <w:rsid w:val="00F73040"/>
    <w:rsid w:val="00F73144"/>
    <w:rsid w:val="00F73454"/>
    <w:rsid w:val="00F7348D"/>
    <w:rsid w:val="00F73955"/>
    <w:rsid w:val="00F739F3"/>
    <w:rsid w:val="00F73AD5"/>
    <w:rsid w:val="00F73BB6"/>
    <w:rsid w:val="00F73E55"/>
    <w:rsid w:val="00F74774"/>
    <w:rsid w:val="00F747C3"/>
    <w:rsid w:val="00F74853"/>
    <w:rsid w:val="00F74B49"/>
    <w:rsid w:val="00F74D7E"/>
    <w:rsid w:val="00F750E8"/>
    <w:rsid w:val="00F751E0"/>
    <w:rsid w:val="00F75273"/>
    <w:rsid w:val="00F75478"/>
    <w:rsid w:val="00F7573B"/>
    <w:rsid w:val="00F757B2"/>
    <w:rsid w:val="00F758FB"/>
    <w:rsid w:val="00F759AA"/>
    <w:rsid w:val="00F75B09"/>
    <w:rsid w:val="00F75E98"/>
    <w:rsid w:val="00F760CC"/>
    <w:rsid w:val="00F762FC"/>
    <w:rsid w:val="00F76CAC"/>
    <w:rsid w:val="00F773F2"/>
    <w:rsid w:val="00F776AA"/>
    <w:rsid w:val="00F778B6"/>
    <w:rsid w:val="00F77A3F"/>
    <w:rsid w:val="00F77B0F"/>
    <w:rsid w:val="00F77B8A"/>
    <w:rsid w:val="00F77D8A"/>
    <w:rsid w:val="00F77D96"/>
    <w:rsid w:val="00F80311"/>
    <w:rsid w:val="00F803C3"/>
    <w:rsid w:val="00F807F7"/>
    <w:rsid w:val="00F80E91"/>
    <w:rsid w:val="00F80F20"/>
    <w:rsid w:val="00F80F27"/>
    <w:rsid w:val="00F80FD9"/>
    <w:rsid w:val="00F8100B"/>
    <w:rsid w:val="00F81165"/>
    <w:rsid w:val="00F81C67"/>
    <w:rsid w:val="00F81C8E"/>
    <w:rsid w:val="00F81D98"/>
    <w:rsid w:val="00F81EA6"/>
    <w:rsid w:val="00F8217C"/>
    <w:rsid w:val="00F82517"/>
    <w:rsid w:val="00F8259C"/>
    <w:rsid w:val="00F827AB"/>
    <w:rsid w:val="00F828CD"/>
    <w:rsid w:val="00F82E4A"/>
    <w:rsid w:val="00F8310F"/>
    <w:rsid w:val="00F833A2"/>
    <w:rsid w:val="00F83558"/>
    <w:rsid w:val="00F835D2"/>
    <w:rsid w:val="00F83A73"/>
    <w:rsid w:val="00F83B52"/>
    <w:rsid w:val="00F8402C"/>
    <w:rsid w:val="00F84104"/>
    <w:rsid w:val="00F842BD"/>
    <w:rsid w:val="00F84309"/>
    <w:rsid w:val="00F84621"/>
    <w:rsid w:val="00F84850"/>
    <w:rsid w:val="00F84C0C"/>
    <w:rsid w:val="00F84E44"/>
    <w:rsid w:val="00F850AC"/>
    <w:rsid w:val="00F85204"/>
    <w:rsid w:val="00F8526E"/>
    <w:rsid w:val="00F852D0"/>
    <w:rsid w:val="00F855FD"/>
    <w:rsid w:val="00F859B8"/>
    <w:rsid w:val="00F85BBA"/>
    <w:rsid w:val="00F861D6"/>
    <w:rsid w:val="00F86399"/>
    <w:rsid w:val="00F86530"/>
    <w:rsid w:val="00F86D0C"/>
    <w:rsid w:val="00F87228"/>
    <w:rsid w:val="00F87691"/>
    <w:rsid w:val="00F8787F"/>
    <w:rsid w:val="00F87D7A"/>
    <w:rsid w:val="00F87E17"/>
    <w:rsid w:val="00F904C7"/>
    <w:rsid w:val="00F90954"/>
    <w:rsid w:val="00F90C6E"/>
    <w:rsid w:val="00F90E27"/>
    <w:rsid w:val="00F910A8"/>
    <w:rsid w:val="00F91494"/>
    <w:rsid w:val="00F914FA"/>
    <w:rsid w:val="00F9165B"/>
    <w:rsid w:val="00F9170B"/>
    <w:rsid w:val="00F917C8"/>
    <w:rsid w:val="00F91910"/>
    <w:rsid w:val="00F91C07"/>
    <w:rsid w:val="00F91CD7"/>
    <w:rsid w:val="00F91D75"/>
    <w:rsid w:val="00F91EB1"/>
    <w:rsid w:val="00F92200"/>
    <w:rsid w:val="00F92F75"/>
    <w:rsid w:val="00F93068"/>
    <w:rsid w:val="00F93187"/>
    <w:rsid w:val="00F9364C"/>
    <w:rsid w:val="00F93743"/>
    <w:rsid w:val="00F937C4"/>
    <w:rsid w:val="00F941E1"/>
    <w:rsid w:val="00F9448E"/>
    <w:rsid w:val="00F94793"/>
    <w:rsid w:val="00F94B70"/>
    <w:rsid w:val="00F94B8A"/>
    <w:rsid w:val="00F94B9A"/>
    <w:rsid w:val="00F94DA7"/>
    <w:rsid w:val="00F94E72"/>
    <w:rsid w:val="00F95129"/>
    <w:rsid w:val="00F95192"/>
    <w:rsid w:val="00F9557B"/>
    <w:rsid w:val="00F95735"/>
    <w:rsid w:val="00F95E61"/>
    <w:rsid w:val="00F968B3"/>
    <w:rsid w:val="00F96B03"/>
    <w:rsid w:val="00F96B2E"/>
    <w:rsid w:val="00F975C0"/>
    <w:rsid w:val="00F978A0"/>
    <w:rsid w:val="00F97915"/>
    <w:rsid w:val="00F97C16"/>
    <w:rsid w:val="00F97E95"/>
    <w:rsid w:val="00FA015E"/>
    <w:rsid w:val="00FA02E4"/>
    <w:rsid w:val="00FA030D"/>
    <w:rsid w:val="00FA03A5"/>
    <w:rsid w:val="00FA0739"/>
    <w:rsid w:val="00FA0948"/>
    <w:rsid w:val="00FA0E56"/>
    <w:rsid w:val="00FA155D"/>
    <w:rsid w:val="00FA155F"/>
    <w:rsid w:val="00FA1FD7"/>
    <w:rsid w:val="00FA2267"/>
    <w:rsid w:val="00FA26AE"/>
    <w:rsid w:val="00FA28ED"/>
    <w:rsid w:val="00FA2B76"/>
    <w:rsid w:val="00FA2EB0"/>
    <w:rsid w:val="00FA3472"/>
    <w:rsid w:val="00FA36DB"/>
    <w:rsid w:val="00FA3810"/>
    <w:rsid w:val="00FA3A1A"/>
    <w:rsid w:val="00FA3AD7"/>
    <w:rsid w:val="00FA42C4"/>
    <w:rsid w:val="00FA4463"/>
    <w:rsid w:val="00FA4686"/>
    <w:rsid w:val="00FA4710"/>
    <w:rsid w:val="00FA476A"/>
    <w:rsid w:val="00FA4A28"/>
    <w:rsid w:val="00FA4BD9"/>
    <w:rsid w:val="00FA4EAA"/>
    <w:rsid w:val="00FA50CF"/>
    <w:rsid w:val="00FA544D"/>
    <w:rsid w:val="00FA5451"/>
    <w:rsid w:val="00FA57D8"/>
    <w:rsid w:val="00FA58B9"/>
    <w:rsid w:val="00FA62EB"/>
    <w:rsid w:val="00FA6396"/>
    <w:rsid w:val="00FA643F"/>
    <w:rsid w:val="00FA65D0"/>
    <w:rsid w:val="00FA6647"/>
    <w:rsid w:val="00FA690B"/>
    <w:rsid w:val="00FA69AD"/>
    <w:rsid w:val="00FA69B3"/>
    <w:rsid w:val="00FA6E5C"/>
    <w:rsid w:val="00FA6EBE"/>
    <w:rsid w:val="00FA7083"/>
    <w:rsid w:val="00FA7106"/>
    <w:rsid w:val="00FA7A5B"/>
    <w:rsid w:val="00FA7AE4"/>
    <w:rsid w:val="00FA7CD6"/>
    <w:rsid w:val="00FA7F46"/>
    <w:rsid w:val="00FA7F66"/>
    <w:rsid w:val="00FB0151"/>
    <w:rsid w:val="00FB0434"/>
    <w:rsid w:val="00FB0451"/>
    <w:rsid w:val="00FB0639"/>
    <w:rsid w:val="00FB092B"/>
    <w:rsid w:val="00FB0A76"/>
    <w:rsid w:val="00FB0FE7"/>
    <w:rsid w:val="00FB1207"/>
    <w:rsid w:val="00FB1572"/>
    <w:rsid w:val="00FB1A86"/>
    <w:rsid w:val="00FB1AEF"/>
    <w:rsid w:val="00FB1DAF"/>
    <w:rsid w:val="00FB1DC3"/>
    <w:rsid w:val="00FB1DE4"/>
    <w:rsid w:val="00FB2172"/>
    <w:rsid w:val="00FB26AB"/>
    <w:rsid w:val="00FB2C9A"/>
    <w:rsid w:val="00FB2C9C"/>
    <w:rsid w:val="00FB2DE3"/>
    <w:rsid w:val="00FB2E71"/>
    <w:rsid w:val="00FB2FDC"/>
    <w:rsid w:val="00FB30B8"/>
    <w:rsid w:val="00FB3190"/>
    <w:rsid w:val="00FB37A3"/>
    <w:rsid w:val="00FB3906"/>
    <w:rsid w:val="00FB39DA"/>
    <w:rsid w:val="00FB3AF3"/>
    <w:rsid w:val="00FB3B93"/>
    <w:rsid w:val="00FB3BAB"/>
    <w:rsid w:val="00FB3F44"/>
    <w:rsid w:val="00FB42D6"/>
    <w:rsid w:val="00FB44A6"/>
    <w:rsid w:val="00FB450D"/>
    <w:rsid w:val="00FB45A1"/>
    <w:rsid w:val="00FB4FBE"/>
    <w:rsid w:val="00FB501E"/>
    <w:rsid w:val="00FB5323"/>
    <w:rsid w:val="00FB536C"/>
    <w:rsid w:val="00FB5503"/>
    <w:rsid w:val="00FB57E2"/>
    <w:rsid w:val="00FB5D64"/>
    <w:rsid w:val="00FB60D3"/>
    <w:rsid w:val="00FB61EA"/>
    <w:rsid w:val="00FB656E"/>
    <w:rsid w:val="00FB6C64"/>
    <w:rsid w:val="00FB6D7F"/>
    <w:rsid w:val="00FB6E90"/>
    <w:rsid w:val="00FB6F89"/>
    <w:rsid w:val="00FB7426"/>
    <w:rsid w:val="00FB780C"/>
    <w:rsid w:val="00FB7B19"/>
    <w:rsid w:val="00FB7BC3"/>
    <w:rsid w:val="00FC0272"/>
    <w:rsid w:val="00FC0F19"/>
    <w:rsid w:val="00FC0F41"/>
    <w:rsid w:val="00FC11EA"/>
    <w:rsid w:val="00FC13F4"/>
    <w:rsid w:val="00FC162A"/>
    <w:rsid w:val="00FC197E"/>
    <w:rsid w:val="00FC1D82"/>
    <w:rsid w:val="00FC1E2B"/>
    <w:rsid w:val="00FC25D5"/>
    <w:rsid w:val="00FC25E2"/>
    <w:rsid w:val="00FC2D5A"/>
    <w:rsid w:val="00FC2DB6"/>
    <w:rsid w:val="00FC2DE4"/>
    <w:rsid w:val="00FC350D"/>
    <w:rsid w:val="00FC3534"/>
    <w:rsid w:val="00FC3704"/>
    <w:rsid w:val="00FC39B5"/>
    <w:rsid w:val="00FC3A4F"/>
    <w:rsid w:val="00FC3A82"/>
    <w:rsid w:val="00FC3B56"/>
    <w:rsid w:val="00FC3CAC"/>
    <w:rsid w:val="00FC4077"/>
    <w:rsid w:val="00FC483B"/>
    <w:rsid w:val="00FC488B"/>
    <w:rsid w:val="00FC4937"/>
    <w:rsid w:val="00FC4F50"/>
    <w:rsid w:val="00FC50E3"/>
    <w:rsid w:val="00FC5503"/>
    <w:rsid w:val="00FC5A3E"/>
    <w:rsid w:val="00FC5AFF"/>
    <w:rsid w:val="00FC5CD2"/>
    <w:rsid w:val="00FC5FA9"/>
    <w:rsid w:val="00FC6325"/>
    <w:rsid w:val="00FC6BB8"/>
    <w:rsid w:val="00FC6CBE"/>
    <w:rsid w:val="00FC6E12"/>
    <w:rsid w:val="00FC6EC0"/>
    <w:rsid w:val="00FC72B5"/>
    <w:rsid w:val="00FC73E0"/>
    <w:rsid w:val="00FC7525"/>
    <w:rsid w:val="00FC7550"/>
    <w:rsid w:val="00FC7655"/>
    <w:rsid w:val="00FC786B"/>
    <w:rsid w:val="00FC78C7"/>
    <w:rsid w:val="00FC7C6B"/>
    <w:rsid w:val="00FC7CF2"/>
    <w:rsid w:val="00FD0235"/>
    <w:rsid w:val="00FD07F9"/>
    <w:rsid w:val="00FD09C4"/>
    <w:rsid w:val="00FD0C4C"/>
    <w:rsid w:val="00FD0CFD"/>
    <w:rsid w:val="00FD11E6"/>
    <w:rsid w:val="00FD17F6"/>
    <w:rsid w:val="00FD1899"/>
    <w:rsid w:val="00FD18A8"/>
    <w:rsid w:val="00FD19E2"/>
    <w:rsid w:val="00FD31C2"/>
    <w:rsid w:val="00FD3349"/>
    <w:rsid w:val="00FD3413"/>
    <w:rsid w:val="00FD3566"/>
    <w:rsid w:val="00FD3A07"/>
    <w:rsid w:val="00FD3B4B"/>
    <w:rsid w:val="00FD3C64"/>
    <w:rsid w:val="00FD3CF2"/>
    <w:rsid w:val="00FD3D13"/>
    <w:rsid w:val="00FD3D18"/>
    <w:rsid w:val="00FD3E71"/>
    <w:rsid w:val="00FD44C5"/>
    <w:rsid w:val="00FD46A2"/>
    <w:rsid w:val="00FD49F0"/>
    <w:rsid w:val="00FD4A70"/>
    <w:rsid w:val="00FD4D21"/>
    <w:rsid w:val="00FD50E4"/>
    <w:rsid w:val="00FD5BA6"/>
    <w:rsid w:val="00FD5C3B"/>
    <w:rsid w:val="00FD64C6"/>
    <w:rsid w:val="00FD652E"/>
    <w:rsid w:val="00FD674D"/>
    <w:rsid w:val="00FD6782"/>
    <w:rsid w:val="00FD6856"/>
    <w:rsid w:val="00FD6F44"/>
    <w:rsid w:val="00FD7075"/>
    <w:rsid w:val="00FD7762"/>
    <w:rsid w:val="00FD79CC"/>
    <w:rsid w:val="00FD7AA4"/>
    <w:rsid w:val="00FD7BF8"/>
    <w:rsid w:val="00FD7D4E"/>
    <w:rsid w:val="00FD7E9E"/>
    <w:rsid w:val="00FE0136"/>
    <w:rsid w:val="00FE0305"/>
    <w:rsid w:val="00FE0312"/>
    <w:rsid w:val="00FE04E7"/>
    <w:rsid w:val="00FE0515"/>
    <w:rsid w:val="00FE0A1C"/>
    <w:rsid w:val="00FE1371"/>
    <w:rsid w:val="00FE14AB"/>
    <w:rsid w:val="00FE14CE"/>
    <w:rsid w:val="00FE165F"/>
    <w:rsid w:val="00FE1B86"/>
    <w:rsid w:val="00FE1E6E"/>
    <w:rsid w:val="00FE2008"/>
    <w:rsid w:val="00FE214C"/>
    <w:rsid w:val="00FE245A"/>
    <w:rsid w:val="00FE25D1"/>
    <w:rsid w:val="00FE26F7"/>
    <w:rsid w:val="00FE28E4"/>
    <w:rsid w:val="00FE2CCC"/>
    <w:rsid w:val="00FE2DFF"/>
    <w:rsid w:val="00FE2E0C"/>
    <w:rsid w:val="00FE2E4B"/>
    <w:rsid w:val="00FE338C"/>
    <w:rsid w:val="00FE339A"/>
    <w:rsid w:val="00FE3564"/>
    <w:rsid w:val="00FE37C3"/>
    <w:rsid w:val="00FE37EE"/>
    <w:rsid w:val="00FE3834"/>
    <w:rsid w:val="00FE3AF9"/>
    <w:rsid w:val="00FE3E47"/>
    <w:rsid w:val="00FE3E4F"/>
    <w:rsid w:val="00FE3F8F"/>
    <w:rsid w:val="00FE4212"/>
    <w:rsid w:val="00FE4285"/>
    <w:rsid w:val="00FE4300"/>
    <w:rsid w:val="00FE4813"/>
    <w:rsid w:val="00FE4AEF"/>
    <w:rsid w:val="00FE4B0F"/>
    <w:rsid w:val="00FE4BA7"/>
    <w:rsid w:val="00FE4BEE"/>
    <w:rsid w:val="00FE4CEA"/>
    <w:rsid w:val="00FE5ACA"/>
    <w:rsid w:val="00FE5B47"/>
    <w:rsid w:val="00FE5BAE"/>
    <w:rsid w:val="00FE5BF8"/>
    <w:rsid w:val="00FE5F2D"/>
    <w:rsid w:val="00FE5FE0"/>
    <w:rsid w:val="00FE6064"/>
    <w:rsid w:val="00FE62A8"/>
    <w:rsid w:val="00FE6348"/>
    <w:rsid w:val="00FE6615"/>
    <w:rsid w:val="00FE6928"/>
    <w:rsid w:val="00FE6AD3"/>
    <w:rsid w:val="00FE6E6F"/>
    <w:rsid w:val="00FE6F3D"/>
    <w:rsid w:val="00FE6F88"/>
    <w:rsid w:val="00FE75FB"/>
    <w:rsid w:val="00FE7685"/>
    <w:rsid w:val="00FE7917"/>
    <w:rsid w:val="00FE7B83"/>
    <w:rsid w:val="00FF058D"/>
    <w:rsid w:val="00FF0A95"/>
    <w:rsid w:val="00FF0CEE"/>
    <w:rsid w:val="00FF0E42"/>
    <w:rsid w:val="00FF0F35"/>
    <w:rsid w:val="00FF0F40"/>
    <w:rsid w:val="00FF1102"/>
    <w:rsid w:val="00FF1148"/>
    <w:rsid w:val="00FF1565"/>
    <w:rsid w:val="00FF16CC"/>
    <w:rsid w:val="00FF1997"/>
    <w:rsid w:val="00FF1A11"/>
    <w:rsid w:val="00FF1A2B"/>
    <w:rsid w:val="00FF1D70"/>
    <w:rsid w:val="00FF26C0"/>
    <w:rsid w:val="00FF2AC7"/>
    <w:rsid w:val="00FF2BFF"/>
    <w:rsid w:val="00FF2CCC"/>
    <w:rsid w:val="00FF2E1E"/>
    <w:rsid w:val="00FF2EC1"/>
    <w:rsid w:val="00FF2F3A"/>
    <w:rsid w:val="00FF30E2"/>
    <w:rsid w:val="00FF3854"/>
    <w:rsid w:val="00FF3C63"/>
    <w:rsid w:val="00FF400F"/>
    <w:rsid w:val="00FF46CA"/>
    <w:rsid w:val="00FF49E1"/>
    <w:rsid w:val="00FF5204"/>
    <w:rsid w:val="00FF542F"/>
    <w:rsid w:val="00FF5892"/>
    <w:rsid w:val="00FF5BC1"/>
    <w:rsid w:val="00FF5C7D"/>
    <w:rsid w:val="00FF5CAD"/>
    <w:rsid w:val="00FF5F2E"/>
    <w:rsid w:val="00FF5FA5"/>
    <w:rsid w:val="00FF611E"/>
    <w:rsid w:val="00FF6823"/>
    <w:rsid w:val="00FF6B38"/>
    <w:rsid w:val="00FF6BBB"/>
    <w:rsid w:val="00FF6F1A"/>
    <w:rsid w:val="00FF6FB3"/>
    <w:rsid w:val="00FF731E"/>
    <w:rsid w:val="00FF783E"/>
    <w:rsid w:val="00FF7B65"/>
    <w:rsid w:val="00FF7ECE"/>
    <w:rsid w:val="05D3C4C9"/>
    <w:rsid w:val="07D9A699"/>
    <w:rsid w:val="08BD5E12"/>
    <w:rsid w:val="0DAD42A5"/>
    <w:rsid w:val="0EFF796E"/>
    <w:rsid w:val="10A56692"/>
    <w:rsid w:val="123C9E5C"/>
    <w:rsid w:val="137E2796"/>
    <w:rsid w:val="13978B6B"/>
    <w:rsid w:val="13B06560"/>
    <w:rsid w:val="18F23795"/>
    <w:rsid w:val="1FA2818E"/>
    <w:rsid w:val="23816561"/>
    <w:rsid w:val="24FB7F3A"/>
    <w:rsid w:val="2534F0CE"/>
    <w:rsid w:val="25947609"/>
    <w:rsid w:val="267FB4F9"/>
    <w:rsid w:val="27D75A73"/>
    <w:rsid w:val="27E6EB18"/>
    <w:rsid w:val="29A11521"/>
    <w:rsid w:val="2CD63631"/>
    <w:rsid w:val="2DB8E69A"/>
    <w:rsid w:val="2F5149D1"/>
    <w:rsid w:val="314C1A17"/>
    <w:rsid w:val="31D9C156"/>
    <w:rsid w:val="32BA8D08"/>
    <w:rsid w:val="33FA459E"/>
    <w:rsid w:val="3725D685"/>
    <w:rsid w:val="3A105AF1"/>
    <w:rsid w:val="3BCD38F6"/>
    <w:rsid w:val="3C73A7EF"/>
    <w:rsid w:val="3CB06322"/>
    <w:rsid w:val="416AC848"/>
    <w:rsid w:val="4206C75D"/>
    <w:rsid w:val="42AB9F0F"/>
    <w:rsid w:val="42DC4F0D"/>
    <w:rsid w:val="4304BE4A"/>
    <w:rsid w:val="48642A8F"/>
    <w:rsid w:val="486861A9"/>
    <w:rsid w:val="48CB0B2E"/>
    <w:rsid w:val="495DFF14"/>
    <w:rsid w:val="4983592F"/>
    <w:rsid w:val="4A476B56"/>
    <w:rsid w:val="4DE10E08"/>
    <w:rsid w:val="4F9F48F9"/>
    <w:rsid w:val="51284D5B"/>
    <w:rsid w:val="51B5FA4F"/>
    <w:rsid w:val="537D034E"/>
    <w:rsid w:val="53B0617A"/>
    <w:rsid w:val="55FB9BFF"/>
    <w:rsid w:val="56862DA9"/>
    <w:rsid w:val="591F307C"/>
    <w:rsid w:val="591FB159"/>
    <w:rsid w:val="5C641505"/>
    <w:rsid w:val="5CE46985"/>
    <w:rsid w:val="5E50F51F"/>
    <w:rsid w:val="62962384"/>
    <w:rsid w:val="62FFEF7D"/>
    <w:rsid w:val="69113D6F"/>
    <w:rsid w:val="69901DB0"/>
    <w:rsid w:val="6AB0BE58"/>
    <w:rsid w:val="6C45BD0B"/>
    <w:rsid w:val="6C72854D"/>
    <w:rsid w:val="6F8073E8"/>
    <w:rsid w:val="70F27C67"/>
    <w:rsid w:val="7167E923"/>
    <w:rsid w:val="747EAC31"/>
    <w:rsid w:val="74D06203"/>
    <w:rsid w:val="768ACF40"/>
    <w:rsid w:val="77E581C7"/>
    <w:rsid w:val="784F4960"/>
    <w:rsid w:val="7A0316F2"/>
    <w:rsid w:val="7AA741B9"/>
    <w:rsid w:val="7AF38178"/>
    <w:rsid w:val="7CCF450C"/>
    <w:rsid w:val="7D91DC93"/>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00442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370BA"/>
    <w:pPr>
      <w:spacing w:after="120" w:line="276" w:lineRule="auto"/>
      <w:jc w:val="both"/>
    </w:pPr>
    <w:rPr>
      <w:rFonts w:eastAsia="Times New Roman" w:cs="Calibri"/>
      <w:color w:val="000000" w:themeColor="text1"/>
      <w:sz w:val="22"/>
      <w:lang w:eastAsia="en-US"/>
    </w:rPr>
  </w:style>
  <w:style w:type="paragraph" w:styleId="Nagwek1">
    <w:name w:val="heading 1"/>
    <w:next w:val="Normalny"/>
    <w:link w:val="Nagwek1Znak"/>
    <w:uiPriority w:val="99"/>
    <w:qFormat/>
    <w:rsid w:val="000370BA"/>
    <w:pPr>
      <w:numPr>
        <w:numId w:val="5"/>
      </w:numPr>
      <w:spacing w:before="240" w:after="240" w:line="276" w:lineRule="auto"/>
      <w:outlineLvl w:val="0"/>
    </w:pPr>
    <w:rPr>
      <w:rFonts w:eastAsia="Times New Roman" w:cs="Calibri"/>
      <w:b/>
      <w:color w:val="000000" w:themeColor="text1"/>
      <w:sz w:val="36"/>
      <w:szCs w:val="36"/>
    </w:rPr>
  </w:style>
  <w:style w:type="paragraph" w:styleId="Nagwek2">
    <w:name w:val="heading 2"/>
    <w:next w:val="Normalny"/>
    <w:link w:val="Nagwek2Znak"/>
    <w:uiPriority w:val="99"/>
    <w:unhideWhenUsed/>
    <w:qFormat/>
    <w:rsid w:val="000370BA"/>
    <w:pPr>
      <w:numPr>
        <w:ilvl w:val="1"/>
        <w:numId w:val="5"/>
      </w:numPr>
      <w:spacing w:before="240" w:after="240" w:line="276" w:lineRule="auto"/>
      <w:ind w:left="680"/>
      <w:outlineLvl w:val="1"/>
    </w:pPr>
    <w:rPr>
      <w:rFonts w:eastAsia="Times New Roman" w:cs="Calibri"/>
      <w:b/>
      <w:sz w:val="32"/>
      <w:szCs w:val="32"/>
    </w:rPr>
  </w:style>
  <w:style w:type="paragraph" w:styleId="Nagwek3">
    <w:name w:val="heading 3"/>
    <w:next w:val="Normalny"/>
    <w:link w:val="Nagwek3Znak"/>
    <w:unhideWhenUsed/>
    <w:qFormat/>
    <w:rsid w:val="000370BA"/>
    <w:pPr>
      <w:numPr>
        <w:ilvl w:val="2"/>
        <w:numId w:val="5"/>
      </w:numPr>
      <w:spacing w:before="240" w:after="240" w:line="276" w:lineRule="auto"/>
      <w:outlineLvl w:val="2"/>
    </w:pPr>
    <w:rPr>
      <w:rFonts w:eastAsia="Times New Roman" w:cs="Calibri"/>
      <w:b/>
      <w:sz w:val="28"/>
      <w:szCs w:val="28"/>
    </w:rPr>
  </w:style>
  <w:style w:type="paragraph" w:styleId="Nagwek4">
    <w:name w:val="heading 4"/>
    <w:basedOn w:val="Nagwek3"/>
    <w:next w:val="Normalny"/>
    <w:link w:val="Nagwek4Znak"/>
    <w:uiPriority w:val="99"/>
    <w:unhideWhenUsed/>
    <w:qFormat/>
    <w:rsid w:val="000370BA"/>
    <w:pPr>
      <w:numPr>
        <w:ilvl w:val="3"/>
      </w:numPr>
      <w:outlineLvl w:val="3"/>
    </w:pPr>
    <w:rPr>
      <w:sz w:val="24"/>
      <w:szCs w:val="24"/>
    </w:rPr>
  </w:style>
  <w:style w:type="paragraph" w:styleId="Nagwek5">
    <w:name w:val="heading 5"/>
    <w:next w:val="Normalny"/>
    <w:link w:val="Nagwek5Znak"/>
    <w:uiPriority w:val="9"/>
    <w:semiHidden/>
    <w:unhideWhenUsed/>
    <w:qFormat/>
    <w:rsid w:val="005510A0"/>
    <w:pPr>
      <w:keepNext/>
      <w:keepLines/>
      <w:spacing w:before="40" w:line="276" w:lineRule="auto"/>
      <w:jc w:val="both"/>
      <w:outlineLvl w:val="4"/>
    </w:pPr>
    <w:rPr>
      <w:rFonts w:ascii="Calibri Light" w:eastAsia="Times New Roman" w:hAnsi="Calibri Light"/>
      <w:color w:val="2E74B5"/>
      <w:sz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ußnote,FOOTNOTES,Znak Znak Znak"/>
    <w:basedOn w:val="Normalny"/>
    <w:link w:val="TekstprzypisudolnegoZnak"/>
    <w:autoRedefine/>
    <w:uiPriority w:val="99"/>
    <w:rsid w:val="00124395"/>
    <w:pPr>
      <w:spacing w:after="60" w:line="240" w:lineRule="auto"/>
    </w:pPr>
    <w:rPr>
      <w:sz w:val="16"/>
      <w:szCs w:val="16"/>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Fußnote Znak"/>
    <w:link w:val="Tekstprzypisudolnego"/>
    <w:uiPriority w:val="99"/>
    <w:rsid w:val="00124395"/>
    <w:rPr>
      <w:rFonts w:eastAsia="Times New Roman" w:cs="Calibri"/>
      <w:color w:val="000000" w:themeColor="text1"/>
      <w:sz w:val="16"/>
      <w:szCs w:val="16"/>
      <w:lang w:eastAsia="en-US"/>
    </w:rPr>
  </w:style>
  <w:style w:type="character" w:styleId="Odwoanieprzypisudolnego">
    <w:name w:val="footnote reference"/>
    <w:aliases w:val="Footnote Reference Number,Footnote symbol,Footnote Reference Superscript,Znak Znak11,Odwołanie przypisu"/>
    <w:uiPriority w:val="99"/>
    <w:rsid w:val="00AD2DEA"/>
    <w:rPr>
      <w:rFonts w:cs="Times New Roman"/>
      <w:vertAlign w:val="superscript"/>
    </w:rPr>
  </w:style>
  <w:style w:type="paragraph" w:styleId="Spistreci2">
    <w:name w:val="toc 2"/>
    <w:basedOn w:val="Normalny"/>
    <w:next w:val="Normalny"/>
    <w:autoRedefine/>
    <w:uiPriority w:val="39"/>
    <w:rsid w:val="00AD2DEA"/>
    <w:pPr>
      <w:spacing w:after="0"/>
      <w:ind w:left="220"/>
      <w:jc w:val="left"/>
    </w:pPr>
    <w:rPr>
      <w:smallCaps/>
      <w:sz w:val="20"/>
    </w:rPr>
  </w:style>
  <w:style w:type="character" w:styleId="Hipercze">
    <w:name w:val="Hyperlink"/>
    <w:uiPriority w:val="99"/>
    <w:rsid w:val="00AD2DEA"/>
    <w:rPr>
      <w:rFonts w:ascii="Calibri" w:hAnsi="Calibri" w:cs="Calibri"/>
      <w:bCs/>
      <w:color w:val="0000FF"/>
      <w:sz w:val="24"/>
      <w:szCs w:val="24"/>
      <w:u w:val="none"/>
    </w:rPr>
  </w:style>
  <w:style w:type="paragraph" w:styleId="Spistreci1">
    <w:name w:val="toc 1"/>
    <w:basedOn w:val="Normalny"/>
    <w:next w:val="Normalny"/>
    <w:autoRedefine/>
    <w:uiPriority w:val="39"/>
    <w:unhideWhenUsed/>
    <w:rsid w:val="00AD2DEA"/>
    <w:pPr>
      <w:spacing w:before="120"/>
      <w:jc w:val="left"/>
    </w:pPr>
    <w:rPr>
      <w:b/>
      <w:bCs/>
      <w:caps/>
      <w:sz w:val="20"/>
    </w:rPr>
  </w:style>
  <w:style w:type="paragraph" w:styleId="Nagwek">
    <w:name w:val="header"/>
    <w:basedOn w:val="Normalny"/>
    <w:link w:val="NagwekZnak"/>
    <w:uiPriority w:val="99"/>
    <w:rsid w:val="00AD2DEA"/>
    <w:pPr>
      <w:tabs>
        <w:tab w:val="center" w:pos="4536"/>
        <w:tab w:val="right" w:pos="9072"/>
      </w:tabs>
    </w:pPr>
  </w:style>
  <w:style w:type="character" w:customStyle="1" w:styleId="NagwekZnak">
    <w:name w:val="Nagłówek Znak"/>
    <w:link w:val="Nagwek"/>
    <w:uiPriority w:val="99"/>
    <w:rsid w:val="00AD2DEA"/>
    <w:rPr>
      <w:rFonts w:eastAsia="Times New Roman" w:cs="Calibri"/>
      <w:color w:val="002060"/>
      <w:szCs w:val="20"/>
    </w:rPr>
  </w:style>
  <w:style w:type="paragraph" w:styleId="Stopka">
    <w:name w:val="footer"/>
    <w:basedOn w:val="Normalny"/>
    <w:link w:val="StopkaZnak"/>
    <w:uiPriority w:val="99"/>
    <w:rsid w:val="00AD2DEA"/>
    <w:pPr>
      <w:tabs>
        <w:tab w:val="center" w:pos="4536"/>
        <w:tab w:val="right" w:pos="9072"/>
      </w:tabs>
    </w:pPr>
  </w:style>
  <w:style w:type="character" w:customStyle="1" w:styleId="StopkaZnak">
    <w:name w:val="Stopka Znak"/>
    <w:link w:val="Stopka"/>
    <w:uiPriority w:val="99"/>
    <w:rsid w:val="00AD2DEA"/>
    <w:rPr>
      <w:rFonts w:eastAsia="Times New Roman" w:cs="Calibri"/>
      <w:color w:val="002060"/>
      <w:szCs w:val="20"/>
    </w:rPr>
  </w:style>
  <w:style w:type="character" w:customStyle="1" w:styleId="Nagwek1Znak">
    <w:name w:val="Nagłówek 1 Znak"/>
    <w:link w:val="Nagwek1"/>
    <w:uiPriority w:val="99"/>
    <w:rsid w:val="000370BA"/>
    <w:rPr>
      <w:rFonts w:eastAsia="Times New Roman" w:cs="Calibri"/>
      <w:b/>
      <w:color w:val="000000" w:themeColor="text1"/>
      <w:sz w:val="36"/>
      <w:szCs w:val="36"/>
    </w:rPr>
  </w:style>
  <w:style w:type="character" w:customStyle="1" w:styleId="Nagwek2Znak">
    <w:name w:val="Nagłówek 2 Znak"/>
    <w:link w:val="Nagwek2"/>
    <w:uiPriority w:val="99"/>
    <w:rsid w:val="000370BA"/>
    <w:rPr>
      <w:rFonts w:eastAsia="Times New Roman" w:cs="Calibri"/>
      <w:b/>
      <w:sz w:val="32"/>
      <w:szCs w:val="32"/>
    </w:rPr>
  </w:style>
  <w:style w:type="paragraph" w:styleId="Akapitzlist">
    <w:name w:val="List Paragraph"/>
    <w:aliases w:val="Numerowanie,A_wyliczenie,K-P_odwolanie,Akapit z listą5,maz_wyliczenie,opis dzialania"/>
    <w:basedOn w:val="Normalny"/>
    <w:link w:val="AkapitzlistZnak"/>
    <w:uiPriority w:val="34"/>
    <w:qFormat/>
    <w:rsid w:val="0069503A"/>
    <w:pPr>
      <w:numPr>
        <w:numId w:val="11"/>
      </w:numPr>
      <w:contextualSpacing/>
    </w:pPr>
  </w:style>
  <w:style w:type="paragraph" w:customStyle="1" w:styleId="Default">
    <w:name w:val="Default"/>
    <w:rsid w:val="000215C6"/>
    <w:pPr>
      <w:autoSpaceDE w:val="0"/>
      <w:autoSpaceDN w:val="0"/>
      <w:adjustRightInd w:val="0"/>
      <w:spacing w:after="120" w:line="276" w:lineRule="auto"/>
    </w:pPr>
    <w:rPr>
      <w:rFonts w:cs="Arial"/>
      <w:color w:val="002060"/>
      <w:sz w:val="22"/>
      <w:szCs w:val="24"/>
      <w:lang w:eastAsia="en-US"/>
    </w:rPr>
  </w:style>
  <w:style w:type="paragraph" w:styleId="Legenda">
    <w:name w:val="caption"/>
    <w:next w:val="Normalny"/>
    <w:link w:val="LegendaZnak"/>
    <w:uiPriority w:val="35"/>
    <w:qFormat/>
    <w:rsid w:val="0069503A"/>
    <w:pPr>
      <w:spacing w:before="120" w:after="120"/>
      <w:jc w:val="both"/>
    </w:pPr>
    <w:rPr>
      <w:rFonts w:eastAsia="Times New Roman" w:cs="Calibri"/>
      <w:b/>
      <w:bCs/>
      <w:color w:val="002060"/>
      <w:sz w:val="18"/>
    </w:rPr>
  </w:style>
  <w:style w:type="character" w:customStyle="1" w:styleId="LegendaZnak">
    <w:name w:val="Legenda Znak"/>
    <w:link w:val="Legenda"/>
    <w:uiPriority w:val="35"/>
    <w:locked/>
    <w:rsid w:val="0069503A"/>
    <w:rPr>
      <w:rFonts w:eastAsia="Times New Roman" w:cs="Calibri"/>
      <w:b/>
      <w:bCs/>
      <w:color w:val="002060"/>
      <w:sz w:val="18"/>
      <w:szCs w:val="20"/>
      <w:lang w:eastAsia="pl-PL"/>
    </w:rPr>
  </w:style>
  <w:style w:type="character" w:styleId="Odwoaniedokomentarza">
    <w:name w:val="annotation reference"/>
    <w:uiPriority w:val="99"/>
    <w:semiHidden/>
    <w:unhideWhenUsed/>
    <w:rsid w:val="00D279C0"/>
    <w:rPr>
      <w:sz w:val="16"/>
      <w:szCs w:val="16"/>
    </w:rPr>
  </w:style>
  <w:style w:type="paragraph" w:styleId="Tekstkomentarza">
    <w:name w:val="annotation text"/>
    <w:basedOn w:val="Normalny"/>
    <w:link w:val="TekstkomentarzaZnak"/>
    <w:uiPriority w:val="99"/>
    <w:unhideWhenUsed/>
    <w:rsid w:val="00D279C0"/>
    <w:pPr>
      <w:spacing w:line="240" w:lineRule="auto"/>
    </w:pPr>
    <w:rPr>
      <w:sz w:val="20"/>
    </w:rPr>
  </w:style>
  <w:style w:type="character" w:customStyle="1" w:styleId="TekstkomentarzaZnak">
    <w:name w:val="Tekst komentarza Znak"/>
    <w:link w:val="Tekstkomentarza"/>
    <w:uiPriority w:val="99"/>
    <w:rsid w:val="00D279C0"/>
    <w:rPr>
      <w:rFonts w:eastAsia="Times New Roman" w:cs="Calibri"/>
      <w:color w:val="002060"/>
      <w:sz w:val="20"/>
      <w:szCs w:val="20"/>
    </w:rPr>
  </w:style>
  <w:style w:type="paragraph" w:styleId="Tematkomentarza">
    <w:name w:val="annotation subject"/>
    <w:basedOn w:val="Tekstkomentarza"/>
    <w:next w:val="Tekstkomentarza"/>
    <w:link w:val="TematkomentarzaZnak"/>
    <w:uiPriority w:val="99"/>
    <w:semiHidden/>
    <w:unhideWhenUsed/>
    <w:rsid w:val="00D279C0"/>
    <w:rPr>
      <w:b/>
      <w:bCs/>
    </w:rPr>
  </w:style>
  <w:style w:type="character" w:customStyle="1" w:styleId="TematkomentarzaZnak">
    <w:name w:val="Temat komentarza Znak"/>
    <w:link w:val="Tematkomentarza"/>
    <w:uiPriority w:val="99"/>
    <w:semiHidden/>
    <w:rsid w:val="00D279C0"/>
    <w:rPr>
      <w:rFonts w:eastAsia="Times New Roman" w:cs="Calibri"/>
      <w:b/>
      <w:bCs/>
      <w:color w:val="002060"/>
      <w:sz w:val="20"/>
      <w:szCs w:val="20"/>
    </w:rPr>
  </w:style>
  <w:style w:type="paragraph" w:styleId="Tekstdymka">
    <w:name w:val="Balloon Text"/>
    <w:basedOn w:val="Normalny"/>
    <w:link w:val="TekstdymkaZnak"/>
    <w:uiPriority w:val="99"/>
    <w:semiHidden/>
    <w:unhideWhenUsed/>
    <w:rsid w:val="00D279C0"/>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D279C0"/>
    <w:rPr>
      <w:rFonts w:ascii="Segoe UI" w:eastAsia="Times New Roman" w:hAnsi="Segoe UI" w:cs="Segoe UI"/>
      <w:color w:val="002060"/>
      <w:sz w:val="18"/>
      <w:szCs w:val="18"/>
    </w:rPr>
  </w:style>
  <w:style w:type="table" w:customStyle="1" w:styleId="Jasnalistaakcent11">
    <w:name w:val="Jasna lista — akcent 11"/>
    <w:uiPriority w:val="99"/>
    <w:rsid w:val="00D279C0"/>
    <w:pPr>
      <w:spacing w:after="120" w:line="276" w:lineRule="auto"/>
    </w:pPr>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Nagwekspisutreci">
    <w:name w:val="TOC Heading"/>
    <w:basedOn w:val="Nagwek1"/>
    <w:next w:val="Normalny"/>
    <w:uiPriority w:val="39"/>
    <w:unhideWhenUsed/>
    <w:qFormat/>
    <w:rsid w:val="007B05BB"/>
    <w:pPr>
      <w:spacing w:line="259" w:lineRule="auto"/>
      <w:outlineLvl w:val="9"/>
    </w:pPr>
    <w:rPr>
      <w:rFonts w:ascii="Calibri Light" w:hAnsi="Calibri Light"/>
      <w:b w:val="0"/>
      <w:color w:val="2E74B5"/>
      <w:sz w:val="32"/>
    </w:rPr>
  </w:style>
  <w:style w:type="character" w:customStyle="1" w:styleId="Nagwek3Znak">
    <w:name w:val="Nagłówek 3 Znak"/>
    <w:link w:val="Nagwek3"/>
    <w:rsid w:val="000370BA"/>
    <w:rPr>
      <w:rFonts w:eastAsia="Times New Roman" w:cs="Calibri"/>
      <w:b/>
      <w:sz w:val="28"/>
      <w:szCs w:val="28"/>
    </w:rPr>
  </w:style>
  <w:style w:type="table" w:styleId="Tabela-Siatka">
    <w:name w:val="Table Grid"/>
    <w:basedOn w:val="Standardowy"/>
    <w:uiPriority w:val="39"/>
    <w:rsid w:val="00FE2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E61960"/>
    <w:pPr>
      <w:spacing w:after="0" w:line="240" w:lineRule="auto"/>
    </w:pPr>
    <w:rPr>
      <w:sz w:val="20"/>
    </w:rPr>
  </w:style>
  <w:style w:type="character" w:customStyle="1" w:styleId="TekstprzypisukocowegoZnak">
    <w:name w:val="Tekst przypisu końcowego Znak"/>
    <w:link w:val="Tekstprzypisukocowego"/>
    <w:uiPriority w:val="99"/>
    <w:semiHidden/>
    <w:rsid w:val="00E61960"/>
    <w:rPr>
      <w:rFonts w:eastAsia="Times New Roman" w:cs="Calibri"/>
      <w:color w:val="002060"/>
      <w:sz w:val="20"/>
      <w:szCs w:val="20"/>
    </w:rPr>
  </w:style>
  <w:style w:type="character" w:styleId="Odwoanieprzypisukocowego">
    <w:name w:val="endnote reference"/>
    <w:uiPriority w:val="99"/>
    <w:unhideWhenUsed/>
    <w:rsid w:val="00E61960"/>
    <w:rPr>
      <w:vertAlign w:val="superscript"/>
    </w:rPr>
  </w:style>
  <w:style w:type="character" w:customStyle="1" w:styleId="fontstyle01">
    <w:name w:val="fontstyle01"/>
    <w:rsid w:val="00953FCC"/>
    <w:rPr>
      <w:rFonts w:ascii="Calibri" w:hAnsi="Calibri" w:hint="default"/>
      <w:b w:val="0"/>
      <w:bCs w:val="0"/>
      <w:i w:val="0"/>
      <w:iCs w:val="0"/>
      <w:color w:val="231F20"/>
      <w:sz w:val="22"/>
      <w:szCs w:val="22"/>
    </w:rPr>
  </w:style>
  <w:style w:type="character" w:customStyle="1" w:styleId="apple-converted-space">
    <w:name w:val="apple-converted-space"/>
    <w:basedOn w:val="Domylnaczcionkaakapitu"/>
    <w:rsid w:val="00953FCC"/>
  </w:style>
  <w:style w:type="table" w:customStyle="1" w:styleId="Siatkatabelijasna1">
    <w:name w:val="Siatka tabeli — jasna1"/>
    <w:basedOn w:val="Standardowy"/>
    <w:next w:val="Siatkatabelijasna2"/>
    <w:uiPriority w:val="40"/>
    <w:rsid w:val="00953FC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2">
    <w:name w:val="Siatka tabeli — jasna2"/>
    <w:basedOn w:val="Standardowy"/>
    <w:uiPriority w:val="40"/>
    <w:rsid w:val="00953FC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ormaltextrun">
    <w:name w:val="normaltextrun"/>
    <w:basedOn w:val="Domylnaczcionkaakapitu"/>
    <w:rsid w:val="00633F6C"/>
  </w:style>
  <w:style w:type="character" w:customStyle="1" w:styleId="spellingerror">
    <w:name w:val="spellingerror"/>
    <w:basedOn w:val="Domylnaczcionkaakapitu"/>
    <w:rsid w:val="00633F6C"/>
  </w:style>
  <w:style w:type="paragraph" w:styleId="Bezodstpw">
    <w:name w:val="No Spacing"/>
    <w:link w:val="BezodstpwZnak"/>
    <w:uiPriority w:val="1"/>
    <w:qFormat/>
    <w:rsid w:val="00633F6C"/>
    <w:pPr>
      <w:jc w:val="both"/>
    </w:pPr>
    <w:rPr>
      <w:rFonts w:eastAsia="Times New Roman" w:cs="Calibri"/>
      <w:color w:val="002060"/>
      <w:sz w:val="22"/>
      <w:lang w:eastAsia="en-US"/>
    </w:rPr>
  </w:style>
  <w:style w:type="paragraph" w:styleId="Spistreci3">
    <w:name w:val="toc 3"/>
    <w:basedOn w:val="Normalny"/>
    <w:next w:val="Normalny"/>
    <w:autoRedefine/>
    <w:uiPriority w:val="39"/>
    <w:unhideWhenUsed/>
    <w:rsid w:val="00145C02"/>
    <w:pPr>
      <w:spacing w:after="0"/>
      <w:ind w:left="440"/>
      <w:jc w:val="left"/>
    </w:pPr>
    <w:rPr>
      <w:i/>
      <w:iCs/>
      <w:sz w:val="20"/>
    </w:rPr>
  </w:style>
  <w:style w:type="character" w:customStyle="1" w:styleId="Nagwek4Znak">
    <w:name w:val="Nagłówek 4 Znak"/>
    <w:link w:val="Nagwek4"/>
    <w:uiPriority w:val="99"/>
    <w:rsid w:val="000370BA"/>
    <w:rPr>
      <w:rFonts w:eastAsia="Times New Roman" w:cs="Calibri"/>
      <w:b/>
      <w:sz w:val="24"/>
      <w:szCs w:val="24"/>
    </w:rPr>
  </w:style>
  <w:style w:type="paragraph" w:styleId="NormalnyWeb">
    <w:name w:val="Normal (Web)"/>
    <w:basedOn w:val="Normalny"/>
    <w:uiPriority w:val="99"/>
    <w:unhideWhenUsed/>
    <w:rsid w:val="006A7C28"/>
    <w:pPr>
      <w:spacing w:before="100" w:beforeAutospacing="1" w:after="100" w:afterAutospacing="1" w:line="240" w:lineRule="auto"/>
      <w:jc w:val="left"/>
    </w:pPr>
    <w:rPr>
      <w:rFonts w:ascii="Times New Roman" w:hAnsi="Times New Roman" w:cs="Times New Roman"/>
      <w:color w:val="auto"/>
      <w:sz w:val="24"/>
      <w:szCs w:val="24"/>
      <w:lang w:eastAsia="pl-PL"/>
    </w:rPr>
  </w:style>
  <w:style w:type="character" w:customStyle="1" w:styleId="Nagwek5Znak">
    <w:name w:val="Nagłówek 5 Znak"/>
    <w:link w:val="Nagwek5"/>
    <w:uiPriority w:val="9"/>
    <w:semiHidden/>
    <w:rsid w:val="005510A0"/>
    <w:rPr>
      <w:rFonts w:ascii="Calibri Light" w:eastAsia="Times New Roman" w:hAnsi="Calibri Light" w:cs="Times New Roman"/>
      <w:color w:val="2E74B5"/>
      <w:szCs w:val="20"/>
    </w:rPr>
  </w:style>
  <w:style w:type="paragraph" w:styleId="Spistreci4">
    <w:name w:val="toc 4"/>
    <w:basedOn w:val="Normalny"/>
    <w:next w:val="Normalny"/>
    <w:autoRedefine/>
    <w:uiPriority w:val="39"/>
    <w:rsid w:val="005510A0"/>
    <w:pPr>
      <w:spacing w:after="0"/>
      <w:ind w:left="660"/>
      <w:jc w:val="left"/>
    </w:pPr>
    <w:rPr>
      <w:sz w:val="18"/>
      <w:szCs w:val="18"/>
    </w:rPr>
  </w:style>
  <w:style w:type="paragraph" w:customStyle="1" w:styleId="Nagwek3a">
    <w:name w:val="Nagłówek 3a"/>
    <w:next w:val="Normalny"/>
    <w:link w:val="Nagwek3aZnak"/>
    <w:autoRedefine/>
    <w:uiPriority w:val="99"/>
    <w:rsid w:val="0022732A"/>
    <w:pPr>
      <w:numPr>
        <w:ilvl w:val="2"/>
        <w:numId w:val="2"/>
      </w:numPr>
      <w:tabs>
        <w:tab w:val="clear" w:pos="1078"/>
        <w:tab w:val="num" w:pos="993"/>
      </w:tabs>
      <w:spacing w:before="360" w:after="240" w:line="276" w:lineRule="auto"/>
      <w:ind w:left="993" w:hanging="993"/>
      <w:jc w:val="both"/>
      <w:outlineLvl w:val="2"/>
    </w:pPr>
    <w:rPr>
      <w:rFonts w:cs="Arial"/>
      <w:b/>
      <w:bCs/>
      <w:iCs/>
      <w:color w:val="002060"/>
      <w:sz w:val="28"/>
      <w:szCs w:val="28"/>
    </w:rPr>
  </w:style>
  <w:style w:type="character" w:customStyle="1" w:styleId="AkapitzlistZnak">
    <w:name w:val="Akapit z listą Znak"/>
    <w:aliases w:val="Numerowanie Znak,A_wyliczenie Znak,K-P_odwolanie Znak,Akapit z listą5 Znak,maz_wyliczenie Znak,opis dzialania Znak"/>
    <w:link w:val="Akapitzlist"/>
    <w:uiPriority w:val="34"/>
    <w:locked/>
    <w:rsid w:val="005510A0"/>
    <w:rPr>
      <w:rFonts w:eastAsia="Times New Roman" w:cs="Calibri"/>
      <w:color w:val="000000" w:themeColor="text1"/>
      <w:sz w:val="22"/>
      <w:lang w:eastAsia="en-US"/>
    </w:rPr>
  </w:style>
  <w:style w:type="character" w:customStyle="1" w:styleId="Nagwek3aZnak">
    <w:name w:val="Nagłówek 3a Znak"/>
    <w:link w:val="Nagwek3a"/>
    <w:uiPriority w:val="99"/>
    <w:locked/>
    <w:rsid w:val="0022732A"/>
    <w:rPr>
      <w:rFonts w:cs="Arial"/>
      <w:b/>
      <w:bCs/>
      <w:iCs/>
      <w:color w:val="002060"/>
      <w:sz w:val="28"/>
      <w:szCs w:val="28"/>
    </w:rPr>
  </w:style>
  <w:style w:type="numbering" w:customStyle="1" w:styleId="StylNumerowanie">
    <w:name w:val="Styl Numerowanie"/>
    <w:rsid w:val="005510A0"/>
  </w:style>
  <w:style w:type="character" w:customStyle="1" w:styleId="BezodstpwZnak">
    <w:name w:val="Bez odstępów Znak"/>
    <w:link w:val="Bezodstpw"/>
    <w:uiPriority w:val="1"/>
    <w:locked/>
    <w:rsid w:val="005510A0"/>
    <w:rPr>
      <w:rFonts w:eastAsia="Times New Roman" w:cs="Calibri"/>
      <w:color w:val="002060"/>
      <w:szCs w:val="20"/>
    </w:rPr>
  </w:style>
  <w:style w:type="character" w:styleId="Pogrubienie">
    <w:name w:val="Strong"/>
    <w:uiPriority w:val="22"/>
    <w:qFormat/>
    <w:rsid w:val="005510A0"/>
    <w:rPr>
      <w:b/>
      <w:bCs/>
    </w:rPr>
  </w:style>
  <w:style w:type="paragraph" w:customStyle="1" w:styleId="Domylnie">
    <w:name w:val="Domyślnie"/>
    <w:rsid w:val="005510A0"/>
    <w:pPr>
      <w:suppressAutoHyphens/>
      <w:spacing w:after="200" w:line="276" w:lineRule="auto"/>
    </w:pPr>
    <w:rPr>
      <w:rFonts w:ascii="Times New Roman" w:eastAsia="Times New Roman" w:hAnsi="Times New Roman"/>
      <w:color w:val="00000A"/>
      <w:sz w:val="24"/>
      <w:szCs w:val="24"/>
    </w:rPr>
  </w:style>
  <w:style w:type="character" w:customStyle="1" w:styleId="TitleChar">
    <w:name w:val="Title Char"/>
    <w:rsid w:val="005510A0"/>
    <w:rPr>
      <w:sz w:val="24"/>
      <w:szCs w:val="24"/>
      <w:lang w:val="pl-PL" w:eastAsia="pl-PL"/>
    </w:rPr>
  </w:style>
  <w:style w:type="paragraph" w:styleId="Tytu">
    <w:name w:val="Title"/>
    <w:basedOn w:val="Normalny"/>
    <w:link w:val="TytuZnak"/>
    <w:qFormat/>
    <w:rsid w:val="005510A0"/>
    <w:pPr>
      <w:spacing w:after="0" w:line="240" w:lineRule="auto"/>
      <w:jc w:val="center"/>
    </w:pPr>
    <w:rPr>
      <w:rFonts w:ascii="Times New Roman" w:hAnsi="Times New Roman" w:cs="Times New Roman"/>
      <w:color w:val="auto"/>
      <w:sz w:val="28"/>
      <w:szCs w:val="28"/>
      <w:lang w:eastAsia="pl-PL"/>
    </w:rPr>
  </w:style>
  <w:style w:type="character" w:customStyle="1" w:styleId="TytuZnak">
    <w:name w:val="Tytuł Znak"/>
    <w:link w:val="Tytu"/>
    <w:rsid w:val="005510A0"/>
    <w:rPr>
      <w:rFonts w:ascii="Times New Roman" w:eastAsia="Times New Roman" w:hAnsi="Times New Roman" w:cs="Times New Roman"/>
      <w:sz w:val="28"/>
      <w:szCs w:val="28"/>
      <w:lang w:eastAsia="pl-PL"/>
    </w:rPr>
  </w:style>
  <w:style w:type="numbering" w:customStyle="1" w:styleId="Bezlisty1">
    <w:name w:val="Bez listy1"/>
    <w:next w:val="Bezlisty"/>
    <w:uiPriority w:val="99"/>
    <w:semiHidden/>
    <w:unhideWhenUsed/>
    <w:rsid w:val="005510A0"/>
  </w:style>
  <w:style w:type="numbering" w:customStyle="1" w:styleId="Bezlisty11">
    <w:name w:val="Bez listy11"/>
    <w:next w:val="Bezlisty"/>
    <w:uiPriority w:val="99"/>
    <w:semiHidden/>
    <w:unhideWhenUsed/>
    <w:rsid w:val="005510A0"/>
  </w:style>
  <w:style w:type="numbering" w:customStyle="1" w:styleId="StylNumerowanie1">
    <w:name w:val="Styl Numerowanie1"/>
    <w:rsid w:val="005510A0"/>
    <w:pPr>
      <w:numPr>
        <w:numId w:val="1"/>
      </w:numPr>
    </w:pPr>
  </w:style>
  <w:style w:type="paragraph" w:styleId="Spistreci5">
    <w:name w:val="toc 5"/>
    <w:basedOn w:val="Normalny"/>
    <w:next w:val="Normalny"/>
    <w:autoRedefine/>
    <w:uiPriority w:val="39"/>
    <w:unhideWhenUsed/>
    <w:rsid w:val="005510A0"/>
    <w:pPr>
      <w:spacing w:after="0"/>
      <w:ind w:left="880"/>
      <w:jc w:val="left"/>
    </w:pPr>
    <w:rPr>
      <w:sz w:val="18"/>
      <w:szCs w:val="18"/>
    </w:rPr>
  </w:style>
  <w:style w:type="paragraph" w:styleId="Spistreci6">
    <w:name w:val="toc 6"/>
    <w:basedOn w:val="Normalny"/>
    <w:next w:val="Normalny"/>
    <w:autoRedefine/>
    <w:uiPriority w:val="39"/>
    <w:unhideWhenUsed/>
    <w:rsid w:val="005510A0"/>
    <w:pPr>
      <w:spacing w:after="0"/>
      <w:ind w:left="1100"/>
      <w:jc w:val="left"/>
    </w:pPr>
    <w:rPr>
      <w:sz w:val="18"/>
      <w:szCs w:val="18"/>
    </w:rPr>
  </w:style>
  <w:style w:type="paragraph" w:styleId="Spistreci7">
    <w:name w:val="toc 7"/>
    <w:basedOn w:val="Normalny"/>
    <w:next w:val="Normalny"/>
    <w:autoRedefine/>
    <w:uiPriority w:val="39"/>
    <w:unhideWhenUsed/>
    <w:rsid w:val="005510A0"/>
    <w:pPr>
      <w:spacing w:after="0"/>
      <w:ind w:left="1320"/>
      <w:jc w:val="left"/>
    </w:pPr>
    <w:rPr>
      <w:sz w:val="18"/>
      <w:szCs w:val="18"/>
    </w:rPr>
  </w:style>
  <w:style w:type="paragraph" w:styleId="Spistreci8">
    <w:name w:val="toc 8"/>
    <w:basedOn w:val="Normalny"/>
    <w:next w:val="Normalny"/>
    <w:autoRedefine/>
    <w:uiPriority w:val="39"/>
    <w:unhideWhenUsed/>
    <w:rsid w:val="005510A0"/>
    <w:pPr>
      <w:spacing w:after="0"/>
      <w:ind w:left="1540"/>
      <w:jc w:val="left"/>
    </w:pPr>
    <w:rPr>
      <w:sz w:val="18"/>
      <w:szCs w:val="18"/>
    </w:rPr>
  </w:style>
  <w:style w:type="paragraph" w:styleId="Spistreci9">
    <w:name w:val="toc 9"/>
    <w:basedOn w:val="Normalny"/>
    <w:next w:val="Normalny"/>
    <w:autoRedefine/>
    <w:uiPriority w:val="39"/>
    <w:unhideWhenUsed/>
    <w:rsid w:val="005510A0"/>
    <w:pPr>
      <w:spacing w:after="0"/>
      <w:ind w:left="1760"/>
      <w:jc w:val="left"/>
    </w:pPr>
    <w:rPr>
      <w:sz w:val="18"/>
      <w:szCs w:val="18"/>
    </w:rPr>
  </w:style>
  <w:style w:type="paragraph" w:styleId="Poprawka">
    <w:name w:val="Revision"/>
    <w:hidden/>
    <w:uiPriority w:val="99"/>
    <w:semiHidden/>
    <w:rsid w:val="005510A0"/>
    <w:pPr>
      <w:spacing w:after="120" w:line="276" w:lineRule="auto"/>
    </w:pPr>
    <w:rPr>
      <w:rFonts w:eastAsia="Times New Roman" w:cs="Calibri"/>
      <w:color w:val="000000"/>
      <w:sz w:val="22"/>
      <w:lang w:eastAsia="en-US"/>
    </w:rPr>
  </w:style>
  <w:style w:type="paragraph" w:customStyle="1" w:styleId="WW-Domylny">
    <w:name w:val="WW-Domyślny"/>
    <w:rsid w:val="005510A0"/>
    <w:pPr>
      <w:suppressAutoHyphens/>
      <w:spacing w:after="200" w:line="276" w:lineRule="auto"/>
    </w:pPr>
    <w:rPr>
      <w:rFonts w:eastAsia="Arial Unicode MS" w:cs="Calibri"/>
      <w:color w:val="00000A"/>
      <w:sz w:val="22"/>
      <w:szCs w:val="22"/>
      <w:lang w:eastAsia="zh-CN"/>
    </w:rPr>
  </w:style>
  <w:style w:type="character" w:customStyle="1" w:styleId="grame">
    <w:name w:val="grame"/>
    <w:basedOn w:val="Domylnaczcionkaakapitu"/>
    <w:rsid w:val="005510A0"/>
  </w:style>
  <w:style w:type="table" w:customStyle="1" w:styleId="Tabela-Siatka1">
    <w:name w:val="Tabela - Siatka1"/>
    <w:basedOn w:val="Standardowy"/>
    <w:next w:val="Tabela-Siatka"/>
    <w:uiPriority w:val="59"/>
    <w:rsid w:val="005510A0"/>
    <w:pPr>
      <w:spacing w:after="120" w:line="276"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yteHipercze">
    <w:name w:val="FollowedHyperlink"/>
    <w:uiPriority w:val="99"/>
    <w:semiHidden/>
    <w:unhideWhenUsed/>
    <w:rsid w:val="005510A0"/>
    <w:rPr>
      <w:color w:val="954F72"/>
      <w:u w:val="single"/>
    </w:rPr>
  </w:style>
  <w:style w:type="paragraph" w:customStyle="1" w:styleId="Zawartotabeli">
    <w:name w:val="Zawartość tabeli"/>
    <w:basedOn w:val="Normalny"/>
    <w:rsid w:val="005510A0"/>
    <w:pPr>
      <w:widowControl w:val="0"/>
      <w:suppressLineNumbers/>
      <w:suppressAutoHyphens/>
      <w:spacing w:after="0" w:line="240" w:lineRule="auto"/>
      <w:jc w:val="left"/>
    </w:pPr>
    <w:rPr>
      <w:rFonts w:ascii="Times New Roman" w:eastAsia="SimSun" w:hAnsi="Times New Roman" w:cs="Mangal"/>
      <w:color w:val="auto"/>
      <w:kern w:val="1"/>
      <w:sz w:val="24"/>
      <w:szCs w:val="24"/>
      <w:lang w:eastAsia="hi-IN" w:bidi="hi-IN"/>
    </w:rPr>
  </w:style>
  <w:style w:type="character" w:customStyle="1" w:styleId="PodtytuZnak">
    <w:name w:val="Podtytuł Znak"/>
    <w:link w:val="Podtytu"/>
    <w:uiPriority w:val="11"/>
    <w:rsid w:val="005510A0"/>
    <w:rPr>
      <w:rFonts w:eastAsia="Times New Roman"/>
      <w:color w:val="5A5A5A"/>
      <w:spacing w:val="15"/>
    </w:rPr>
  </w:style>
  <w:style w:type="paragraph" w:styleId="Podtytu">
    <w:name w:val="Subtitle"/>
    <w:basedOn w:val="Normalny"/>
    <w:next w:val="Normalny"/>
    <w:link w:val="PodtytuZnak"/>
    <w:uiPriority w:val="11"/>
    <w:qFormat/>
    <w:rsid w:val="005510A0"/>
    <w:pPr>
      <w:numPr>
        <w:ilvl w:val="1"/>
      </w:numPr>
    </w:pPr>
    <w:rPr>
      <w:rFonts w:cs="Times New Roman"/>
      <w:color w:val="5A5A5A"/>
      <w:spacing w:val="15"/>
      <w:szCs w:val="22"/>
    </w:rPr>
  </w:style>
  <w:style w:type="character" w:customStyle="1" w:styleId="PodtytuZnak1">
    <w:name w:val="Podtytuł Znak1"/>
    <w:uiPriority w:val="11"/>
    <w:rsid w:val="005510A0"/>
    <w:rPr>
      <w:rFonts w:eastAsia="Times New Roman"/>
      <w:color w:val="5A5A5A"/>
      <w:spacing w:val="15"/>
    </w:rPr>
  </w:style>
  <w:style w:type="character" w:styleId="Wyrnienieintensywne">
    <w:name w:val="Intense Emphasis"/>
    <w:uiPriority w:val="21"/>
    <w:qFormat/>
    <w:rsid w:val="005510A0"/>
    <w:rPr>
      <w:i/>
      <w:iCs/>
      <w:color w:val="5B9BD5"/>
    </w:rPr>
  </w:style>
  <w:style w:type="table" w:customStyle="1" w:styleId="Tabela-Siatka2">
    <w:name w:val="Tabela - Siatka2"/>
    <w:basedOn w:val="Standardowy"/>
    <w:next w:val="Tabela-Siatka"/>
    <w:uiPriority w:val="39"/>
    <w:rsid w:val="005510A0"/>
    <w:pPr>
      <w:spacing w:after="120" w:line="276" w:lineRule="auto"/>
      <w:ind w:left="57" w:right="57"/>
      <w:jc w:val="both"/>
    </w:pPr>
    <w:rPr>
      <w:rFonts w:ascii="Arial Narrow" w:hAnsi="Arial Narrow"/>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omylnaczcionkaakapitu"/>
    <w:rsid w:val="005510A0"/>
  </w:style>
  <w:style w:type="table" w:customStyle="1" w:styleId="Tabelasiatki1jasnaakcent11">
    <w:name w:val="Tabela siatki 1 — jasna — akcent 11"/>
    <w:basedOn w:val="Standardowy"/>
    <w:uiPriority w:val="46"/>
    <w:rsid w:val="005510A0"/>
    <w:pPr>
      <w:spacing w:after="120" w:line="276" w:lineRule="auto"/>
      <w:jc w:val="both"/>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listy5ciemnaakcent21">
    <w:name w:val="Tabela listy 5 — ciemna — akcent 21"/>
    <w:basedOn w:val="Standardowy"/>
    <w:uiPriority w:val="50"/>
    <w:rsid w:val="005510A0"/>
    <w:pPr>
      <w:jc w:val="both"/>
    </w:pPr>
    <w:rPr>
      <w:color w:val="FFFFFF"/>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listy5ciemnaakcent11">
    <w:name w:val="Tabela listy 5 — ciemna — akcent 11"/>
    <w:basedOn w:val="Standardowy"/>
    <w:uiPriority w:val="50"/>
    <w:rsid w:val="005510A0"/>
    <w:pPr>
      <w:jc w:val="both"/>
    </w:pPr>
    <w:rPr>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siatki1jasnaakcent12">
    <w:name w:val="Tabela siatki 1 — jasna — akcent 12"/>
    <w:basedOn w:val="Standardowy"/>
    <w:uiPriority w:val="46"/>
    <w:rsid w:val="005510A0"/>
    <w:pPr>
      <w:spacing w:after="120" w:line="276" w:lineRule="auto"/>
      <w:jc w:val="both"/>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Standard">
    <w:name w:val="Standard"/>
    <w:rsid w:val="005510A0"/>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styleId="Tekstzastpczy">
    <w:name w:val="Placeholder Text"/>
    <w:uiPriority w:val="99"/>
    <w:semiHidden/>
    <w:rsid w:val="005510A0"/>
    <w:rPr>
      <w:color w:val="808080"/>
    </w:rPr>
  </w:style>
  <w:style w:type="character" w:customStyle="1" w:styleId="lnheight">
    <w:name w:val="ln_height"/>
    <w:basedOn w:val="Domylnaczcionkaakapitu"/>
    <w:rsid w:val="005510A0"/>
  </w:style>
  <w:style w:type="table" w:customStyle="1" w:styleId="Tabelasiatki4akcent51">
    <w:name w:val="Tabela siatki 4 — akcent 51"/>
    <w:basedOn w:val="Standardowy"/>
    <w:uiPriority w:val="49"/>
    <w:rsid w:val="005510A0"/>
    <w:pPr>
      <w:jc w:val="both"/>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i4akcent11">
    <w:name w:val="Tabela siatki 4 — akcent 11"/>
    <w:basedOn w:val="Standardowy"/>
    <w:uiPriority w:val="49"/>
    <w:rsid w:val="005510A0"/>
    <w:pPr>
      <w:jc w:val="both"/>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Wyrnieniedelikatne">
    <w:name w:val="Subtle Emphasis"/>
    <w:uiPriority w:val="19"/>
    <w:qFormat/>
    <w:rsid w:val="005510A0"/>
    <w:rPr>
      <w:rFonts w:ascii="Calibri" w:hAnsi="Calibri"/>
      <w:iCs/>
      <w:color w:val="002060"/>
      <w:sz w:val="22"/>
    </w:rPr>
  </w:style>
  <w:style w:type="paragraph" w:styleId="Tekstpodstawowywcity2">
    <w:name w:val="Body Text Indent 2"/>
    <w:basedOn w:val="Normalny"/>
    <w:link w:val="Tekstpodstawowywcity2Znak"/>
    <w:unhideWhenUsed/>
    <w:rsid w:val="005510A0"/>
    <w:pPr>
      <w:suppressAutoHyphens/>
      <w:spacing w:line="480" w:lineRule="auto"/>
      <w:ind w:left="283"/>
      <w:jc w:val="left"/>
    </w:pPr>
    <w:rPr>
      <w:rFonts w:ascii="Times New Roman" w:hAnsi="Times New Roman" w:cs="Times New Roman"/>
      <w:color w:val="auto"/>
      <w:kern w:val="1"/>
      <w:sz w:val="24"/>
      <w:szCs w:val="24"/>
      <w:lang w:eastAsia="ar-SA"/>
    </w:rPr>
  </w:style>
  <w:style w:type="character" w:customStyle="1" w:styleId="Tekstpodstawowywcity2Znak">
    <w:name w:val="Tekst podstawowy wcięty 2 Znak"/>
    <w:link w:val="Tekstpodstawowywcity2"/>
    <w:rsid w:val="005510A0"/>
    <w:rPr>
      <w:rFonts w:ascii="Times New Roman" w:eastAsia="Times New Roman" w:hAnsi="Times New Roman" w:cs="Times New Roman"/>
      <w:kern w:val="1"/>
      <w:sz w:val="24"/>
      <w:szCs w:val="24"/>
      <w:lang w:eastAsia="ar-SA"/>
    </w:rPr>
  </w:style>
  <w:style w:type="character" w:customStyle="1" w:styleId="Teksttreci2">
    <w:name w:val="Tekst treści (2)_"/>
    <w:link w:val="Teksttreci20"/>
    <w:rsid w:val="005510A0"/>
    <w:rPr>
      <w:rFonts w:ascii="Arial" w:eastAsia="Arial" w:hAnsi="Arial" w:cs="Arial"/>
      <w:sz w:val="18"/>
      <w:szCs w:val="18"/>
      <w:shd w:val="clear" w:color="auto" w:fill="FFFFFF"/>
    </w:rPr>
  </w:style>
  <w:style w:type="character" w:customStyle="1" w:styleId="Teksttreci2Pogrubienie">
    <w:name w:val="Tekst treści (2) + Pogrubienie"/>
    <w:rsid w:val="005510A0"/>
    <w:rPr>
      <w:rFonts w:ascii="Arial" w:eastAsia="Arial" w:hAnsi="Arial" w:cs="Arial"/>
      <w:b/>
      <w:bCs/>
      <w:color w:val="000000"/>
      <w:spacing w:val="0"/>
      <w:w w:val="100"/>
      <w:position w:val="0"/>
      <w:sz w:val="18"/>
      <w:szCs w:val="18"/>
      <w:shd w:val="clear" w:color="auto" w:fill="FFFFFF"/>
      <w:lang w:val="pl-PL" w:eastAsia="pl-PL" w:bidi="pl-PL"/>
    </w:rPr>
  </w:style>
  <w:style w:type="paragraph" w:customStyle="1" w:styleId="Teksttreci20">
    <w:name w:val="Tekst treści (2)"/>
    <w:basedOn w:val="Normalny"/>
    <w:link w:val="Teksttreci2"/>
    <w:rsid w:val="005510A0"/>
    <w:pPr>
      <w:widowControl w:val="0"/>
      <w:shd w:val="clear" w:color="auto" w:fill="FFFFFF"/>
      <w:spacing w:after="360" w:line="0" w:lineRule="atLeast"/>
      <w:ind w:hanging="480"/>
    </w:pPr>
    <w:rPr>
      <w:rFonts w:ascii="Arial" w:eastAsia="Arial" w:hAnsi="Arial" w:cs="Arial"/>
      <w:color w:val="auto"/>
      <w:sz w:val="18"/>
      <w:szCs w:val="18"/>
    </w:rPr>
  </w:style>
  <w:style w:type="character" w:customStyle="1" w:styleId="Teksttreci3">
    <w:name w:val="Tekst treści (3)_"/>
    <w:link w:val="Teksttreci30"/>
    <w:rsid w:val="005510A0"/>
    <w:rPr>
      <w:rFonts w:ascii="Arial" w:eastAsia="Arial" w:hAnsi="Arial" w:cs="Arial"/>
      <w:b/>
      <w:bCs/>
      <w:i/>
      <w:iCs/>
      <w:sz w:val="16"/>
      <w:szCs w:val="16"/>
      <w:shd w:val="clear" w:color="auto" w:fill="FFFFFF"/>
    </w:rPr>
  </w:style>
  <w:style w:type="character" w:customStyle="1" w:styleId="Nagwek10">
    <w:name w:val="Nagłówek #1_"/>
    <w:link w:val="Nagwek11"/>
    <w:rsid w:val="005510A0"/>
    <w:rPr>
      <w:rFonts w:ascii="Arial" w:eastAsia="Arial" w:hAnsi="Arial" w:cs="Arial"/>
      <w:b/>
      <w:bCs/>
      <w:sz w:val="20"/>
      <w:szCs w:val="20"/>
      <w:shd w:val="clear" w:color="auto" w:fill="FFFFFF"/>
    </w:rPr>
  </w:style>
  <w:style w:type="character" w:customStyle="1" w:styleId="Podpistabeli">
    <w:name w:val="Podpis tabeli_"/>
    <w:link w:val="Podpistabeli0"/>
    <w:rsid w:val="005510A0"/>
    <w:rPr>
      <w:rFonts w:ascii="Arial" w:eastAsia="Arial" w:hAnsi="Arial" w:cs="Arial"/>
      <w:i/>
      <w:iCs/>
      <w:sz w:val="14"/>
      <w:szCs w:val="14"/>
      <w:shd w:val="clear" w:color="auto" w:fill="FFFFFF"/>
    </w:rPr>
  </w:style>
  <w:style w:type="character" w:customStyle="1" w:styleId="Teksttreci28pt">
    <w:name w:val="Tekst treści (2) + 8 pt"/>
    <w:rsid w:val="005510A0"/>
    <w:rPr>
      <w:rFonts w:ascii="Arial" w:eastAsia="Arial" w:hAnsi="Arial" w:cs="Arial"/>
      <w:b/>
      <w:bCs/>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Teksttreci265ptBezpogrubienia">
    <w:name w:val="Tekst treści (2) + 6;5 pt;Bez pogrubienia"/>
    <w:rsid w:val="005510A0"/>
    <w:rPr>
      <w:rFonts w:ascii="Arial" w:eastAsia="Arial" w:hAnsi="Arial" w:cs="Arial"/>
      <w:b/>
      <w:bCs/>
      <w:i w:val="0"/>
      <w:iCs w:val="0"/>
      <w:smallCaps w:val="0"/>
      <w:strike w:val="0"/>
      <w:color w:val="000000"/>
      <w:spacing w:val="0"/>
      <w:w w:val="100"/>
      <w:position w:val="0"/>
      <w:sz w:val="13"/>
      <w:szCs w:val="13"/>
      <w:u w:val="none"/>
      <w:shd w:val="clear" w:color="auto" w:fill="FFFFFF"/>
      <w:lang w:val="pl-PL" w:eastAsia="pl-PL" w:bidi="pl-PL"/>
    </w:rPr>
  </w:style>
  <w:style w:type="character" w:customStyle="1" w:styleId="Teksttreci265ptBezpogrubieniaKursywa">
    <w:name w:val="Tekst treści (2) + 6;5 pt;Bez pogrubienia;Kursywa"/>
    <w:rsid w:val="005510A0"/>
    <w:rPr>
      <w:rFonts w:ascii="Arial" w:eastAsia="Arial" w:hAnsi="Arial" w:cs="Arial"/>
      <w:b/>
      <w:bCs/>
      <w:i/>
      <w:iCs/>
      <w:smallCaps w:val="0"/>
      <w:strike w:val="0"/>
      <w:color w:val="000000"/>
      <w:spacing w:val="0"/>
      <w:w w:val="100"/>
      <w:position w:val="0"/>
      <w:sz w:val="13"/>
      <w:szCs w:val="13"/>
      <w:u w:val="none"/>
      <w:shd w:val="clear" w:color="auto" w:fill="FFFFFF"/>
      <w:lang w:val="pl-PL" w:eastAsia="pl-PL" w:bidi="pl-PL"/>
    </w:rPr>
  </w:style>
  <w:style w:type="character" w:customStyle="1" w:styleId="Teksttreci3Bezkursywy">
    <w:name w:val="Tekst treści (3) + Bez kursywy"/>
    <w:rsid w:val="005510A0"/>
    <w:rPr>
      <w:rFonts w:ascii="Arial" w:eastAsia="Arial" w:hAnsi="Arial" w:cs="Arial"/>
      <w:b/>
      <w:bCs/>
      <w:i/>
      <w:iCs/>
      <w:color w:val="000000"/>
      <w:spacing w:val="0"/>
      <w:w w:val="100"/>
      <w:position w:val="0"/>
      <w:sz w:val="16"/>
      <w:szCs w:val="16"/>
      <w:shd w:val="clear" w:color="auto" w:fill="FFFFFF"/>
      <w:lang w:val="pl-PL" w:eastAsia="pl-PL" w:bidi="pl-PL"/>
    </w:rPr>
  </w:style>
  <w:style w:type="paragraph" w:customStyle="1" w:styleId="Teksttreci30">
    <w:name w:val="Tekst treści (3)"/>
    <w:basedOn w:val="Normalny"/>
    <w:link w:val="Teksttreci3"/>
    <w:rsid w:val="005510A0"/>
    <w:pPr>
      <w:widowControl w:val="0"/>
      <w:shd w:val="clear" w:color="auto" w:fill="FFFFFF"/>
      <w:spacing w:line="0" w:lineRule="atLeast"/>
      <w:jc w:val="left"/>
    </w:pPr>
    <w:rPr>
      <w:rFonts w:ascii="Arial" w:eastAsia="Arial" w:hAnsi="Arial" w:cs="Arial"/>
      <w:b/>
      <w:bCs/>
      <w:i/>
      <w:iCs/>
      <w:color w:val="auto"/>
      <w:sz w:val="16"/>
      <w:szCs w:val="16"/>
    </w:rPr>
  </w:style>
  <w:style w:type="paragraph" w:customStyle="1" w:styleId="Nagwek11">
    <w:name w:val="Nagłówek #1"/>
    <w:basedOn w:val="Normalny"/>
    <w:link w:val="Nagwek10"/>
    <w:rsid w:val="005510A0"/>
    <w:pPr>
      <w:widowControl w:val="0"/>
      <w:shd w:val="clear" w:color="auto" w:fill="FFFFFF"/>
      <w:spacing w:before="120" w:after="0" w:line="0" w:lineRule="atLeast"/>
      <w:jc w:val="center"/>
      <w:outlineLvl w:val="0"/>
    </w:pPr>
    <w:rPr>
      <w:rFonts w:ascii="Arial" w:eastAsia="Arial" w:hAnsi="Arial" w:cs="Arial"/>
      <w:b/>
      <w:bCs/>
      <w:color w:val="auto"/>
      <w:sz w:val="20"/>
    </w:rPr>
  </w:style>
  <w:style w:type="paragraph" w:customStyle="1" w:styleId="Podpistabeli0">
    <w:name w:val="Podpis tabeli"/>
    <w:basedOn w:val="Normalny"/>
    <w:link w:val="Podpistabeli"/>
    <w:rsid w:val="005510A0"/>
    <w:pPr>
      <w:widowControl w:val="0"/>
      <w:shd w:val="clear" w:color="auto" w:fill="FFFFFF"/>
      <w:spacing w:after="0" w:line="0" w:lineRule="atLeast"/>
      <w:jc w:val="left"/>
    </w:pPr>
    <w:rPr>
      <w:rFonts w:ascii="Arial" w:eastAsia="Arial" w:hAnsi="Arial" w:cs="Arial"/>
      <w:i/>
      <w:iCs/>
      <w:color w:val="auto"/>
      <w:sz w:val="14"/>
      <w:szCs w:val="14"/>
    </w:rPr>
  </w:style>
  <w:style w:type="paragraph" w:customStyle="1" w:styleId="paragraph">
    <w:name w:val="paragraph"/>
    <w:basedOn w:val="Normalny"/>
    <w:rsid w:val="005510A0"/>
    <w:pPr>
      <w:spacing w:before="100" w:beforeAutospacing="1" w:after="100" w:afterAutospacing="1" w:line="240" w:lineRule="auto"/>
      <w:jc w:val="left"/>
    </w:pPr>
    <w:rPr>
      <w:rFonts w:ascii="Times New Roman" w:hAnsi="Times New Roman" w:cs="Times New Roman"/>
      <w:color w:val="auto"/>
      <w:sz w:val="24"/>
      <w:szCs w:val="24"/>
      <w:lang w:eastAsia="pl-PL"/>
    </w:rPr>
  </w:style>
  <w:style w:type="character" w:customStyle="1" w:styleId="eop">
    <w:name w:val="eop"/>
    <w:basedOn w:val="Domylnaczcionkaakapitu"/>
    <w:rsid w:val="005510A0"/>
  </w:style>
  <w:style w:type="paragraph" w:customStyle="1" w:styleId="ZnakZnakZnakZnakZnakZnak">
    <w:name w:val="Znak Znak Znak Znak Znak Znak"/>
    <w:basedOn w:val="Normalny"/>
    <w:rsid w:val="005510A0"/>
    <w:pPr>
      <w:spacing w:after="0" w:line="240" w:lineRule="auto"/>
      <w:jc w:val="left"/>
    </w:pPr>
    <w:rPr>
      <w:rFonts w:ascii="Arial" w:hAnsi="Arial" w:cs="Arial"/>
      <w:color w:val="auto"/>
      <w:sz w:val="24"/>
      <w:szCs w:val="24"/>
      <w:lang w:eastAsia="pl-PL"/>
    </w:rPr>
  </w:style>
  <w:style w:type="paragraph" w:styleId="Tekstpodstawowy">
    <w:name w:val="Body Text"/>
    <w:basedOn w:val="Normalny"/>
    <w:link w:val="TekstpodstawowyZnak"/>
    <w:rsid w:val="005510A0"/>
    <w:pPr>
      <w:widowControl w:val="0"/>
      <w:suppressAutoHyphens/>
      <w:spacing w:line="240" w:lineRule="auto"/>
      <w:jc w:val="left"/>
    </w:pPr>
    <w:rPr>
      <w:rFonts w:ascii="Times New Roman" w:hAnsi="Times New Roman" w:cs="Times New Roman"/>
      <w:color w:val="auto"/>
      <w:sz w:val="24"/>
      <w:szCs w:val="24"/>
      <w:lang w:eastAsia="pl-PL"/>
    </w:rPr>
  </w:style>
  <w:style w:type="character" w:customStyle="1" w:styleId="TekstpodstawowyZnak">
    <w:name w:val="Tekst podstawowy Znak"/>
    <w:link w:val="Tekstpodstawowy"/>
    <w:rsid w:val="005510A0"/>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unhideWhenUsed/>
    <w:rsid w:val="005510A0"/>
    <w:pPr>
      <w:ind w:left="283"/>
    </w:pPr>
  </w:style>
  <w:style w:type="character" w:customStyle="1" w:styleId="TekstpodstawowywcityZnak">
    <w:name w:val="Tekst podstawowy wcięty Znak"/>
    <w:link w:val="Tekstpodstawowywcity"/>
    <w:uiPriority w:val="99"/>
    <w:rsid w:val="005510A0"/>
    <w:rPr>
      <w:rFonts w:eastAsia="Times New Roman" w:cs="Calibri"/>
      <w:color w:val="002060"/>
      <w:szCs w:val="20"/>
    </w:rPr>
  </w:style>
  <w:style w:type="paragraph" w:customStyle="1" w:styleId="Indeks">
    <w:name w:val="Indeks"/>
    <w:basedOn w:val="Normalny"/>
    <w:rsid w:val="005510A0"/>
    <w:pPr>
      <w:suppressLineNumbers/>
      <w:suppressAutoHyphens/>
      <w:spacing w:after="0" w:line="240" w:lineRule="auto"/>
      <w:jc w:val="left"/>
    </w:pPr>
    <w:rPr>
      <w:rFonts w:ascii="Arial" w:hAnsi="Arial" w:cs="Bookman Old Style"/>
      <w:color w:val="auto"/>
      <w:sz w:val="24"/>
      <w:lang w:eastAsia="ar-SA"/>
    </w:rPr>
  </w:style>
  <w:style w:type="paragraph" w:customStyle="1" w:styleId="Styl1">
    <w:name w:val="Styl1"/>
    <w:basedOn w:val="Normalny"/>
    <w:rsid w:val="005510A0"/>
    <w:pPr>
      <w:widowControl w:val="0"/>
      <w:suppressAutoHyphens/>
      <w:spacing w:before="240" w:after="0" w:line="240" w:lineRule="auto"/>
    </w:pPr>
    <w:rPr>
      <w:rFonts w:ascii="Arial" w:hAnsi="Arial" w:cs="Times New Roman"/>
      <w:color w:val="auto"/>
      <w:sz w:val="24"/>
      <w:lang w:eastAsia="ar-SA"/>
    </w:rPr>
  </w:style>
  <w:style w:type="character" w:styleId="Uwydatnienie">
    <w:name w:val="Emphasis"/>
    <w:uiPriority w:val="20"/>
    <w:qFormat/>
    <w:rsid w:val="005510A0"/>
    <w:rPr>
      <w:i/>
      <w:iCs/>
    </w:rPr>
  </w:style>
  <w:style w:type="paragraph" w:customStyle="1" w:styleId="Opoleraport1">
    <w:name w:val="Opole_raport_1"/>
    <w:basedOn w:val="Normalny"/>
    <w:link w:val="Opoleraport1Znak"/>
    <w:uiPriority w:val="99"/>
    <w:qFormat/>
    <w:rsid w:val="005510A0"/>
    <w:pPr>
      <w:widowControl w:val="0"/>
      <w:tabs>
        <w:tab w:val="left" w:pos="993"/>
      </w:tabs>
      <w:adjustRightInd w:val="0"/>
      <w:spacing w:after="0" w:line="240" w:lineRule="auto"/>
      <w:jc w:val="left"/>
      <w:textAlignment w:val="baseline"/>
    </w:pPr>
    <w:rPr>
      <w:b/>
      <w:color w:val="FFFFFF"/>
      <w:sz w:val="44"/>
      <w:lang w:eastAsia="pl-PL"/>
    </w:rPr>
  </w:style>
  <w:style w:type="character" w:customStyle="1" w:styleId="Opoleraport1Znak">
    <w:name w:val="Opole_raport_1 Znak"/>
    <w:link w:val="Opoleraport1"/>
    <w:uiPriority w:val="99"/>
    <w:rsid w:val="005510A0"/>
    <w:rPr>
      <w:rFonts w:eastAsia="Times New Roman" w:cs="Calibri"/>
      <w:b/>
      <w:color w:val="FFFFFF"/>
      <w:sz w:val="44"/>
      <w:szCs w:val="20"/>
      <w:lang w:eastAsia="pl-PL"/>
    </w:rPr>
  </w:style>
  <w:style w:type="paragraph" w:customStyle="1" w:styleId="xl110">
    <w:name w:val="xl110"/>
    <w:basedOn w:val="Normalny"/>
    <w:rsid w:val="005510A0"/>
    <w:pPr>
      <w:pBdr>
        <w:top w:val="single" w:sz="4" w:space="0" w:color="333333"/>
        <w:bottom w:val="single" w:sz="4" w:space="0" w:color="333333"/>
      </w:pBdr>
      <w:shd w:val="clear" w:color="000000" w:fill="CCCCFF"/>
      <w:spacing w:before="100" w:beforeAutospacing="1" w:after="100" w:afterAutospacing="1" w:line="240" w:lineRule="auto"/>
      <w:jc w:val="left"/>
      <w:textAlignment w:val="top"/>
    </w:pPr>
    <w:rPr>
      <w:rFonts w:ascii="Arial" w:hAnsi="Arial" w:cs="Arial"/>
      <w:color w:val="333399"/>
      <w:sz w:val="18"/>
      <w:szCs w:val="18"/>
      <w:lang w:eastAsia="pl-PL"/>
    </w:rPr>
  </w:style>
  <w:style w:type="paragraph" w:customStyle="1" w:styleId="xl111">
    <w:name w:val="xl111"/>
    <w:basedOn w:val="Normalny"/>
    <w:rsid w:val="005510A0"/>
    <w:pPr>
      <w:pBdr>
        <w:top w:val="single" w:sz="4" w:space="0" w:color="333333"/>
        <w:bottom w:val="single" w:sz="4" w:space="0" w:color="993366"/>
      </w:pBdr>
      <w:shd w:val="clear" w:color="000000" w:fill="CCCCFF"/>
      <w:spacing w:before="100" w:beforeAutospacing="1" w:after="100" w:afterAutospacing="1" w:line="240" w:lineRule="auto"/>
      <w:jc w:val="left"/>
      <w:textAlignment w:val="top"/>
    </w:pPr>
    <w:rPr>
      <w:rFonts w:ascii="Arial" w:hAnsi="Arial" w:cs="Arial"/>
      <w:color w:val="333399"/>
      <w:sz w:val="18"/>
      <w:szCs w:val="18"/>
      <w:lang w:eastAsia="pl-PL"/>
    </w:rPr>
  </w:style>
  <w:style w:type="paragraph" w:customStyle="1" w:styleId="xl112">
    <w:name w:val="xl112"/>
    <w:basedOn w:val="Normalny"/>
    <w:rsid w:val="005510A0"/>
    <w:pPr>
      <w:pBdr>
        <w:right w:val="single" w:sz="4" w:space="0" w:color="CCCCFF"/>
      </w:pBdr>
      <w:spacing w:before="100" w:beforeAutospacing="1" w:after="100" w:afterAutospacing="1" w:line="240" w:lineRule="auto"/>
      <w:jc w:val="center"/>
    </w:pPr>
    <w:rPr>
      <w:rFonts w:ascii="Arial" w:hAnsi="Arial" w:cs="Arial"/>
      <w:color w:val="333399"/>
      <w:sz w:val="18"/>
      <w:szCs w:val="18"/>
      <w:lang w:eastAsia="pl-PL"/>
    </w:rPr>
  </w:style>
  <w:style w:type="paragraph" w:customStyle="1" w:styleId="xl113">
    <w:name w:val="xl113"/>
    <w:basedOn w:val="Normalny"/>
    <w:rsid w:val="005510A0"/>
    <w:pPr>
      <w:spacing w:before="100" w:beforeAutospacing="1" w:after="100" w:afterAutospacing="1" w:line="240" w:lineRule="auto"/>
      <w:jc w:val="center"/>
    </w:pPr>
    <w:rPr>
      <w:rFonts w:ascii="Arial" w:hAnsi="Arial" w:cs="Arial"/>
      <w:color w:val="333399"/>
      <w:sz w:val="18"/>
      <w:szCs w:val="18"/>
      <w:lang w:eastAsia="pl-PL"/>
    </w:rPr>
  </w:style>
  <w:style w:type="paragraph" w:customStyle="1" w:styleId="xl114">
    <w:name w:val="xl114"/>
    <w:basedOn w:val="Normalny"/>
    <w:rsid w:val="005510A0"/>
    <w:pPr>
      <w:pBdr>
        <w:bottom w:val="single" w:sz="4" w:space="0" w:color="993366"/>
        <w:right w:val="single" w:sz="4" w:space="0" w:color="CCCCFF"/>
      </w:pBdr>
      <w:spacing w:before="100" w:beforeAutospacing="1" w:after="100" w:afterAutospacing="1" w:line="240" w:lineRule="auto"/>
      <w:jc w:val="center"/>
    </w:pPr>
    <w:rPr>
      <w:rFonts w:ascii="Arial" w:hAnsi="Arial" w:cs="Arial"/>
      <w:color w:val="333399"/>
      <w:sz w:val="18"/>
      <w:szCs w:val="18"/>
      <w:lang w:eastAsia="pl-PL"/>
    </w:rPr>
  </w:style>
  <w:style w:type="paragraph" w:customStyle="1" w:styleId="xl115">
    <w:name w:val="xl115"/>
    <w:basedOn w:val="Normalny"/>
    <w:rsid w:val="005510A0"/>
    <w:pPr>
      <w:pBdr>
        <w:left w:val="single" w:sz="4" w:space="0" w:color="CCCCFF"/>
        <w:bottom w:val="single" w:sz="4" w:space="0" w:color="993366"/>
      </w:pBdr>
      <w:spacing w:before="100" w:beforeAutospacing="1" w:after="100" w:afterAutospacing="1" w:line="240" w:lineRule="auto"/>
      <w:jc w:val="center"/>
    </w:pPr>
    <w:rPr>
      <w:rFonts w:ascii="Arial" w:hAnsi="Arial" w:cs="Arial"/>
      <w:color w:val="333399"/>
      <w:sz w:val="18"/>
      <w:szCs w:val="18"/>
      <w:lang w:eastAsia="pl-PL"/>
    </w:rPr>
  </w:style>
  <w:style w:type="paragraph" w:customStyle="1" w:styleId="xl116">
    <w:name w:val="xl116"/>
    <w:basedOn w:val="Normalny"/>
    <w:rsid w:val="005510A0"/>
    <w:pPr>
      <w:pBdr>
        <w:left w:val="single" w:sz="4" w:space="0" w:color="CCCCFF"/>
        <w:bottom w:val="single" w:sz="4" w:space="0" w:color="993366"/>
        <w:right w:val="single" w:sz="4" w:space="0" w:color="CCCCFF"/>
      </w:pBdr>
      <w:spacing w:before="100" w:beforeAutospacing="1" w:after="100" w:afterAutospacing="1" w:line="240" w:lineRule="auto"/>
      <w:jc w:val="center"/>
    </w:pPr>
    <w:rPr>
      <w:rFonts w:ascii="Arial" w:hAnsi="Arial" w:cs="Arial"/>
      <w:color w:val="333399"/>
      <w:sz w:val="18"/>
      <w:szCs w:val="18"/>
      <w:lang w:eastAsia="pl-PL"/>
    </w:rPr>
  </w:style>
  <w:style w:type="paragraph" w:customStyle="1" w:styleId="xl117">
    <w:name w:val="xl117"/>
    <w:basedOn w:val="Normalny"/>
    <w:rsid w:val="005510A0"/>
    <w:pPr>
      <w:pBdr>
        <w:top w:val="single" w:sz="4" w:space="0" w:color="993366"/>
        <w:bottom w:val="single" w:sz="4" w:space="0" w:color="333333"/>
      </w:pBdr>
      <w:shd w:val="clear" w:color="000000" w:fill="CCCCFF"/>
      <w:spacing w:before="100" w:beforeAutospacing="1" w:after="100" w:afterAutospacing="1" w:line="240" w:lineRule="auto"/>
      <w:jc w:val="left"/>
      <w:textAlignment w:val="top"/>
    </w:pPr>
    <w:rPr>
      <w:rFonts w:ascii="Arial" w:hAnsi="Arial" w:cs="Arial"/>
      <w:color w:val="333399"/>
      <w:sz w:val="18"/>
      <w:szCs w:val="18"/>
      <w:lang w:eastAsia="pl-PL"/>
    </w:rPr>
  </w:style>
  <w:style w:type="paragraph" w:customStyle="1" w:styleId="xl118">
    <w:name w:val="xl118"/>
    <w:basedOn w:val="Normalny"/>
    <w:rsid w:val="005510A0"/>
    <w:pPr>
      <w:pBdr>
        <w:top w:val="single" w:sz="4" w:space="0" w:color="993366"/>
        <w:bottom w:val="single" w:sz="4" w:space="0" w:color="333333"/>
        <w:right w:val="single" w:sz="4" w:space="0" w:color="CCCCFF"/>
      </w:pBdr>
      <w:spacing w:before="100" w:beforeAutospacing="1" w:after="100" w:afterAutospacing="1" w:line="240" w:lineRule="auto"/>
      <w:jc w:val="right"/>
      <w:textAlignment w:val="top"/>
    </w:pPr>
    <w:rPr>
      <w:rFonts w:ascii="Arial" w:hAnsi="Arial" w:cs="Arial"/>
      <w:color w:val="993300"/>
      <w:sz w:val="18"/>
      <w:szCs w:val="18"/>
      <w:lang w:eastAsia="pl-PL"/>
    </w:rPr>
  </w:style>
  <w:style w:type="paragraph" w:customStyle="1" w:styleId="xl119">
    <w:name w:val="xl119"/>
    <w:basedOn w:val="Normalny"/>
    <w:rsid w:val="005510A0"/>
    <w:pPr>
      <w:pBdr>
        <w:top w:val="single" w:sz="4" w:space="0" w:color="993366"/>
        <w:left w:val="single" w:sz="4" w:space="0" w:color="CCCCFF"/>
        <w:bottom w:val="single" w:sz="4" w:space="0" w:color="333333"/>
        <w:right w:val="single" w:sz="4" w:space="0" w:color="CCCCFF"/>
      </w:pBdr>
      <w:spacing w:before="100" w:beforeAutospacing="1" w:after="100" w:afterAutospacing="1" w:line="240" w:lineRule="auto"/>
      <w:jc w:val="right"/>
      <w:textAlignment w:val="top"/>
    </w:pPr>
    <w:rPr>
      <w:rFonts w:ascii="Arial" w:hAnsi="Arial" w:cs="Arial"/>
      <w:color w:val="993300"/>
      <w:sz w:val="18"/>
      <w:szCs w:val="18"/>
      <w:lang w:eastAsia="pl-PL"/>
    </w:rPr>
  </w:style>
  <w:style w:type="paragraph" w:customStyle="1" w:styleId="xl120">
    <w:name w:val="xl120"/>
    <w:basedOn w:val="Normalny"/>
    <w:rsid w:val="005510A0"/>
    <w:pPr>
      <w:pBdr>
        <w:top w:val="single" w:sz="4" w:space="0" w:color="333333"/>
        <w:bottom w:val="single" w:sz="4" w:space="0" w:color="333333"/>
        <w:right w:val="single" w:sz="4" w:space="0" w:color="CCCCFF"/>
      </w:pBdr>
      <w:spacing w:before="100" w:beforeAutospacing="1" w:after="100" w:afterAutospacing="1" w:line="240" w:lineRule="auto"/>
      <w:jc w:val="right"/>
      <w:textAlignment w:val="top"/>
    </w:pPr>
    <w:rPr>
      <w:rFonts w:ascii="Arial" w:hAnsi="Arial" w:cs="Arial"/>
      <w:color w:val="993300"/>
      <w:sz w:val="18"/>
      <w:szCs w:val="18"/>
      <w:lang w:eastAsia="pl-PL"/>
    </w:rPr>
  </w:style>
  <w:style w:type="paragraph" w:customStyle="1" w:styleId="xl121">
    <w:name w:val="xl121"/>
    <w:basedOn w:val="Normalny"/>
    <w:rsid w:val="005510A0"/>
    <w:pPr>
      <w:pBdr>
        <w:top w:val="single" w:sz="4" w:space="0" w:color="333333"/>
        <w:left w:val="single" w:sz="4" w:space="0" w:color="CCCCFF"/>
        <w:bottom w:val="single" w:sz="4" w:space="0" w:color="333333"/>
        <w:right w:val="single" w:sz="4" w:space="0" w:color="CCCCFF"/>
      </w:pBdr>
      <w:spacing w:before="100" w:beforeAutospacing="1" w:after="100" w:afterAutospacing="1" w:line="240" w:lineRule="auto"/>
      <w:jc w:val="right"/>
      <w:textAlignment w:val="top"/>
    </w:pPr>
    <w:rPr>
      <w:rFonts w:ascii="Arial" w:hAnsi="Arial" w:cs="Arial"/>
      <w:color w:val="993300"/>
      <w:sz w:val="18"/>
      <w:szCs w:val="18"/>
      <w:lang w:eastAsia="pl-PL"/>
    </w:rPr>
  </w:style>
  <w:style w:type="paragraph" w:customStyle="1" w:styleId="xl122">
    <w:name w:val="xl122"/>
    <w:basedOn w:val="Normalny"/>
    <w:rsid w:val="005510A0"/>
    <w:pPr>
      <w:pBdr>
        <w:top w:val="single" w:sz="4" w:space="0" w:color="333333"/>
        <w:left w:val="single" w:sz="4" w:space="0" w:color="CCCCFF"/>
        <w:bottom w:val="single" w:sz="4" w:space="0" w:color="993366"/>
      </w:pBdr>
      <w:spacing w:before="100" w:beforeAutospacing="1" w:after="100" w:afterAutospacing="1" w:line="240" w:lineRule="auto"/>
      <w:jc w:val="right"/>
      <w:textAlignment w:val="top"/>
    </w:pPr>
    <w:rPr>
      <w:rFonts w:ascii="Arial" w:hAnsi="Arial" w:cs="Arial"/>
      <w:color w:val="993300"/>
      <w:sz w:val="18"/>
      <w:szCs w:val="18"/>
      <w:lang w:eastAsia="pl-PL"/>
    </w:rPr>
  </w:style>
  <w:style w:type="paragraph" w:customStyle="1" w:styleId="xl123">
    <w:name w:val="xl123"/>
    <w:basedOn w:val="Normalny"/>
    <w:rsid w:val="005510A0"/>
    <w:pPr>
      <w:pBdr>
        <w:top w:val="single" w:sz="4" w:space="0" w:color="993366"/>
        <w:left w:val="single" w:sz="4" w:space="0" w:color="CCCCFF"/>
        <w:bottom w:val="single" w:sz="4" w:space="0" w:color="333333"/>
      </w:pBdr>
      <w:spacing w:before="100" w:beforeAutospacing="1" w:after="100" w:afterAutospacing="1" w:line="240" w:lineRule="auto"/>
      <w:jc w:val="right"/>
      <w:textAlignment w:val="top"/>
    </w:pPr>
    <w:rPr>
      <w:rFonts w:ascii="Arial" w:hAnsi="Arial" w:cs="Arial"/>
      <w:color w:val="993300"/>
      <w:sz w:val="18"/>
      <w:szCs w:val="18"/>
      <w:lang w:eastAsia="pl-PL"/>
    </w:rPr>
  </w:style>
  <w:style w:type="paragraph" w:customStyle="1" w:styleId="xl124">
    <w:name w:val="xl124"/>
    <w:basedOn w:val="Normalny"/>
    <w:rsid w:val="005510A0"/>
    <w:pPr>
      <w:pBdr>
        <w:top w:val="single" w:sz="4" w:space="0" w:color="333333"/>
      </w:pBdr>
      <w:shd w:val="clear" w:color="000000" w:fill="CCCCFF"/>
      <w:spacing w:before="100" w:beforeAutospacing="1" w:after="100" w:afterAutospacing="1" w:line="240" w:lineRule="auto"/>
      <w:jc w:val="left"/>
      <w:textAlignment w:val="top"/>
    </w:pPr>
    <w:rPr>
      <w:rFonts w:ascii="Arial" w:hAnsi="Arial" w:cs="Arial"/>
      <w:color w:val="333399"/>
      <w:sz w:val="18"/>
      <w:szCs w:val="18"/>
      <w:lang w:eastAsia="pl-PL"/>
    </w:rPr>
  </w:style>
  <w:style w:type="paragraph" w:customStyle="1" w:styleId="xl125">
    <w:name w:val="xl125"/>
    <w:basedOn w:val="Normalny"/>
    <w:rsid w:val="005510A0"/>
    <w:pPr>
      <w:pBdr>
        <w:top w:val="single" w:sz="4" w:space="0" w:color="333333"/>
        <w:right w:val="single" w:sz="4" w:space="0" w:color="CCCCFF"/>
      </w:pBdr>
      <w:spacing w:before="100" w:beforeAutospacing="1" w:after="100" w:afterAutospacing="1" w:line="240" w:lineRule="auto"/>
      <w:jc w:val="right"/>
      <w:textAlignment w:val="top"/>
    </w:pPr>
    <w:rPr>
      <w:rFonts w:ascii="Arial" w:hAnsi="Arial" w:cs="Arial"/>
      <w:color w:val="993300"/>
      <w:sz w:val="18"/>
      <w:szCs w:val="18"/>
      <w:lang w:eastAsia="pl-PL"/>
    </w:rPr>
  </w:style>
  <w:style w:type="paragraph" w:customStyle="1" w:styleId="xl126">
    <w:name w:val="xl126"/>
    <w:basedOn w:val="Normalny"/>
    <w:rsid w:val="005510A0"/>
    <w:pPr>
      <w:pBdr>
        <w:top w:val="single" w:sz="4" w:space="0" w:color="333333"/>
        <w:left w:val="single" w:sz="4" w:space="0" w:color="CCCCFF"/>
      </w:pBdr>
      <w:spacing w:before="100" w:beforeAutospacing="1" w:after="100" w:afterAutospacing="1" w:line="240" w:lineRule="auto"/>
      <w:jc w:val="right"/>
      <w:textAlignment w:val="top"/>
    </w:pPr>
    <w:rPr>
      <w:rFonts w:ascii="Arial" w:hAnsi="Arial" w:cs="Arial"/>
      <w:color w:val="993300"/>
      <w:sz w:val="18"/>
      <w:szCs w:val="18"/>
      <w:lang w:eastAsia="pl-PL"/>
    </w:rPr>
  </w:style>
  <w:style w:type="paragraph" w:customStyle="1" w:styleId="xl127">
    <w:name w:val="xl127"/>
    <w:basedOn w:val="Normalny"/>
    <w:rsid w:val="005510A0"/>
    <w:pPr>
      <w:pBdr>
        <w:top w:val="single" w:sz="4" w:space="0" w:color="333333"/>
        <w:left w:val="single" w:sz="4" w:space="0" w:color="CCCCFF"/>
        <w:right w:val="single" w:sz="4" w:space="0" w:color="CCCCFF"/>
      </w:pBdr>
      <w:spacing w:before="100" w:beforeAutospacing="1" w:after="100" w:afterAutospacing="1" w:line="240" w:lineRule="auto"/>
      <w:jc w:val="right"/>
      <w:textAlignment w:val="top"/>
    </w:pPr>
    <w:rPr>
      <w:rFonts w:ascii="Arial" w:hAnsi="Arial" w:cs="Arial"/>
      <w:color w:val="993300"/>
      <w:sz w:val="18"/>
      <w:szCs w:val="18"/>
      <w:lang w:eastAsia="pl-PL"/>
    </w:rPr>
  </w:style>
  <w:style w:type="paragraph" w:customStyle="1" w:styleId="xl128">
    <w:name w:val="xl128"/>
    <w:basedOn w:val="Normalny"/>
    <w:rsid w:val="005510A0"/>
    <w:pPr>
      <w:pBdr>
        <w:top w:val="single" w:sz="4" w:space="0" w:color="333333"/>
        <w:left w:val="single" w:sz="4" w:space="0" w:color="CCCCFF"/>
        <w:bottom w:val="single" w:sz="4" w:space="0" w:color="333333"/>
      </w:pBdr>
      <w:spacing w:before="100" w:beforeAutospacing="1" w:after="100" w:afterAutospacing="1" w:line="240" w:lineRule="auto"/>
      <w:jc w:val="right"/>
      <w:textAlignment w:val="top"/>
    </w:pPr>
    <w:rPr>
      <w:rFonts w:ascii="Arial" w:hAnsi="Arial" w:cs="Arial"/>
      <w:color w:val="993300"/>
      <w:sz w:val="18"/>
      <w:szCs w:val="18"/>
      <w:lang w:eastAsia="pl-PL"/>
    </w:rPr>
  </w:style>
  <w:style w:type="paragraph" w:customStyle="1" w:styleId="xl129">
    <w:name w:val="xl129"/>
    <w:basedOn w:val="Normalny"/>
    <w:rsid w:val="005510A0"/>
    <w:pPr>
      <w:pBdr>
        <w:top w:val="single" w:sz="4" w:space="0" w:color="333333"/>
        <w:bottom w:val="single" w:sz="4" w:space="0" w:color="993366"/>
        <w:right w:val="single" w:sz="4" w:space="0" w:color="CCCCFF"/>
      </w:pBdr>
      <w:spacing w:before="100" w:beforeAutospacing="1" w:after="100" w:afterAutospacing="1" w:line="240" w:lineRule="auto"/>
      <w:jc w:val="right"/>
      <w:textAlignment w:val="top"/>
    </w:pPr>
    <w:rPr>
      <w:rFonts w:ascii="Arial" w:hAnsi="Arial" w:cs="Arial"/>
      <w:color w:val="993300"/>
      <w:sz w:val="18"/>
      <w:szCs w:val="18"/>
      <w:lang w:eastAsia="pl-PL"/>
    </w:rPr>
  </w:style>
  <w:style w:type="paragraph" w:customStyle="1" w:styleId="xl130">
    <w:name w:val="xl130"/>
    <w:basedOn w:val="Normalny"/>
    <w:rsid w:val="005510A0"/>
    <w:pPr>
      <w:pBdr>
        <w:top w:val="single" w:sz="4" w:space="0" w:color="333333"/>
        <w:left w:val="single" w:sz="4" w:space="0" w:color="CCCCFF"/>
        <w:bottom w:val="single" w:sz="4" w:space="0" w:color="993366"/>
        <w:right w:val="single" w:sz="4" w:space="0" w:color="CCCCFF"/>
      </w:pBdr>
      <w:spacing w:before="100" w:beforeAutospacing="1" w:after="100" w:afterAutospacing="1" w:line="240" w:lineRule="auto"/>
      <w:jc w:val="right"/>
      <w:textAlignment w:val="top"/>
    </w:pPr>
    <w:rPr>
      <w:rFonts w:ascii="Arial" w:hAnsi="Arial" w:cs="Arial"/>
      <w:color w:val="993300"/>
      <w:sz w:val="18"/>
      <w:szCs w:val="18"/>
      <w:lang w:eastAsia="pl-PL"/>
    </w:rPr>
  </w:style>
  <w:style w:type="paragraph" w:customStyle="1" w:styleId="xl131">
    <w:name w:val="xl131"/>
    <w:basedOn w:val="Normalny"/>
    <w:rsid w:val="005510A0"/>
    <w:pPr>
      <w:spacing w:before="100" w:beforeAutospacing="1" w:after="100" w:afterAutospacing="1" w:line="240" w:lineRule="auto"/>
      <w:jc w:val="left"/>
    </w:pPr>
    <w:rPr>
      <w:rFonts w:ascii="Arial" w:hAnsi="Arial" w:cs="Arial"/>
      <w:color w:val="333399"/>
      <w:sz w:val="18"/>
      <w:szCs w:val="18"/>
      <w:lang w:eastAsia="pl-PL"/>
    </w:rPr>
  </w:style>
  <w:style w:type="paragraph" w:customStyle="1" w:styleId="xl132">
    <w:name w:val="xl132"/>
    <w:basedOn w:val="Normalny"/>
    <w:rsid w:val="005510A0"/>
    <w:pPr>
      <w:pBdr>
        <w:bottom w:val="single" w:sz="4" w:space="0" w:color="993366"/>
      </w:pBdr>
      <w:spacing w:before="100" w:beforeAutospacing="1" w:after="100" w:afterAutospacing="1" w:line="240" w:lineRule="auto"/>
      <w:jc w:val="left"/>
    </w:pPr>
    <w:rPr>
      <w:rFonts w:ascii="Arial" w:hAnsi="Arial" w:cs="Arial"/>
      <w:color w:val="333399"/>
      <w:sz w:val="18"/>
      <w:szCs w:val="18"/>
      <w:lang w:eastAsia="pl-PL"/>
    </w:rPr>
  </w:style>
  <w:style w:type="paragraph" w:customStyle="1" w:styleId="xl133">
    <w:name w:val="xl133"/>
    <w:basedOn w:val="Normalny"/>
    <w:rsid w:val="005510A0"/>
    <w:pPr>
      <w:pBdr>
        <w:top w:val="single" w:sz="4" w:space="0" w:color="993366"/>
      </w:pBdr>
      <w:shd w:val="clear" w:color="000000" w:fill="CCCCFF"/>
      <w:spacing w:before="100" w:beforeAutospacing="1" w:after="100" w:afterAutospacing="1" w:line="240" w:lineRule="auto"/>
      <w:jc w:val="center"/>
      <w:textAlignment w:val="top"/>
    </w:pPr>
    <w:rPr>
      <w:rFonts w:ascii="Arial" w:hAnsi="Arial" w:cs="Arial"/>
      <w:color w:val="333399"/>
      <w:sz w:val="18"/>
      <w:szCs w:val="18"/>
      <w:lang w:eastAsia="pl-PL"/>
    </w:rPr>
  </w:style>
  <w:style w:type="paragraph" w:customStyle="1" w:styleId="xl134">
    <w:name w:val="xl134"/>
    <w:basedOn w:val="Normalny"/>
    <w:rsid w:val="005510A0"/>
    <w:pPr>
      <w:shd w:val="clear" w:color="000000" w:fill="CCCCFF"/>
      <w:spacing w:before="100" w:beforeAutospacing="1" w:after="100" w:afterAutospacing="1" w:line="240" w:lineRule="auto"/>
      <w:jc w:val="center"/>
      <w:textAlignment w:val="top"/>
    </w:pPr>
    <w:rPr>
      <w:rFonts w:ascii="Arial" w:hAnsi="Arial" w:cs="Arial"/>
      <w:color w:val="333399"/>
      <w:sz w:val="18"/>
      <w:szCs w:val="18"/>
      <w:lang w:eastAsia="pl-PL"/>
    </w:rPr>
  </w:style>
  <w:style w:type="paragraph" w:customStyle="1" w:styleId="xl135">
    <w:name w:val="xl135"/>
    <w:basedOn w:val="Normalny"/>
    <w:rsid w:val="005510A0"/>
    <w:pPr>
      <w:pBdr>
        <w:bottom w:val="single" w:sz="4" w:space="0" w:color="333333"/>
      </w:pBdr>
      <w:shd w:val="clear" w:color="000000" w:fill="CCCCFF"/>
      <w:spacing w:before="100" w:beforeAutospacing="1" w:after="100" w:afterAutospacing="1" w:line="240" w:lineRule="auto"/>
      <w:jc w:val="center"/>
      <w:textAlignment w:val="top"/>
    </w:pPr>
    <w:rPr>
      <w:rFonts w:ascii="Arial" w:hAnsi="Arial" w:cs="Arial"/>
      <w:color w:val="333399"/>
      <w:sz w:val="18"/>
      <w:szCs w:val="18"/>
      <w:lang w:eastAsia="pl-PL"/>
    </w:rPr>
  </w:style>
  <w:style w:type="paragraph" w:customStyle="1" w:styleId="xl136">
    <w:name w:val="xl136"/>
    <w:basedOn w:val="Normalny"/>
    <w:rsid w:val="005510A0"/>
    <w:pPr>
      <w:pBdr>
        <w:top w:val="single" w:sz="4" w:space="0" w:color="333333"/>
      </w:pBdr>
      <w:shd w:val="clear" w:color="000000" w:fill="CCCCFF"/>
      <w:spacing w:before="100" w:beforeAutospacing="1" w:after="100" w:afterAutospacing="1" w:line="240" w:lineRule="auto"/>
      <w:jc w:val="center"/>
      <w:textAlignment w:val="top"/>
    </w:pPr>
    <w:rPr>
      <w:rFonts w:ascii="Arial" w:hAnsi="Arial" w:cs="Arial"/>
      <w:color w:val="333399"/>
      <w:sz w:val="18"/>
      <w:szCs w:val="18"/>
      <w:lang w:eastAsia="pl-PL"/>
    </w:rPr>
  </w:style>
  <w:style w:type="paragraph" w:customStyle="1" w:styleId="xl137">
    <w:name w:val="xl137"/>
    <w:basedOn w:val="Normalny"/>
    <w:rsid w:val="005510A0"/>
    <w:pPr>
      <w:pBdr>
        <w:bottom w:val="single" w:sz="4" w:space="0" w:color="993366"/>
      </w:pBdr>
      <w:shd w:val="clear" w:color="000000" w:fill="CCCCFF"/>
      <w:spacing w:before="100" w:beforeAutospacing="1" w:after="100" w:afterAutospacing="1" w:line="240" w:lineRule="auto"/>
      <w:jc w:val="center"/>
      <w:textAlignment w:val="top"/>
    </w:pPr>
    <w:rPr>
      <w:rFonts w:ascii="Arial" w:hAnsi="Arial" w:cs="Arial"/>
      <w:color w:val="333399"/>
      <w:sz w:val="18"/>
      <w:szCs w:val="18"/>
      <w:lang w:eastAsia="pl-PL"/>
    </w:rPr>
  </w:style>
  <w:style w:type="paragraph" w:customStyle="1" w:styleId="xl138">
    <w:name w:val="xl138"/>
    <w:basedOn w:val="Normalny"/>
    <w:rsid w:val="005510A0"/>
    <w:pPr>
      <w:pBdr>
        <w:top w:val="single" w:sz="4" w:space="0" w:color="333333"/>
        <w:bottom w:val="single" w:sz="4" w:space="0" w:color="993366"/>
        <w:right w:val="single" w:sz="4" w:space="0" w:color="CCCCFF"/>
      </w:pBdr>
      <w:spacing w:before="100" w:beforeAutospacing="1" w:after="100" w:afterAutospacing="1" w:line="240" w:lineRule="auto"/>
      <w:jc w:val="right"/>
      <w:textAlignment w:val="top"/>
    </w:pPr>
    <w:rPr>
      <w:rFonts w:ascii="Arial" w:hAnsi="Arial" w:cs="Arial"/>
      <w:color w:val="993300"/>
      <w:sz w:val="18"/>
      <w:szCs w:val="18"/>
      <w:lang w:eastAsia="pl-PL"/>
    </w:rPr>
  </w:style>
  <w:style w:type="paragraph" w:customStyle="1" w:styleId="xl139">
    <w:name w:val="xl139"/>
    <w:basedOn w:val="Normalny"/>
    <w:rsid w:val="005510A0"/>
    <w:pPr>
      <w:pBdr>
        <w:top w:val="single" w:sz="4" w:space="0" w:color="333333"/>
        <w:left w:val="single" w:sz="4" w:space="0" w:color="CCCCFF"/>
        <w:bottom w:val="single" w:sz="4" w:space="0" w:color="993366"/>
        <w:right w:val="single" w:sz="4" w:space="0" w:color="CCCCFF"/>
      </w:pBdr>
      <w:spacing w:before="100" w:beforeAutospacing="1" w:after="100" w:afterAutospacing="1" w:line="240" w:lineRule="auto"/>
      <w:jc w:val="right"/>
      <w:textAlignment w:val="top"/>
    </w:pPr>
    <w:rPr>
      <w:rFonts w:ascii="Arial" w:hAnsi="Arial" w:cs="Arial"/>
      <w:color w:val="993300"/>
      <w:sz w:val="18"/>
      <w:szCs w:val="18"/>
      <w:lang w:eastAsia="pl-PL"/>
    </w:rPr>
  </w:style>
  <w:style w:type="paragraph" w:customStyle="1" w:styleId="xl140">
    <w:name w:val="xl140"/>
    <w:basedOn w:val="Normalny"/>
    <w:rsid w:val="005510A0"/>
    <w:pPr>
      <w:pBdr>
        <w:top w:val="single" w:sz="4" w:space="0" w:color="333333"/>
        <w:left w:val="single" w:sz="4" w:space="0" w:color="CCCCFF"/>
      </w:pBdr>
      <w:spacing w:before="100" w:beforeAutospacing="1" w:after="100" w:afterAutospacing="1" w:line="240" w:lineRule="auto"/>
      <w:jc w:val="right"/>
      <w:textAlignment w:val="top"/>
    </w:pPr>
    <w:rPr>
      <w:rFonts w:ascii="Arial" w:hAnsi="Arial" w:cs="Arial"/>
      <w:color w:val="993300"/>
      <w:sz w:val="18"/>
      <w:szCs w:val="18"/>
      <w:lang w:eastAsia="pl-PL"/>
    </w:rPr>
  </w:style>
  <w:style w:type="paragraph" w:customStyle="1" w:styleId="xl141">
    <w:name w:val="xl141"/>
    <w:basedOn w:val="Normalny"/>
    <w:rsid w:val="005510A0"/>
    <w:pPr>
      <w:pBdr>
        <w:top w:val="single" w:sz="4" w:space="0" w:color="333333"/>
        <w:left w:val="single" w:sz="4" w:space="0" w:color="CCCCFF"/>
        <w:right w:val="single" w:sz="4" w:space="0" w:color="CCCCFF"/>
      </w:pBdr>
      <w:spacing w:before="100" w:beforeAutospacing="1" w:after="100" w:afterAutospacing="1" w:line="240" w:lineRule="auto"/>
      <w:jc w:val="right"/>
      <w:textAlignment w:val="top"/>
    </w:pPr>
    <w:rPr>
      <w:rFonts w:ascii="Arial" w:hAnsi="Arial" w:cs="Arial"/>
      <w:color w:val="993300"/>
      <w:sz w:val="18"/>
      <w:szCs w:val="18"/>
      <w:lang w:eastAsia="pl-PL"/>
    </w:rPr>
  </w:style>
  <w:style w:type="paragraph" w:customStyle="1" w:styleId="xl142">
    <w:name w:val="xl142"/>
    <w:basedOn w:val="Normalny"/>
    <w:rsid w:val="005510A0"/>
    <w:pPr>
      <w:pBdr>
        <w:top w:val="single" w:sz="4" w:space="0" w:color="333333"/>
        <w:left w:val="single" w:sz="4" w:space="0" w:color="CCCCFF"/>
        <w:bottom w:val="single" w:sz="4" w:space="0" w:color="333333"/>
      </w:pBdr>
      <w:spacing w:before="100" w:beforeAutospacing="1" w:after="100" w:afterAutospacing="1" w:line="240" w:lineRule="auto"/>
      <w:jc w:val="right"/>
      <w:textAlignment w:val="top"/>
    </w:pPr>
    <w:rPr>
      <w:rFonts w:ascii="Arial" w:hAnsi="Arial" w:cs="Arial"/>
      <w:color w:val="993300"/>
      <w:sz w:val="18"/>
      <w:szCs w:val="18"/>
      <w:lang w:eastAsia="pl-PL"/>
    </w:rPr>
  </w:style>
  <w:style w:type="paragraph" w:customStyle="1" w:styleId="xl143">
    <w:name w:val="xl143"/>
    <w:basedOn w:val="Normalny"/>
    <w:rsid w:val="005510A0"/>
    <w:pPr>
      <w:pBdr>
        <w:top w:val="single" w:sz="4" w:space="0" w:color="333333"/>
        <w:bottom w:val="single" w:sz="4" w:space="0" w:color="993366"/>
        <w:right w:val="single" w:sz="4" w:space="0" w:color="CCCCFF"/>
      </w:pBdr>
      <w:spacing w:before="100" w:beforeAutospacing="1" w:after="100" w:afterAutospacing="1" w:line="240" w:lineRule="auto"/>
      <w:jc w:val="right"/>
      <w:textAlignment w:val="top"/>
    </w:pPr>
    <w:rPr>
      <w:rFonts w:ascii="Arial" w:hAnsi="Arial" w:cs="Arial"/>
      <w:color w:val="993300"/>
      <w:sz w:val="18"/>
      <w:szCs w:val="18"/>
      <w:lang w:eastAsia="pl-PL"/>
    </w:rPr>
  </w:style>
  <w:style w:type="paragraph" w:customStyle="1" w:styleId="xl144">
    <w:name w:val="xl144"/>
    <w:basedOn w:val="Normalny"/>
    <w:rsid w:val="005510A0"/>
    <w:pPr>
      <w:pBdr>
        <w:top w:val="single" w:sz="4" w:space="0" w:color="333333"/>
        <w:left w:val="single" w:sz="4" w:space="0" w:color="CCCCFF"/>
        <w:bottom w:val="single" w:sz="4" w:space="0" w:color="993366"/>
        <w:right w:val="single" w:sz="4" w:space="0" w:color="CCCCFF"/>
      </w:pBdr>
      <w:spacing w:before="100" w:beforeAutospacing="1" w:after="100" w:afterAutospacing="1" w:line="240" w:lineRule="auto"/>
      <w:jc w:val="right"/>
      <w:textAlignment w:val="top"/>
    </w:pPr>
    <w:rPr>
      <w:rFonts w:ascii="Arial" w:hAnsi="Arial" w:cs="Arial"/>
      <w:color w:val="993300"/>
      <w:sz w:val="18"/>
      <w:szCs w:val="18"/>
      <w:lang w:eastAsia="pl-PL"/>
    </w:rPr>
  </w:style>
  <w:style w:type="paragraph" w:customStyle="1" w:styleId="xl145">
    <w:name w:val="xl145"/>
    <w:basedOn w:val="Normalny"/>
    <w:rsid w:val="005510A0"/>
    <w:pPr>
      <w:pBdr>
        <w:top w:val="single" w:sz="4" w:space="0" w:color="333333"/>
        <w:left w:val="single" w:sz="4" w:space="0" w:color="CCCCFF"/>
        <w:bottom w:val="single" w:sz="4" w:space="0" w:color="993366"/>
        <w:right w:val="single" w:sz="4" w:space="0" w:color="CCCCFF"/>
      </w:pBdr>
      <w:spacing w:before="100" w:beforeAutospacing="1" w:after="100" w:afterAutospacing="1" w:line="240" w:lineRule="auto"/>
      <w:jc w:val="right"/>
      <w:textAlignment w:val="top"/>
    </w:pPr>
    <w:rPr>
      <w:rFonts w:ascii="Arial" w:hAnsi="Arial" w:cs="Arial"/>
      <w:color w:val="993300"/>
      <w:sz w:val="18"/>
      <w:szCs w:val="18"/>
      <w:lang w:eastAsia="pl-PL"/>
    </w:rPr>
  </w:style>
  <w:style w:type="paragraph" w:customStyle="1" w:styleId="xl91">
    <w:name w:val="xl91"/>
    <w:basedOn w:val="Normalny"/>
    <w:rsid w:val="005510A0"/>
    <w:pPr>
      <w:pBdr>
        <w:top w:val="single" w:sz="4" w:space="0" w:color="333333"/>
        <w:bottom w:val="single" w:sz="4" w:space="0" w:color="333333"/>
      </w:pBdr>
      <w:shd w:val="clear" w:color="000000" w:fill="CCCCFF"/>
      <w:spacing w:before="100" w:beforeAutospacing="1" w:after="100" w:afterAutospacing="1" w:line="240" w:lineRule="auto"/>
      <w:jc w:val="left"/>
      <w:textAlignment w:val="top"/>
    </w:pPr>
    <w:rPr>
      <w:rFonts w:ascii="Arial" w:hAnsi="Arial" w:cs="Arial"/>
      <w:color w:val="333399"/>
      <w:sz w:val="18"/>
      <w:szCs w:val="18"/>
      <w:lang w:eastAsia="pl-PL"/>
    </w:rPr>
  </w:style>
  <w:style w:type="paragraph" w:customStyle="1" w:styleId="xl92">
    <w:name w:val="xl92"/>
    <w:basedOn w:val="Normalny"/>
    <w:rsid w:val="005510A0"/>
    <w:pPr>
      <w:spacing w:before="100" w:beforeAutospacing="1" w:after="100" w:afterAutospacing="1" w:line="240" w:lineRule="auto"/>
      <w:jc w:val="left"/>
    </w:pPr>
    <w:rPr>
      <w:rFonts w:ascii="Arial" w:hAnsi="Arial" w:cs="Arial"/>
      <w:color w:val="333399"/>
      <w:sz w:val="18"/>
      <w:szCs w:val="18"/>
      <w:lang w:eastAsia="pl-PL"/>
    </w:rPr>
  </w:style>
  <w:style w:type="paragraph" w:customStyle="1" w:styleId="xl93">
    <w:name w:val="xl93"/>
    <w:basedOn w:val="Normalny"/>
    <w:rsid w:val="005510A0"/>
    <w:pPr>
      <w:pBdr>
        <w:right w:val="single" w:sz="4" w:space="0" w:color="CCCCFF"/>
      </w:pBdr>
      <w:spacing w:before="100" w:beforeAutospacing="1" w:after="100" w:afterAutospacing="1" w:line="240" w:lineRule="auto"/>
      <w:jc w:val="center"/>
    </w:pPr>
    <w:rPr>
      <w:rFonts w:ascii="Arial" w:hAnsi="Arial" w:cs="Arial"/>
      <w:color w:val="333399"/>
      <w:sz w:val="18"/>
      <w:szCs w:val="18"/>
      <w:lang w:eastAsia="pl-PL"/>
    </w:rPr>
  </w:style>
  <w:style w:type="paragraph" w:customStyle="1" w:styleId="xl94">
    <w:name w:val="xl94"/>
    <w:basedOn w:val="Normalny"/>
    <w:rsid w:val="005510A0"/>
    <w:pPr>
      <w:pBdr>
        <w:left w:val="single" w:sz="4" w:space="0" w:color="CCCCFF"/>
        <w:right w:val="single" w:sz="4" w:space="0" w:color="CCCCFF"/>
      </w:pBdr>
      <w:spacing w:before="100" w:beforeAutospacing="1" w:after="100" w:afterAutospacing="1" w:line="240" w:lineRule="auto"/>
      <w:jc w:val="center"/>
    </w:pPr>
    <w:rPr>
      <w:rFonts w:ascii="Arial" w:hAnsi="Arial" w:cs="Arial"/>
      <w:color w:val="333399"/>
      <w:sz w:val="18"/>
      <w:szCs w:val="18"/>
      <w:lang w:eastAsia="pl-PL"/>
    </w:rPr>
  </w:style>
  <w:style w:type="paragraph" w:customStyle="1" w:styleId="xl95">
    <w:name w:val="xl95"/>
    <w:basedOn w:val="Normalny"/>
    <w:rsid w:val="005510A0"/>
    <w:pPr>
      <w:pBdr>
        <w:left w:val="single" w:sz="4" w:space="0" w:color="CCCCFF"/>
      </w:pBdr>
      <w:spacing w:before="100" w:beforeAutospacing="1" w:after="100" w:afterAutospacing="1" w:line="240" w:lineRule="auto"/>
      <w:jc w:val="center"/>
    </w:pPr>
    <w:rPr>
      <w:rFonts w:ascii="Arial" w:hAnsi="Arial" w:cs="Arial"/>
      <w:color w:val="333399"/>
      <w:sz w:val="18"/>
      <w:szCs w:val="18"/>
      <w:lang w:eastAsia="pl-PL"/>
    </w:rPr>
  </w:style>
  <w:style w:type="paragraph" w:customStyle="1" w:styleId="xl96">
    <w:name w:val="xl96"/>
    <w:basedOn w:val="Normalny"/>
    <w:rsid w:val="005510A0"/>
    <w:pPr>
      <w:pBdr>
        <w:bottom w:val="single" w:sz="4" w:space="0" w:color="993366"/>
      </w:pBdr>
      <w:spacing w:before="100" w:beforeAutospacing="1" w:after="100" w:afterAutospacing="1" w:line="240" w:lineRule="auto"/>
      <w:jc w:val="left"/>
    </w:pPr>
    <w:rPr>
      <w:rFonts w:ascii="Arial" w:hAnsi="Arial" w:cs="Arial"/>
      <w:color w:val="333399"/>
      <w:sz w:val="18"/>
      <w:szCs w:val="18"/>
      <w:lang w:eastAsia="pl-PL"/>
    </w:rPr>
  </w:style>
  <w:style w:type="paragraph" w:customStyle="1" w:styleId="xl97">
    <w:name w:val="xl97"/>
    <w:basedOn w:val="Normalny"/>
    <w:rsid w:val="005510A0"/>
    <w:pPr>
      <w:pBdr>
        <w:bottom w:val="single" w:sz="4" w:space="0" w:color="993366"/>
        <w:right w:val="single" w:sz="4" w:space="0" w:color="CCCCFF"/>
      </w:pBdr>
      <w:spacing w:before="100" w:beforeAutospacing="1" w:after="100" w:afterAutospacing="1" w:line="240" w:lineRule="auto"/>
      <w:jc w:val="center"/>
    </w:pPr>
    <w:rPr>
      <w:rFonts w:ascii="Arial" w:hAnsi="Arial" w:cs="Arial"/>
      <w:color w:val="333399"/>
      <w:sz w:val="18"/>
      <w:szCs w:val="18"/>
      <w:lang w:eastAsia="pl-PL"/>
    </w:rPr>
  </w:style>
  <w:style w:type="paragraph" w:customStyle="1" w:styleId="xl98">
    <w:name w:val="xl98"/>
    <w:basedOn w:val="Normalny"/>
    <w:rsid w:val="005510A0"/>
    <w:pPr>
      <w:pBdr>
        <w:left w:val="single" w:sz="4" w:space="0" w:color="CCCCFF"/>
        <w:bottom w:val="single" w:sz="4" w:space="0" w:color="993366"/>
      </w:pBdr>
      <w:spacing w:before="100" w:beforeAutospacing="1" w:after="100" w:afterAutospacing="1" w:line="240" w:lineRule="auto"/>
      <w:jc w:val="center"/>
    </w:pPr>
    <w:rPr>
      <w:rFonts w:ascii="Arial" w:hAnsi="Arial" w:cs="Arial"/>
      <w:color w:val="333399"/>
      <w:sz w:val="18"/>
      <w:szCs w:val="18"/>
      <w:lang w:eastAsia="pl-PL"/>
    </w:rPr>
  </w:style>
  <w:style w:type="paragraph" w:customStyle="1" w:styleId="xl99">
    <w:name w:val="xl99"/>
    <w:basedOn w:val="Normalny"/>
    <w:rsid w:val="005510A0"/>
    <w:pPr>
      <w:pBdr>
        <w:left w:val="single" w:sz="4" w:space="0" w:color="CCCCFF"/>
        <w:bottom w:val="single" w:sz="4" w:space="0" w:color="993366"/>
        <w:right w:val="single" w:sz="4" w:space="0" w:color="CCCCFF"/>
      </w:pBdr>
      <w:spacing w:before="100" w:beforeAutospacing="1" w:after="100" w:afterAutospacing="1" w:line="240" w:lineRule="auto"/>
      <w:jc w:val="center"/>
    </w:pPr>
    <w:rPr>
      <w:rFonts w:ascii="Arial" w:hAnsi="Arial" w:cs="Arial"/>
      <w:color w:val="333399"/>
      <w:sz w:val="18"/>
      <w:szCs w:val="18"/>
      <w:lang w:eastAsia="pl-PL"/>
    </w:rPr>
  </w:style>
  <w:style w:type="paragraph" w:customStyle="1" w:styleId="xl100">
    <w:name w:val="xl100"/>
    <w:basedOn w:val="Normalny"/>
    <w:rsid w:val="005510A0"/>
    <w:pPr>
      <w:pBdr>
        <w:top w:val="single" w:sz="4" w:space="0" w:color="993366"/>
        <w:bottom w:val="single" w:sz="4" w:space="0" w:color="333333"/>
      </w:pBdr>
      <w:shd w:val="clear" w:color="000000" w:fill="CCCCFF"/>
      <w:spacing w:before="100" w:beforeAutospacing="1" w:after="100" w:afterAutospacing="1" w:line="240" w:lineRule="auto"/>
      <w:jc w:val="left"/>
      <w:textAlignment w:val="top"/>
    </w:pPr>
    <w:rPr>
      <w:rFonts w:ascii="Arial" w:hAnsi="Arial" w:cs="Arial"/>
      <w:color w:val="333399"/>
      <w:sz w:val="18"/>
      <w:szCs w:val="18"/>
      <w:lang w:eastAsia="pl-PL"/>
    </w:rPr>
  </w:style>
  <w:style w:type="paragraph" w:customStyle="1" w:styleId="xl101">
    <w:name w:val="xl101"/>
    <w:basedOn w:val="Normalny"/>
    <w:rsid w:val="005510A0"/>
    <w:pPr>
      <w:pBdr>
        <w:top w:val="single" w:sz="4" w:space="0" w:color="993366"/>
        <w:bottom w:val="single" w:sz="4" w:space="0" w:color="333333"/>
        <w:right w:val="single" w:sz="4" w:space="0" w:color="CCCCFF"/>
      </w:pBdr>
      <w:spacing w:before="100" w:beforeAutospacing="1" w:after="100" w:afterAutospacing="1" w:line="240" w:lineRule="auto"/>
      <w:jc w:val="right"/>
      <w:textAlignment w:val="top"/>
    </w:pPr>
    <w:rPr>
      <w:rFonts w:ascii="Arial" w:hAnsi="Arial" w:cs="Arial"/>
      <w:color w:val="993300"/>
      <w:sz w:val="18"/>
      <w:szCs w:val="18"/>
      <w:lang w:eastAsia="pl-PL"/>
    </w:rPr>
  </w:style>
  <w:style w:type="paragraph" w:customStyle="1" w:styleId="xl102">
    <w:name w:val="xl102"/>
    <w:basedOn w:val="Normalny"/>
    <w:rsid w:val="005510A0"/>
    <w:pPr>
      <w:pBdr>
        <w:top w:val="single" w:sz="4" w:space="0" w:color="993366"/>
        <w:left w:val="single" w:sz="4" w:space="0" w:color="CCCCFF"/>
        <w:bottom w:val="single" w:sz="4" w:space="0" w:color="333333"/>
        <w:right w:val="single" w:sz="4" w:space="0" w:color="CCCCFF"/>
      </w:pBdr>
      <w:spacing w:before="100" w:beforeAutospacing="1" w:after="100" w:afterAutospacing="1" w:line="240" w:lineRule="auto"/>
      <w:jc w:val="right"/>
      <w:textAlignment w:val="top"/>
    </w:pPr>
    <w:rPr>
      <w:rFonts w:ascii="Arial" w:hAnsi="Arial" w:cs="Arial"/>
      <w:color w:val="993300"/>
      <w:sz w:val="18"/>
      <w:szCs w:val="18"/>
      <w:lang w:eastAsia="pl-PL"/>
    </w:rPr>
  </w:style>
  <w:style w:type="paragraph" w:customStyle="1" w:styleId="xl103">
    <w:name w:val="xl103"/>
    <w:basedOn w:val="Normalny"/>
    <w:rsid w:val="005510A0"/>
    <w:pPr>
      <w:pBdr>
        <w:top w:val="single" w:sz="4" w:space="0" w:color="333333"/>
        <w:bottom w:val="single" w:sz="4" w:space="0" w:color="333333"/>
        <w:right w:val="single" w:sz="4" w:space="0" w:color="CCCCFF"/>
      </w:pBdr>
      <w:spacing w:before="100" w:beforeAutospacing="1" w:after="100" w:afterAutospacing="1" w:line="240" w:lineRule="auto"/>
      <w:jc w:val="right"/>
      <w:textAlignment w:val="top"/>
    </w:pPr>
    <w:rPr>
      <w:rFonts w:ascii="Arial" w:hAnsi="Arial" w:cs="Arial"/>
      <w:color w:val="993300"/>
      <w:sz w:val="18"/>
      <w:szCs w:val="18"/>
      <w:lang w:eastAsia="pl-PL"/>
    </w:rPr>
  </w:style>
  <w:style w:type="paragraph" w:customStyle="1" w:styleId="xl104">
    <w:name w:val="xl104"/>
    <w:basedOn w:val="Normalny"/>
    <w:rsid w:val="005510A0"/>
    <w:pPr>
      <w:pBdr>
        <w:top w:val="single" w:sz="4" w:space="0" w:color="333333"/>
        <w:left w:val="single" w:sz="4" w:space="0" w:color="CCCCFF"/>
        <w:bottom w:val="single" w:sz="4" w:space="0" w:color="333333"/>
        <w:right w:val="single" w:sz="4" w:space="0" w:color="CCCCFF"/>
      </w:pBdr>
      <w:spacing w:before="100" w:beforeAutospacing="1" w:after="100" w:afterAutospacing="1" w:line="240" w:lineRule="auto"/>
      <w:jc w:val="right"/>
      <w:textAlignment w:val="top"/>
    </w:pPr>
    <w:rPr>
      <w:rFonts w:ascii="Arial" w:hAnsi="Arial" w:cs="Arial"/>
      <w:color w:val="993300"/>
      <w:sz w:val="18"/>
      <w:szCs w:val="18"/>
      <w:lang w:eastAsia="pl-PL"/>
    </w:rPr>
  </w:style>
  <w:style w:type="paragraph" w:customStyle="1" w:styleId="xl105">
    <w:name w:val="xl105"/>
    <w:basedOn w:val="Normalny"/>
    <w:rsid w:val="005510A0"/>
    <w:pPr>
      <w:pBdr>
        <w:top w:val="single" w:sz="4" w:space="0" w:color="993366"/>
      </w:pBdr>
      <w:shd w:val="clear" w:color="000000" w:fill="CCCCFF"/>
      <w:spacing w:before="100" w:beforeAutospacing="1" w:after="100" w:afterAutospacing="1" w:line="240" w:lineRule="auto"/>
      <w:jc w:val="left"/>
      <w:textAlignment w:val="top"/>
    </w:pPr>
    <w:rPr>
      <w:rFonts w:ascii="Arial" w:hAnsi="Arial" w:cs="Arial"/>
      <w:color w:val="333399"/>
      <w:sz w:val="18"/>
      <w:szCs w:val="18"/>
      <w:lang w:eastAsia="pl-PL"/>
    </w:rPr>
  </w:style>
  <w:style w:type="paragraph" w:customStyle="1" w:styleId="xl106">
    <w:name w:val="xl106"/>
    <w:basedOn w:val="Normalny"/>
    <w:rsid w:val="005510A0"/>
    <w:pPr>
      <w:pBdr>
        <w:top w:val="single" w:sz="4" w:space="0" w:color="993366"/>
        <w:left w:val="single" w:sz="4" w:space="0" w:color="CCCCFF"/>
        <w:bottom w:val="single" w:sz="4" w:space="0" w:color="333333"/>
      </w:pBdr>
      <w:spacing w:before="100" w:beforeAutospacing="1" w:after="100" w:afterAutospacing="1" w:line="240" w:lineRule="auto"/>
      <w:jc w:val="right"/>
      <w:textAlignment w:val="top"/>
    </w:pPr>
    <w:rPr>
      <w:rFonts w:ascii="Arial" w:hAnsi="Arial" w:cs="Arial"/>
      <w:color w:val="993300"/>
      <w:sz w:val="18"/>
      <w:szCs w:val="18"/>
      <w:lang w:eastAsia="pl-PL"/>
    </w:rPr>
  </w:style>
  <w:style w:type="paragraph" w:customStyle="1" w:styleId="xl107">
    <w:name w:val="xl107"/>
    <w:basedOn w:val="Normalny"/>
    <w:rsid w:val="005510A0"/>
    <w:pPr>
      <w:pBdr>
        <w:top w:val="single" w:sz="4" w:space="0" w:color="333333"/>
      </w:pBdr>
      <w:shd w:val="clear" w:color="000000" w:fill="CCCCFF"/>
      <w:spacing w:before="100" w:beforeAutospacing="1" w:after="100" w:afterAutospacing="1" w:line="240" w:lineRule="auto"/>
      <w:jc w:val="left"/>
      <w:textAlignment w:val="top"/>
    </w:pPr>
    <w:rPr>
      <w:rFonts w:ascii="Arial" w:hAnsi="Arial" w:cs="Arial"/>
      <w:color w:val="333399"/>
      <w:sz w:val="18"/>
      <w:szCs w:val="18"/>
      <w:lang w:eastAsia="pl-PL"/>
    </w:rPr>
  </w:style>
  <w:style w:type="paragraph" w:customStyle="1" w:styleId="xl108">
    <w:name w:val="xl108"/>
    <w:basedOn w:val="Normalny"/>
    <w:rsid w:val="005510A0"/>
    <w:pPr>
      <w:pBdr>
        <w:top w:val="single" w:sz="4" w:space="0" w:color="333333"/>
        <w:right w:val="single" w:sz="4" w:space="0" w:color="CCCCFF"/>
      </w:pBdr>
      <w:spacing w:before="100" w:beforeAutospacing="1" w:after="100" w:afterAutospacing="1" w:line="240" w:lineRule="auto"/>
      <w:jc w:val="right"/>
      <w:textAlignment w:val="top"/>
    </w:pPr>
    <w:rPr>
      <w:rFonts w:ascii="Arial" w:hAnsi="Arial" w:cs="Arial"/>
      <w:color w:val="993300"/>
      <w:sz w:val="18"/>
      <w:szCs w:val="18"/>
      <w:lang w:eastAsia="pl-PL"/>
    </w:rPr>
  </w:style>
  <w:style w:type="paragraph" w:customStyle="1" w:styleId="xl109">
    <w:name w:val="xl109"/>
    <w:basedOn w:val="Normalny"/>
    <w:rsid w:val="005510A0"/>
    <w:pPr>
      <w:pBdr>
        <w:top w:val="single" w:sz="4" w:space="0" w:color="333333"/>
        <w:left w:val="single" w:sz="4" w:space="0" w:color="CCCCFF"/>
      </w:pBdr>
      <w:spacing w:before="100" w:beforeAutospacing="1" w:after="100" w:afterAutospacing="1" w:line="240" w:lineRule="auto"/>
      <w:jc w:val="right"/>
      <w:textAlignment w:val="top"/>
    </w:pPr>
    <w:rPr>
      <w:rFonts w:ascii="Arial" w:hAnsi="Arial" w:cs="Arial"/>
      <w:color w:val="993300"/>
      <w:sz w:val="18"/>
      <w:szCs w:val="18"/>
      <w:lang w:eastAsia="pl-PL"/>
    </w:rPr>
  </w:style>
  <w:style w:type="paragraph" w:customStyle="1" w:styleId="Wniosek">
    <w:name w:val="Wniosek"/>
    <w:next w:val="Normalny"/>
    <w:link w:val="WniosekZnak"/>
    <w:qFormat/>
    <w:rsid w:val="00105299"/>
    <w:pPr>
      <w:numPr>
        <w:numId w:val="3"/>
      </w:numPr>
      <w:spacing w:before="240" w:after="240"/>
      <w:ind w:left="1276" w:hanging="1276"/>
      <w:jc w:val="both"/>
    </w:pPr>
    <w:rPr>
      <w:rFonts w:eastAsia="Times New Roman" w:cs="Calibri"/>
      <w:b/>
      <w:color w:val="0070C0"/>
      <w:sz w:val="22"/>
      <w:szCs w:val="22"/>
    </w:rPr>
  </w:style>
  <w:style w:type="paragraph" w:customStyle="1" w:styleId="Rekomendacja">
    <w:name w:val="Rekomendacja"/>
    <w:next w:val="Normalny"/>
    <w:link w:val="RekomendacjaZnak"/>
    <w:qFormat/>
    <w:rsid w:val="00851D47"/>
    <w:pPr>
      <w:numPr>
        <w:numId w:val="4"/>
      </w:numPr>
      <w:spacing w:before="240" w:after="240"/>
      <w:ind w:left="1985" w:hanging="1985"/>
      <w:jc w:val="both"/>
    </w:pPr>
    <w:rPr>
      <w:rFonts w:eastAsia="Times New Roman" w:cs="Calibri"/>
      <w:b/>
      <w:color w:val="002060"/>
      <w:sz w:val="22"/>
      <w:szCs w:val="22"/>
    </w:rPr>
  </w:style>
  <w:style w:type="character" w:customStyle="1" w:styleId="WniosekZnak">
    <w:name w:val="Wniosek Znak"/>
    <w:link w:val="Wniosek"/>
    <w:rsid w:val="00105299"/>
    <w:rPr>
      <w:rFonts w:eastAsia="Times New Roman" w:cs="Calibri"/>
      <w:b/>
      <w:color w:val="0070C0"/>
      <w:sz w:val="22"/>
      <w:szCs w:val="22"/>
    </w:rPr>
  </w:style>
  <w:style w:type="character" w:customStyle="1" w:styleId="RekomendacjaZnak">
    <w:name w:val="Rekomendacja Znak"/>
    <w:link w:val="Rekomendacja"/>
    <w:rsid w:val="00851D47"/>
    <w:rPr>
      <w:rFonts w:eastAsia="Times New Roman" w:cs="Calibri"/>
      <w:b/>
      <w:color w:val="002060"/>
      <w:sz w:val="22"/>
      <w:szCs w:val="22"/>
    </w:rPr>
  </w:style>
  <w:style w:type="character" w:customStyle="1" w:styleId="st">
    <w:name w:val="st"/>
    <w:basedOn w:val="Domylnaczcionkaakapitu"/>
    <w:rsid w:val="00DC2020"/>
  </w:style>
  <w:style w:type="table" w:customStyle="1" w:styleId="Tabelasiatki1jasnaakcent13">
    <w:name w:val="Tabela siatki 1 — jasna — akcent 13"/>
    <w:basedOn w:val="Standardowy"/>
    <w:uiPriority w:val="46"/>
    <w:rsid w:val="00CA1CE1"/>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agwek50">
    <w:name w:val="Nagłówek5"/>
    <w:basedOn w:val="Nagwek5"/>
    <w:link w:val="Nagwek5Znak0"/>
    <w:autoRedefine/>
    <w:qFormat/>
    <w:rsid w:val="00241948"/>
    <w:pPr>
      <w:ind w:left="397"/>
      <w:jc w:val="center"/>
    </w:pPr>
    <w:rPr>
      <w:rFonts w:ascii="Calibri" w:hAnsi="Calibri" w:cs="Calibri"/>
      <w:b/>
      <w:color w:val="002060"/>
      <w:sz w:val="52"/>
      <w:szCs w:val="36"/>
      <w:lang w:eastAsia="pl-PL"/>
    </w:rPr>
  </w:style>
  <w:style w:type="character" w:customStyle="1" w:styleId="Nagwek5Znak0">
    <w:name w:val="Nagłówek5 Znak"/>
    <w:link w:val="Nagwek50"/>
    <w:rsid w:val="00241948"/>
    <w:rPr>
      <w:rFonts w:ascii="Calibri" w:eastAsia="Times New Roman" w:hAnsi="Calibri" w:cs="Calibri"/>
      <w:b/>
      <w:color w:val="002060"/>
      <w:sz w:val="52"/>
      <w:szCs w:val="36"/>
      <w:lang w:eastAsia="pl-PL"/>
    </w:rPr>
  </w:style>
  <w:style w:type="table" w:customStyle="1" w:styleId="Tabela-Siatka3">
    <w:name w:val="Tabela - Siatka3"/>
    <w:basedOn w:val="Standardowy"/>
    <w:next w:val="Tabela-Siatka"/>
    <w:uiPriority w:val="59"/>
    <w:rsid w:val="00EE6D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5D6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21">
    <w:name w:val="Zwykła tabela 21"/>
    <w:basedOn w:val="Standardowy"/>
    <w:uiPriority w:val="42"/>
    <w:rsid w:val="005D1FDF"/>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Jasnalistaakcent111">
    <w:name w:val="Jasna lista — akcent 111"/>
    <w:uiPriority w:val="99"/>
    <w:rsid w:val="00B868C8"/>
    <w:pPr>
      <w:spacing w:after="120" w:line="276" w:lineRule="auto"/>
    </w:pPr>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Bezlisty2">
    <w:name w:val="Bez listy2"/>
    <w:next w:val="Bezlisty"/>
    <w:uiPriority w:val="99"/>
    <w:semiHidden/>
    <w:unhideWhenUsed/>
    <w:rsid w:val="00842D2A"/>
  </w:style>
  <w:style w:type="table" w:customStyle="1" w:styleId="Tabela-Siatka5">
    <w:name w:val="Tabela - Siatka5"/>
    <w:basedOn w:val="Standardowy"/>
    <w:next w:val="Tabela-Siatka"/>
    <w:uiPriority w:val="39"/>
    <w:rsid w:val="00842D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11">
    <w:name w:val="Zwykła tabela 11"/>
    <w:basedOn w:val="Standardowy"/>
    <w:uiPriority w:val="41"/>
    <w:rsid w:val="00036A6F"/>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Zwykatabela41">
    <w:name w:val="Zwykła tabela 41"/>
    <w:basedOn w:val="Standardowy"/>
    <w:uiPriority w:val="44"/>
    <w:rsid w:val="00D1300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Bezlisty3">
    <w:name w:val="Bez listy3"/>
    <w:next w:val="Bezlisty"/>
    <w:uiPriority w:val="99"/>
    <w:semiHidden/>
    <w:unhideWhenUsed/>
    <w:rsid w:val="006C6985"/>
  </w:style>
  <w:style w:type="paragraph" w:styleId="Zwykytekst">
    <w:name w:val="Plain Text"/>
    <w:basedOn w:val="Normalny"/>
    <w:link w:val="ZwykytekstZnak"/>
    <w:uiPriority w:val="99"/>
    <w:unhideWhenUsed/>
    <w:rsid w:val="00CF3439"/>
    <w:pPr>
      <w:spacing w:after="0" w:line="240" w:lineRule="auto"/>
      <w:jc w:val="left"/>
    </w:pPr>
    <w:rPr>
      <w:rFonts w:eastAsia="Calibri" w:cs="Times New Roman"/>
      <w:color w:val="auto"/>
      <w:szCs w:val="21"/>
    </w:rPr>
  </w:style>
  <w:style w:type="character" w:customStyle="1" w:styleId="ZwykytekstZnak">
    <w:name w:val="Zwykły tekst Znak"/>
    <w:link w:val="Zwykytekst"/>
    <w:uiPriority w:val="99"/>
    <w:rsid w:val="00CF3439"/>
    <w:rPr>
      <w:rFonts w:ascii="Calibri" w:hAnsi="Calibri"/>
      <w:szCs w:val="21"/>
    </w:rPr>
  </w:style>
  <w:style w:type="character" w:customStyle="1" w:styleId="Bodytext14">
    <w:name w:val="Body text (14)_"/>
    <w:link w:val="Bodytext141"/>
    <w:uiPriority w:val="99"/>
    <w:rsid w:val="00E00C30"/>
    <w:rPr>
      <w:rFonts w:ascii="Arial" w:hAnsi="Arial" w:cs="Arial"/>
      <w:b/>
      <w:bCs/>
      <w:sz w:val="15"/>
      <w:szCs w:val="15"/>
      <w:shd w:val="clear" w:color="auto" w:fill="FFFFFF"/>
    </w:rPr>
  </w:style>
  <w:style w:type="paragraph" w:customStyle="1" w:styleId="Bodytext141">
    <w:name w:val="Body text (14)1"/>
    <w:basedOn w:val="Normalny"/>
    <w:link w:val="Bodytext14"/>
    <w:uiPriority w:val="99"/>
    <w:rsid w:val="00E00C30"/>
    <w:pPr>
      <w:shd w:val="clear" w:color="auto" w:fill="FFFFFF"/>
      <w:spacing w:after="0" w:line="211" w:lineRule="exact"/>
      <w:ind w:hanging="1780"/>
      <w:jc w:val="left"/>
    </w:pPr>
    <w:rPr>
      <w:rFonts w:ascii="Arial" w:eastAsia="Calibri" w:hAnsi="Arial" w:cs="Arial"/>
      <w:b/>
      <w:bCs/>
      <w:color w:val="auto"/>
      <w:sz w:val="15"/>
      <w:szCs w:val="15"/>
    </w:rPr>
  </w:style>
  <w:style w:type="character" w:customStyle="1" w:styleId="Bodytext">
    <w:name w:val="Body text_"/>
    <w:link w:val="Bodytext1"/>
    <w:uiPriority w:val="99"/>
    <w:rsid w:val="00E00C30"/>
    <w:rPr>
      <w:rFonts w:ascii="Arial" w:hAnsi="Arial" w:cs="Arial"/>
      <w:sz w:val="15"/>
      <w:szCs w:val="15"/>
      <w:shd w:val="clear" w:color="auto" w:fill="FFFFFF"/>
    </w:rPr>
  </w:style>
  <w:style w:type="paragraph" w:customStyle="1" w:styleId="Bodytext1">
    <w:name w:val="Body text1"/>
    <w:basedOn w:val="Normalny"/>
    <w:link w:val="Bodytext"/>
    <w:uiPriority w:val="99"/>
    <w:rsid w:val="00E00C30"/>
    <w:pPr>
      <w:shd w:val="clear" w:color="auto" w:fill="FFFFFF"/>
      <w:spacing w:after="180" w:line="192" w:lineRule="exact"/>
      <w:ind w:hanging="360"/>
    </w:pPr>
    <w:rPr>
      <w:rFonts w:ascii="Arial" w:eastAsia="Calibri" w:hAnsi="Arial" w:cs="Arial"/>
      <w:color w:val="auto"/>
      <w:sz w:val="15"/>
      <w:szCs w:val="15"/>
    </w:rPr>
  </w:style>
  <w:style w:type="character" w:customStyle="1" w:styleId="Bodytext142">
    <w:name w:val="Body text (14)2"/>
    <w:uiPriority w:val="99"/>
    <w:rsid w:val="00E00C30"/>
    <w:rPr>
      <w:rFonts w:ascii="Arial" w:hAnsi="Arial" w:cs="Arial"/>
      <w:b/>
      <w:bCs/>
      <w:spacing w:val="0"/>
      <w:sz w:val="15"/>
      <w:szCs w:val="15"/>
      <w:u w:val="single"/>
      <w:shd w:val="clear" w:color="auto" w:fill="FFFFFF"/>
    </w:rPr>
  </w:style>
  <w:style w:type="character" w:customStyle="1" w:styleId="Bodytext22">
    <w:name w:val="Body text (22)_"/>
    <w:link w:val="Bodytext220"/>
    <w:uiPriority w:val="99"/>
    <w:rsid w:val="00E00C30"/>
    <w:rPr>
      <w:rFonts w:ascii="Arial" w:hAnsi="Arial" w:cs="Arial"/>
      <w:sz w:val="14"/>
      <w:szCs w:val="14"/>
      <w:shd w:val="clear" w:color="auto" w:fill="FFFFFF"/>
    </w:rPr>
  </w:style>
  <w:style w:type="character" w:customStyle="1" w:styleId="Bodytext23">
    <w:name w:val="Body text (23)_"/>
    <w:link w:val="Bodytext230"/>
    <w:uiPriority w:val="99"/>
    <w:rsid w:val="00E00C30"/>
    <w:rPr>
      <w:rFonts w:ascii="Arial" w:hAnsi="Arial" w:cs="Arial"/>
      <w:sz w:val="15"/>
      <w:szCs w:val="15"/>
      <w:shd w:val="clear" w:color="auto" w:fill="FFFFFF"/>
    </w:rPr>
  </w:style>
  <w:style w:type="paragraph" w:customStyle="1" w:styleId="Bodytext220">
    <w:name w:val="Body text (22)"/>
    <w:basedOn w:val="Normalny"/>
    <w:link w:val="Bodytext22"/>
    <w:uiPriority w:val="99"/>
    <w:rsid w:val="00E00C30"/>
    <w:pPr>
      <w:shd w:val="clear" w:color="auto" w:fill="FFFFFF"/>
      <w:spacing w:after="0" w:line="202" w:lineRule="exact"/>
    </w:pPr>
    <w:rPr>
      <w:rFonts w:ascii="Arial" w:eastAsia="Calibri" w:hAnsi="Arial" w:cs="Arial"/>
      <w:color w:val="auto"/>
      <w:sz w:val="14"/>
      <w:szCs w:val="14"/>
    </w:rPr>
  </w:style>
  <w:style w:type="paragraph" w:customStyle="1" w:styleId="Bodytext230">
    <w:name w:val="Body text (23)"/>
    <w:basedOn w:val="Normalny"/>
    <w:link w:val="Bodytext23"/>
    <w:uiPriority w:val="99"/>
    <w:rsid w:val="00E00C30"/>
    <w:pPr>
      <w:shd w:val="clear" w:color="auto" w:fill="FFFFFF"/>
      <w:spacing w:after="240" w:line="202" w:lineRule="exact"/>
    </w:pPr>
    <w:rPr>
      <w:rFonts w:ascii="Arial" w:eastAsia="Calibri" w:hAnsi="Arial" w:cs="Arial"/>
      <w:color w:val="auto"/>
      <w:sz w:val="15"/>
      <w:szCs w:val="15"/>
    </w:rPr>
  </w:style>
  <w:style w:type="paragraph" w:styleId="Tekstpodstawowy3">
    <w:name w:val="Body Text 3"/>
    <w:basedOn w:val="Normalny"/>
    <w:link w:val="Tekstpodstawowy3Znak"/>
    <w:uiPriority w:val="99"/>
    <w:semiHidden/>
    <w:unhideWhenUsed/>
    <w:rsid w:val="00807532"/>
    <w:rPr>
      <w:sz w:val="16"/>
      <w:szCs w:val="16"/>
    </w:rPr>
  </w:style>
  <w:style w:type="character" w:customStyle="1" w:styleId="Tekstpodstawowy3Znak">
    <w:name w:val="Tekst podstawowy 3 Znak"/>
    <w:link w:val="Tekstpodstawowy3"/>
    <w:uiPriority w:val="99"/>
    <w:semiHidden/>
    <w:rsid w:val="00807532"/>
    <w:rPr>
      <w:rFonts w:eastAsia="Times New Roman" w:cs="Calibri"/>
      <w:color w:val="002060"/>
      <w:sz w:val="16"/>
      <w:szCs w:val="16"/>
    </w:rPr>
  </w:style>
  <w:style w:type="table" w:customStyle="1" w:styleId="TableGrid0">
    <w:name w:val="Table Grid0"/>
    <w:rsid w:val="00206407"/>
    <w:rPr>
      <w:rFonts w:eastAsia="Times New Roman"/>
      <w:sz w:val="22"/>
      <w:szCs w:val="22"/>
    </w:rPr>
    <w:tblPr>
      <w:tblCellMar>
        <w:top w:w="0" w:type="dxa"/>
        <w:left w:w="0" w:type="dxa"/>
        <w:bottom w:w="0" w:type="dxa"/>
        <w:right w:w="0" w:type="dxa"/>
      </w:tblCellMar>
    </w:tblPr>
  </w:style>
  <w:style w:type="paragraph" w:customStyle="1" w:styleId="atekstECORYS">
    <w:name w:val="a tekst ECORYS"/>
    <w:basedOn w:val="Normalny"/>
    <w:link w:val="atekstECORYSZnak"/>
    <w:qFormat/>
    <w:rsid w:val="00446299"/>
    <w:pPr>
      <w:widowControl w:val="0"/>
      <w:adjustRightInd w:val="0"/>
      <w:spacing w:line="280" w:lineRule="atLeast"/>
      <w:textAlignment w:val="baseline"/>
    </w:pPr>
    <w:rPr>
      <w:color w:val="auto"/>
      <w:szCs w:val="22"/>
    </w:rPr>
  </w:style>
  <w:style w:type="character" w:customStyle="1" w:styleId="atekstECORYSZnak">
    <w:name w:val="a tekst ECORYS Znak"/>
    <w:link w:val="atekstECORYS"/>
    <w:rsid w:val="00446299"/>
    <w:rPr>
      <w:rFonts w:ascii="Calibri" w:eastAsia="Times New Roman" w:hAnsi="Calibri" w:cs="Calibri"/>
    </w:rPr>
  </w:style>
  <w:style w:type="paragraph" w:customStyle="1" w:styleId="font5">
    <w:name w:val="font5"/>
    <w:basedOn w:val="Normalny"/>
    <w:rsid w:val="008F1D4F"/>
    <w:pPr>
      <w:spacing w:before="100" w:beforeAutospacing="1" w:after="100" w:afterAutospacing="1" w:line="240" w:lineRule="auto"/>
      <w:jc w:val="left"/>
    </w:pPr>
    <w:rPr>
      <w:rFonts w:cs="Times New Roman"/>
      <w:i/>
      <w:iCs/>
      <w:sz w:val="14"/>
      <w:szCs w:val="14"/>
      <w:lang w:eastAsia="pl-PL"/>
    </w:rPr>
  </w:style>
  <w:style w:type="paragraph" w:customStyle="1" w:styleId="font6">
    <w:name w:val="font6"/>
    <w:basedOn w:val="Normalny"/>
    <w:rsid w:val="008F1D4F"/>
    <w:pPr>
      <w:spacing w:before="100" w:beforeAutospacing="1" w:after="100" w:afterAutospacing="1" w:line="240" w:lineRule="auto"/>
      <w:jc w:val="left"/>
    </w:pPr>
    <w:rPr>
      <w:rFonts w:cs="Times New Roman"/>
      <w:sz w:val="14"/>
      <w:szCs w:val="14"/>
      <w:lang w:eastAsia="pl-PL"/>
    </w:rPr>
  </w:style>
  <w:style w:type="paragraph" w:customStyle="1" w:styleId="font7">
    <w:name w:val="font7"/>
    <w:basedOn w:val="Normalny"/>
    <w:rsid w:val="008F1D4F"/>
    <w:pPr>
      <w:spacing w:before="100" w:beforeAutospacing="1" w:after="100" w:afterAutospacing="1" w:line="240" w:lineRule="auto"/>
      <w:jc w:val="left"/>
    </w:pPr>
    <w:rPr>
      <w:rFonts w:cs="Times New Roman"/>
      <w:b/>
      <w:bCs/>
      <w:i/>
      <w:iCs/>
      <w:sz w:val="14"/>
      <w:szCs w:val="14"/>
      <w:lang w:eastAsia="pl-PL"/>
    </w:rPr>
  </w:style>
  <w:style w:type="paragraph" w:customStyle="1" w:styleId="xl65">
    <w:name w:val="xl65"/>
    <w:basedOn w:val="Normalny"/>
    <w:rsid w:val="008F1D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color w:val="auto"/>
      <w:sz w:val="24"/>
      <w:szCs w:val="24"/>
      <w:lang w:eastAsia="pl-PL"/>
    </w:rPr>
  </w:style>
  <w:style w:type="paragraph" w:customStyle="1" w:styleId="xl66">
    <w:name w:val="xl66"/>
    <w:basedOn w:val="Normalny"/>
    <w:rsid w:val="008F1D4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left"/>
    </w:pPr>
    <w:rPr>
      <w:rFonts w:ascii="Times New Roman" w:hAnsi="Times New Roman" w:cs="Times New Roman"/>
      <w:sz w:val="24"/>
      <w:szCs w:val="24"/>
      <w:lang w:eastAsia="pl-PL"/>
    </w:rPr>
  </w:style>
  <w:style w:type="paragraph" w:customStyle="1" w:styleId="xl67">
    <w:name w:val="xl67"/>
    <w:basedOn w:val="Normalny"/>
    <w:rsid w:val="008F1D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sz w:val="24"/>
      <w:szCs w:val="24"/>
      <w:lang w:eastAsia="pl-PL"/>
    </w:rPr>
  </w:style>
  <w:style w:type="paragraph" w:customStyle="1" w:styleId="xl68">
    <w:name w:val="xl68"/>
    <w:basedOn w:val="Normalny"/>
    <w:rsid w:val="008F1D4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left"/>
    </w:pPr>
    <w:rPr>
      <w:rFonts w:ascii="Times New Roman" w:hAnsi="Times New Roman" w:cs="Times New Roman"/>
      <w:color w:val="auto"/>
      <w:sz w:val="24"/>
      <w:szCs w:val="24"/>
      <w:lang w:eastAsia="pl-PL"/>
    </w:rPr>
  </w:style>
  <w:style w:type="paragraph" w:customStyle="1" w:styleId="xl69">
    <w:name w:val="xl69"/>
    <w:basedOn w:val="Normalny"/>
    <w:rsid w:val="008F1D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b/>
      <w:bCs/>
      <w:sz w:val="14"/>
      <w:szCs w:val="14"/>
      <w:lang w:eastAsia="pl-PL"/>
    </w:rPr>
  </w:style>
  <w:style w:type="paragraph" w:customStyle="1" w:styleId="xl70">
    <w:name w:val="xl70"/>
    <w:basedOn w:val="Normalny"/>
    <w:rsid w:val="008F1D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cs="Times New Roman"/>
      <w:i/>
      <w:iCs/>
      <w:sz w:val="14"/>
      <w:szCs w:val="14"/>
      <w:lang w:eastAsia="pl-PL"/>
    </w:rPr>
  </w:style>
  <w:style w:type="paragraph" w:customStyle="1" w:styleId="xl71">
    <w:name w:val="xl71"/>
    <w:basedOn w:val="Normalny"/>
    <w:rsid w:val="008F1D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cs="Times New Roman"/>
      <w:sz w:val="14"/>
      <w:szCs w:val="14"/>
      <w:lang w:eastAsia="pl-PL"/>
    </w:rPr>
  </w:style>
  <w:style w:type="paragraph" w:customStyle="1" w:styleId="xl72">
    <w:name w:val="xl72"/>
    <w:basedOn w:val="Normalny"/>
    <w:rsid w:val="008F1D4F"/>
    <w:pPr>
      <w:spacing w:before="100" w:beforeAutospacing="1" w:after="100" w:afterAutospacing="1" w:line="240" w:lineRule="auto"/>
      <w:jc w:val="left"/>
      <w:textAlignment w:val="center"/>
    </w:pPr>
    <w:rPr>
      <w:rFonts w:ascii="Times New Roman" w:hAnsi="Times New Roman" w:cs="Times New Roman"/>
      <w:sz w:val="14"/>
      <w:szCs w:val="14"/>
      <w:lang w:eastAsia="pl-PL"/>
    </w:rPr>
  </w:style>
  <w:style w:type="paragraph" w:customStyle="1" w:styleId="xl73">
    <w:name w:val="xl73"/>
    <w:basedOn w:val="Normalny"/>
    <w:rsid w:val="008F1D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14"/>
      <w:szCs w:val="14"/>
      <w:lang w:eastAsia="pl-PL"/>
    </w:rPr>
  </w:style>
  <w:style w:type="paragraph" w:customStyle="1" w:styleId="xl74">
    <w:name w:val="xl74"/>
    <w:basedOn w:val="Normalny"/>
    <w:rsid w:val="008F1D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14"/>
      <w:szCs w:val="14"/>
      <w:lang w:eastAsia="pl-PL"/>
    </w:rPr>
  </w:style>
  <w:style w:type="paragraph" w:customStyle="1" w:styleId="xl75">
    <w:name w:val="xl75"/>
    <w:basedOn w:val="Normalny"/>
    <w:rsid w:val="008F1D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hAnsi="Times New Roman" w:cs="Times New Roman"/>
      <w:i/>
      <w:iCs/>
      <w:sz w:val="14"/>
      <w:szCs w:val="14"/>
      <w:lang w:eastAsia="pl-PL"/>
    </w:rPr>
  </w:style>
  <w:style w:type="paragraph" w:customStyle="1" w:styleId="xl76">
    <w:name w:val="xl76"/>
    <w:basedOn w:val="Normalny"/>
    <w:rsid w:val="008F1D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hAnsi="Times New Roman" w:cs="Times New Roman"/>
      <w:sz w:val="14"/>
      <w:szCs w:val="14"/>
      <w:lang w:eastAsia="pl-PL"/>
    </w:rPr>
  </w:style>
  <w:style w:type="paragraph" w:customStyle="1" w:styleId="xl77">
    <w:name w:val="xl77"/>
    <w:basedOn w:val="Normalny"/>
    <w:rsid w:val="008F1D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hAnsi="Times New Roman" w:cs="Times New Roman"/>
      <w:color w:val="auto"/>
      <w:sz w:val="24"/>
      <w:szCs w:val="24"/>
      <w:lang w:eastAsia="pl-PL"/>
    </w:rPr>
  </w:style>
  <w:style w:type="paragraph" w:customStyle="1" w:styleId="xl78">
    <w:name w:val="xl78"/>
    <w:basedOn w:val="Normalny"/>
    <w:rsid w:val="008F1D4F"/>
    <w:pPr>
      <w:shd w:val="clear" w:color="000000" w:fill="FFFFFF"/>
      <w:spacing w:before="100" w:beforeAutospacing="1" w:after="100" w:afterAutospacing="1" w:line="240" w:lineRule="auto"/>
      <w:jc w:val="left"/>
    </w:pPr>
    <w:rPr>
      <w:rFonts w:ascii="Times New Roman" w:hAnsi="Times New Roman" w:cs="Times New Roman"/>
      <w:color w:val="auto"/>
      <w:sz w:val="24"/>
      <w:szCs w:val="24"/>
      <w:lang w:eastAsia="pl-PL"/>
    </w:rPr>
  </w:style>
  <w:style w:type="paragraph" w:customStyle="1" w:styleId="xl79">
    <w:name w:val="xl79"/>
    <w:basedOn w:val="Normalny"/>
    <w:rsid w:val="00EE68A4"/>
    <w:pPr>
      <w:pBdr>
        <w:bottom w:val="single" w:sz="4" w:space="0" w:color="808080"/>
      </w:pBdr>
      <w:shd w:val="clear" w:color="000000" w:fill="F2F2F2"/>
      <w:spacing w:before="100" w:beforeAutospacing="1" w:after="100" w:afterAutospacing="1" w:line="240" w:lineRule="auto"/>
      <w:jc w:val="right"/>
      <w:textAlignment w:val="top"/>
    </w:pPr>
    <w:rPr>
      <w:rFonts w:ascii="Times New Roman" w:hAnsi="Times New Roman" w:cs="Times New Roman"/>
      <w:color w:val="000000"/>
      <w:sz w:val="20"/>
      <w:lang w:eastAsia="pl-PL"/>
    </w:rPr>
  </w:style>
  <w:style w:type="paragraph" w:customStyle="1" w:styleId="xl80">
    <w:name w:val="xl80"/>
    <w:basedOn w:val="Normalny"/>
    <w:rsid w:val="00EE68A4"/>
    <w:pPr>
      <w:pBdr>
        <w:bottom w:val="single" w:sz="4" w:space="0" w:color="808080"/>
      </w:pBdr>
      <w:shd w:val="clear" w:color="000000" w:fill="D0F789"/>
      <w:spacing w:before="100" w:beforeAutospacing="1" w:after="100" w:afterAutospacing="1" w:line="240" w:lineRule="auto"/>
      <w:jc w:val="center"/>
      <w:textAlignment w:val="top"/>
    </w:pPr>
    <w:rPr>
      <w:rFonts w:ascii="Times New Roman" w:hAnsi="Times New Roman" w:cs="Times New Roman"/>
      <w:color w:val="000000"/>
      <w:sz w:val="20"/>
      <w:lang w:eastAsia="pl-PL"/>
    </w:rPr>
  </w:style>
  <w:style w:type="paragraph" w:customStyle="1" w:styleId="xl81">
    <w:name w:val="xl81"/>
    <w:basedOn w:val="Normalny"/>
    <w:rsid w:val="00EE68A4"/>
    <w:pPr>
      <w:pBdr>
        <w:bottom w:val="single" w:sz="4" w:space="0" w:color="808080"/>
      </w:pBdr>
      <w:shd w:val="clear" w:color="000000" w:fill="A6F020"/>
      <w:spacing w:before="100" w:beforeAutospacing="1" w:after="100" w:afterAutospacing="1" w:line="240" w:lineRule="auto"/>
      <w:jc w:val="center"/>
      <w:textAlignment w:val="top"/>
    </w:pPr>
    <w:rPr>
      <w:rFonts w:ascii="Times New Roman" w:hAnsi="Times New Roman" w:cs="Times New Roman"/>
      <w:color w:val="000000"/>
      <w:sz w:val="20"/>
      <w:lang w:eastAsia="pl-PL"/>
    </w:rPr>
  </w:style>
  <w:style w:type="paragraph" w:customStyle="1" w:styleId="xl82">
    <w:name w:val="xl82"/>
    <w:basedOn w:val="Normalny"/>
    <w:rsid w:val="00EE68A4"/>
    <w:pPr>
      <w:pBdr>
        <w:bottom w:val="single" w:sz="4" w:space="0" w:color="808080"/>
      </w:pBdr>
      <w:shd w:val="clear" w:color="000000" w:fill="FFE699"/>
      <w:spacing w:before="100" w:beforeAutospacing="1" w:after="100" w:afterAutospacing="1" w:line="240" w:lineRule="auto"/>
      <w:jc w:val="center"/>
      <w:textAlignment w:val="top"/>
    </w:pPr>
    <w:rPr>
      <w:rFonts w:ascii="Times New Roman" w:hAnsi="Times New Roman" w:cs="Times New Roman"/>
      <w:color w:val="000000"/>
      <w:sz w:val="20"/>
      <w:lang w:eastAsia="pl-PL"/>
    </w:rPr>
  </w:style>
  <w:style w:type="paragraph" w:customStyle="1" w:styleId="xl83">
    <w:name w:val="xl83"/>
    <w:basedOn w:val="Normalny"/>
    <w:rsid w:val="00EE68A4"/>
    <w:pPr>
      <w:pBdr>
        <w:bottom w:val="single" w:sz="4" w:space="0" w:color="808080"/>
      </w:pBdr>
      <w:shd w:val="clear" w:color="000000" w:fill="00B0F0"/>
      <w:spacing w:before="100" w:beforeAutospacing="1" w:after="100" w:afterAutospacing="1" w:line="240" w:lineRule="auto"/>
      <w:jc w:val="center"/>
      <w:textAlignment w:val="top"/>
    </w:pPr>
    <w:rPr>
      <w:rFonts w:ascii="Times New Roman" w:hAnsi="Times New Roman" w:cs="Times New Roman"/>
      <w:color w:val="000000"/>
      <w:sz w:val="20"/>
      <w:lang w:eastAsia="pl-PL"/>
    </w:rPr>
  </w:style>
  <w:style w:type="paragraph" w:customStyle="1" w:styleId="xl84">
    <w:name w:val="xl84"/>
    <w:basedOn w:val="Normalny"/>
    <w:rsid w:val="00EE68A4"/>
    <w:pPr>
      <w:spacing w:before="100" w:beforeAutospacing="1" w:after="100" w:afterAutospacing="1" w:line="240" w:lineRule="auto"/>
      <w:jc w:val="left"/>
      <w:textAlignment w:val="center"/>
    </w:pPr>
    <w:rPr>
      <w:rFonts w:cs="Times New Roman"/>
      <w:color w:val="000000"/>
      <w:sz w:val="24"/>
      <w:szCs w:val="24"/>
      <w:lang w:eastAsia="pl-PL"/>
    </w:rPr>
  </w:style>
  <w:style w:type="paragraph" w:customStyle="1" w:styleId="xl85">
    <w:name w:val="xl85"/>
    <w:basedOn w:val="Normalny"/>
    <w:rsid w:val="00EE68A4"/>
    <w:pPr>
      <w:pBdr>
        <w:right w:val="single" w:sz="4" w:space="0" w:color="808080"/>
      </w:pBdr>
      <w:spacing w:before="100" w:beforeAutospacing="1" w:after="100" w:afterAutospacing="1" w:line="240" w:lineRule="auto"/>
      <w:jc w:val="left"/>
      <w:textAlignment w:val="center"/>
    </w:pPr>
    <w:rPr>
      <w:rFonts w:cs="Times New Roman"/>
      <w:color w:val="000000"/>
      <w:sz w:val="24"/>
      <w:szCs w:val="24"/>
      <w:lang w:eastAsia="pl-PL"/>
    </w:rPr>
  </w:style>
  <w:style w:type="paragraph" w:customStyle="1" w:styleId="xl86">
    <w:name w:val="xl86"/>
    <w:basedOn w:val="Normalny"/>
    <w:rsid w:val="00EE68A4"/>
    <w:pPr>
      <w:pBdr>
        <w:top w:val="single" w:sz="4" w:space="0" w:color="808080"/>
        <w:bottom w:val="single" w:sz="4" w:space="0" w:color="808080"/>
        <w:right w:val="single" w:sz="4" w:space="0" w:color="808080"/>
      </w:pBdr>
      <w:shd w:val="clear" w:color="000000" w:fill="D0F789"/>
      <w:spacing w:before="100" w:beforeAutospacing="1" w:after="100" w:afterAutospacing="1" w:line="240" w:lineRule="auto"/>
      <w:jc w:val="center"/>
      <w:textAlignment w:val="center"/>
    </w:pPr>
    <w:rPr>
      <w:rFonts w:ascii="Times New Roman" w:hAnsi="Times New Roman" w:cs="Times New Roman"/>
      <w:color w:val="595959"/>
      <w:sz w:val="20"/>
      <w:lang w:eastAsia="pl-PL"/>
    </w:rPr>
  </w:style>
  <w:style w:type="paragraph" w:customStyle="1" w:styleId="xl87">
    <w:name w:val="xl87"/>
    <w:basedOn w:val="Normalny"/>
    <w:rsid w:val="00EE68A4"/>
    <w:pPr>
      <w:pBdr>
        <w:bottom w:val="single" w:sz="4" w:space="0" w:color="BFBFBF"/>
      </w:pBdr>
      <w:shd w:val="clear" w:color="000000" w:fill="F2F2F2"/>
      <w:spacing w:before="100" w:beforeAutospacing="1" w:after="100" w:afterAutospacing="1" w:line="240" w:lineRule="auto"/>
      <w:jc w:val="right"/>
      <w:textAlignment w:val="top"/>
    </w:pPr>
    <w:rPr>
      <w:rFonts w:ascii="Times New Roman" w:hAnsi="Times New Roman" w:cs="Times New Roman"/>
      <w:color w:val="000000"/>
      <w:sz w:val="20"/>
      <w:lang w:eastAsia="pl-PL"/>
    </w:rPr>
  </w:style>
  <w:style w:type="paragraph" w:customStyle="1" w:styleId="xl88">
    <w:name w:val="xl88"/>
    <w:basedOn w:val="Normalny"/>
    <w:rsid w:val="00EE68A4"/>
    <w:pPr>
      <w:pBdr>
        <w:bottom w:val="single" w:sz="4" w:space="0" w:color="BFBFBF"/>
      </w:pBdr>
      <w:shd w:val="clear" w:color="000000" w:fill="F2F2F2"/>
      <w:spacing w:before="100" w:beforeAutospacing="1" w:after="100" w:afterAutospacing="1" w:line="240" w:lineRule="auto"/>
      <w:jc w:val="right"/>
      <w:textAlignment w:val="top"/>
    </w:pPr>
    <w:rPr>
      <w:rFonts w:ascii="Times New Roman" w:hAnsi="Times New Roman" w:cs="Times New Roman"/>
      <w:color w:val="000000"/>
      <w:sz w:val="20"/>
      <w:lang w:eastAsia="pl-PL"/>
    </w:rPr>
  </w:style>
  <w:style w:type="paragraph" w:customStyle="1" w:styleId="xl89">
    <w:name w:val="xl89"/>
    <w:basedOn w:val="Normalny"/>
    <w:rsid w:val="00EE68A4"/>
    <w:pPr>
      <w:pBdr>
        <w:bottom w:val="single" w:sz="4" w:space="0" w:color="BFBFBF"/>
      </w:pBdr>
      <w:shd w:val="clear" w:color="000000" w:fill="D0F789"/>
      <w:spacing w:before="100" w:beforeAutospacing="1" w:after="100" w:afterAutospacing="1" w:line="240" w:lineRule="auto"/>
      <w:jc w:val="center"/>
      <w:textAlignment w:val="top"/>
    </w:pPr>
    <w:rPr>
      <w:rFonts w:ascii="Times New Roman" w:hAnsi="Times New Roman" w:cs="Times New Roman"/>
      <w:color w:val="000000"/>
      <w:sz w:val="20"/>
      <w:lang w:eastAsia="pl-PL"/>
    </w:rPr>
  </w:style>
  <w:style w:type="paragraph" w:customStyle="1" w:styleId="xl90">
    <w:name w:val="xl90"/>
    <w:basedOn w:val="Normalny"/>
    <w:rsid w:val="00EE68A4"/>
    <w:pPr>
      <w:pBdr>
        <w:bottom w:val="single" w:sz="4" w:space="0" w:color="BFBFBF"/>
      </w:pBdr>
      <w:shd w:val="clear" w:color="000000" w:fill="A6F020"/>
      <w:spacing w:before="100" w:beforeAutospacing="1" w:after="100" w:afterAutospacing="1" w:line="240" w:lineRule="auto"/>
      <w:jc w:val="center"/>
      <w:textAlignment w:val="top"/>
    </w:pPr>
    <w:rPr>
      <w:rFonts w:ascii="Times New Roman" w:hAnsi="Times New Roman" w:cs="Times New Roman"/>
      <w:color w:val="000000"/>
      <w:sz w:val="20"/>
      <w:lang w:eastAsia="pl-PL"/>
    </w:rPr>
  </w:style>
  <w:style w:type="paragraph" w:customStyle="1" w:styleId="xl146">
    <w:name w:val="xl146"/>
    <w:basedOn w:val="Normalny"/>
    <w:rsid w:val="00EE68A4"/>
    <w:pPr>
      <w:spacing w:before="100" w:beforeAutospacing="1" w:after="100" w:afterAutospacing="1" w:line="240" w:lineRule="auto"/>
      <w:jc w:val="center"/>
      <w:textAlignment w:val="center"/>
    </w:pPr>
    <w:rPr>
      <w:rFonts w:cs="Times New Roman"/>
      <w:b/>
      <w:bCs/>
      <w:color w:val="000000"/>
      <w:sz w:val="20"/>
      <w:lang w:eastAsia="pl-PL"/>
    </w:rPr>
  </w:style>
  <w:style w:type="paragraph" w:customStyle="1" w:styleId="xl147">
    <w:name w:val="xl147"/>
    <w:basedOn w:val="Normalny"/>
    <w:rsid w:val="00EE68A4"/>
    <w:pPr>
      <w:spacing w:before="100" w:beforeAutospacing="1" w:after="100" w:afterAutospacing="1" w:line="240" w:lineRule="auto"/>
      <w:jc w:val="right"/>
      <w:textAlignment w:val="center"/>
    </w:pPr>
    <w:rPr>
      <w:rFonts w:cs="Times New Roman"/>
      <w:color w:val="000000"/>
      <w:sz w:val="20"/>
      <w:lang w:eastAsia="pl-PL"/>
    </w:rPr>
  </w:style>
  <w:style w:type="paragraph" w:customStyle="1" w:styleId="xl148">
    <w:name w:val="xl148"/>
    <w:basedOn w:val="Normalny"/>
    <w:rsid w:val="00EE68A4"/>
    <w:pPr>
      <w:spacing w:before="100" w:beforeAutospacing="1" w:after="100" w:afterAutospacing="1" w:line="240" w:lineRule="auto"/>
      <w:jc w:val="right"/>
      <w:textAlignment w:val="center"/>
    </w:pPr>
    <w:rPr>
      <w:rFonts w:cs="Times New Roman"/>
      <w:color w:val="000000"/>
      <w:sz w:val="20"/>
      <w:lang w:eastAsia="pl-PL"/>
    </w:rPr>
  </w:style>
  <w:style w:type="paragraph" w:customStyle="1" w:styleId="xl149">
    <w:name w:val="xl149"/>
    <w:basedOn w:val="Normalny"/>
    <w:rsid w:val="00EE68A4"/>
    <w:pPr>
      <w:shd w:val="clear" w:color="000000" w:fill="D0F789"/>
      <w:spacing w:before="100" w:beforeAutospacing="1" w:after="100" w:afterAutospacing="1" w:line="240" w:lineRule="auto"/>
      <w:jc w:val="center"/>
      <w:textAlignment w:val="center"/>
    </w:pPr>
    <w:rPr>
      <w:rFonts w:cs="Times New Roman"/>
      <w:color w:val="000000"/>
      <w:sz w:val="20"/>
      <w:lang w:eastAsia="pl-PL"/>
    </w:rPr>
  </w:style>
  <w:style w:type="paragraph" w:customStyle="1" w:styleId="xl150">
    <w:name w:val="xl150"/>
    <w:basedOn w:val="Normalny"/>
    <w:rsid w:val="00EE68A4"/>
    <w:pPr>
      <w:shd w:val="clear" w:color="000000" w:fill="A6F020"/>
      <w:spacing w:before="100" w:beforeAutospacing="1" w:after="100" w:afterAutospacing="1" w:line="240" w:lineRule="auto"/>
      <w:jc w:val="center"/>
      <w:textAlignment w:val="center"/>
    </w:pPr>
    <w:rPr>
      <w:rFonts w:cs="Times New Roman"/>
      <w:color w:val="000000"/>
      <w:sz w:val="20"/>
      <w:lang w:eastAsia="pl-PL"/>
    </w:rPr>
  </w:style>
  <w:style w:type="paragraph" w:customStyle="1" w:styleId="xl151">
    <w:name w:val="xl151"/>
    <w:basedOn w:val="Normalny"/>
    <w:rsid w:val="00EE68A4"/>
    <w:pPr>
      <w:shd w:val="clear" w:color="000000" w:fill="FFE699"/>
      <w:spacing w:before="100" w:beforeAutospacing="1" w:after="100" w:afterAutospacing="1" w:line="240" w:lineRule="auto"/>
      <w:jc w:val="center"/>
      <w:textAlignment w:val="center"/>
    </w:pPr>
    <w:rPr>
      <w:rFonts w:cs="Times New Roman"/>
      <w:color w:val="000000"/>
      <w:sz w:val="20"/>
      <w:lang w:eastAsia="pl-PL"/>
    </w:rPr>
  </w:style>
  <w:style w:type="paragraph" w:customStyle="1" w:styleId="xl152">
    <w:name w:val="xl152"/>
    <w:basedOn w:val="Normalny"/>
    <w:rsid w:val="00EE68A4"/>
    <w:pPr>
      <w:shd w:val="clear" w:color="000000" w:fill="00B0F0"/>
      <w:spacing w:before="100" w:beforeAutospacing="1" w:after="100" w:afterAutospacing="1" w:line="240" w:lineRule="auto"/>
      <w:jc w:val="center"/>
      <w:textAlignment w:val="center"/>
    </w:pPr>
    <w:rPr>
      <w:rFonts w:cs="Times New Roman"/>
      <w:color w:val="000000"/>
      <w:sz w:val="20"/>
      <w:lang w:eastAsia="pl-PL"/>
    </w:rPr>
  </w:style>
  <w:style w:type="paragraph" w:customStyle="1" w:styleId="xl153">
    <w:name w:val="xl153"/>
    <w:basedOn w:val="Normalny"/>
    <w:rsid w:val="00EE68A4"/>
    <w:pPr>
      <w:pBdr>
        <w:right w:val="single" w:sz="4" w:space="0" w:color="808080"/>
      </w:pBdr>
      <w:spacing w:before="100" w:beforeAutospacing="1" w:after="100" w:afterAutospacing="1" w:line="240" w:lineRule="auto"/>
      <w:jc w:val="left"/>
      <w:textAlignment w:val="center"/>
    </w:pPr>
    <w:rPr>
      <w:rFonts w:cs="Times New Roman"/>
      <w:color w:val="000000"/>
      <w:sz w:val="20"/>
      <w:lang w:eastAsia="pl-PL"/>
    </w:rPr>
  </w:style>
  <w:style w:type="paragraph" w:customStyle="1" w:styleId="xl154">
    <w:name w:val="xl154"/>
    <w:basedOn w:val="Normalny"/>
    <w:rsid w:val="00EE68A4"/>
    <w:pPr>
      <w:shd w:val="clear" w:color="000000" w:fill="F2F2F2"/>
      <w:spacing w:before="100" w:beforeAutospacing="1" w:after="100" w:afterAutospacing="1" w:line="240" w:lineRule="auto"/>
      <w:jc w:val="right"/>
      <w:textAlignment w:val="center"/>
    </w:pPr>
    <w:rPr>
      <w:rFonts w:cs="Times New Roman"/>
      <w:color w:val="000000"/>
      <w:sz w:val="20"/>
      <w:lang w:eastAsia="pl-PL"/>
    </w:rPr>
  </w:style>
  <w:style w:type="paragraph" w:customStyle="1" w:styleId="xl155">
    <w:name w:val="xl155"/>
    <w:basedOn w:val="Normalny"/>
    <w:rsid w:val="00EE68A4"/>
    <w:pPr>
      <w:shd w:val="clear" w:color="000000" w:fill="F2F2F2"/>
      <w:spacing w:before="100" w:beforeAutospacing="1" w:after="100" w:afterAutospacing="1" w:line="240" w:lineRule="auto"/>
      <w:jc w:val="right"/>
      <w:textAlignment w:val="center"/>
    </w:pPr>
    <w:rPr>
      <w:rFonts w:cs="Times New Roman"/>
      <w:color w:val="000000"/>
      <w:sz w:val="20"/>
      <w:lang w:eastAsia="pl-PL"/>
    </w:rPr>
  </w:style>
  <w:style w:type="paragraph" w:customStyle="1" w:styleId="xl156">
    <w:name w:val="xl156"/>
    <w:basedOn w:val="Normalny"/>
    <w:rsid w:val="00EE68A4"/>
    <w:pPr>
      <w:pBdr>
        <w:left w:val="single" w:sz="4" w:space="0" w:color="808080"/>
      </w:pBdr>
      <w:shd w:val="clear" w:color="000000" w:fill="FCE4D6"/>
      <w:spacing w:before="100" w:beforeAutospacing="1" w:after="100" w:afterAutospacing="1" w:line="240" w:lineRule="auto"/>
      <w:jc w:val="center"/>
    </w:pPr>
    <w:rPr>
      <w:rFonts w:cs="Times New Roman"/>
      <w:color w:val="auto"/>
      <w:sz w:val="24"/>
      <w:szCs w:val="24"/>
      <w:lang w:eastAsia="pl-PL"/>
    </w:rPr>
  </w:style>
  <w:style w:type="paragraph" w:customStyle="1" w:styleId="xl157">
    <w:name w:val="xl157"/>
    <w:basedOn w:val="Normalny"/>
    <w:rsid w:val="00EE68A4"/>
    <w:pPr>
      <w:shd w:val="clear" w:color="000000" w:fill="FCE4D6"/>
      <w:spacing w:before="100" w:beforeAutospacing="1" w:after="100" w:afterAutospacing="1" w:line="240" w:lineRule="auto"/>
      <w:jc w:val="center"/>
      <w:textAlignment w:val="center"/>
    </w:pPr>
    <w:rPr>
      <w:rFonts w:ascii="Arial" w:hAnsi="Arial" w:cs="Arial"/>
      <w:color w:val="808080"/>
      <w:sz w:val="16"/>
      <w:szCs w:val="16"/>
      <w:lang w:eastAsia="pl-PL"/>
    </w:rPr>
  </w:style>
  <w:style w:type="paragraph" w:customStyle="1" w:styleId="xl158">
    <w:name w:val="xl158"/>
    <w:basedOn w:val="Normalny"/>
    <w:rsid w:val="00EE68A4"/>
    <w:pPr>
      <w:pBdr>
        <w:right w:val="single" w:sz="4" w:space="0" w:color="808080"/>
      </w:pBdr>
      <w:shd w:val="clear" w:color="000000" w:fill="FCE4D6"/>
      <w:spacing w:before="100" w:beforeAutospacing="1" w:after="100" w:afterAutospacing="1" w:line="240" w:lineRule="auto"/>
      <w:jc w:val="center"/>
      <w:textAlignment w:val="center"/>
    </w:pPr>
    <w:rPr>
      <w:rFonts w:ascii="Arial" w:hAnsi="Arial" w:cs="Arial"/>
      <w:color w:val="808080"/>
      <w:sz w:val="16"/>
      <w:szCs w:val="16"/>
      <w:lang w:eastAsia="pl-PL"/>
    </w:rPr>
  </w:style>
  <w:style w:type="paragraph" w:customStyle="1" w:styleId="xl159">
    <w:name w:val="xl159"/>
    <w:basedOn w:val="Normalny"/>
    <w:rsid w:val="00EE68A4"/>
    <w:pPr>
      <w:pBdr>
        <w:left w:val="single" w:sz="4" w:space="0" w:color="808080"/>
        <w:bottom w:val="single" w:sz="4" w:space="0" w:color="808080"/>
      </w:pBdr>
      <w:shd w:val="clear" w:color="000000" w:fill="FCE4D6"/>
      <w:spacing w:before="100" w:beforeAutospacing="1" w:after="100" w:afterAutospacing="1" w:line="240" w:lineRule="auto"/>
      <w:jc w:val="center"/>
      <w:textAlignment w:val="center"/>
    </w:pPr>
    <w:rPr>
      <w:rFonts w:ascii="Arial" w:hAnsi="Arial" w:cs="Arial"/>
      <w:color w:val="auto"/>
      <w:sz w:val="16"/>
      <w:szCs w:val="16"/>
      <w:lang w:eastAsia="pl-PL"/>
    </w:rPr>
  </w:style>
  <w:style w:type="paragraph" w:customStyle="1" w:styleId="xl160">
    <w:name w:val="xl160"/>
    <w:basedOn w:val="Normalny"/>
    <w:rsid w:val="00EE68A4"/>
    <w:pPr>
      <w:pBdr>
        <w:bottom w:val="single" w:sz="4" w:space="0" w:color="808080"/>
      </w:pBdr>
      <w:shd w:val="clear" w:color="000000" w:fill="FCE4D6"/>
      <w:spacing w:before="100" w:beforeAutospacing="1" w:after="100" w:afterAutospacing="1" w:line="240" w:lineRule="auto"/>
      <w:jc w:val="center"/>
      <w:textAlignment w:val="center"/>
    </w:pPr>
    <w:rPr>
      <w:rFonts w:ascii="Arial" w:hAnsi="Arial" w:cs="Arial"/>
      <w:color w:val="auto"/>
      <w:sz w:val="16"/>
      <w:szCs w:val="16"/>
      <w:lang w:eastAsia="pl-PL"/>
    </w:rPr>
  </w:style>
  <w:style w:type="paragraph" w:customStyle="1" w:styleId="xl161">
    <w:name w:val="xl161"/>
    <w:basedOn w:val="Normalny"/>
    <w:rsid w:val="00EE68A4"/>
    <w:pPr>
      <w:pBdr>
        <w:bottom w:val="single" w:sz="4" w:space="0" w:color="808080"/>
        <w:right w:val="single" w:sz="4" w:space="0" w:color="808080"/>
      </w:pBdr>
      <w:shd w:val="clear" w:color="000000" w:fill="FCE4D6"/>
      <w:spacing w:before="100" w:beforeAutospacing="1" w:after="100" w:afterAutospacing="1" w:line="240" w:lineRule="auto"/>
      <w:jc w:val="center"/>
      <w:textAlignment w:val="center"/>
    </w:pPr>
    <w:rPr>
      <w:rFonts w:ascii="Arial" w:hAnsi="Arial" w:cs="Arial"/>
      <w:color w:val="auto"/>
      <w:sz w:val="16"/>
      <w:szCs w:val="16"/>
      <w:lang w:eastAsia="pl-PL"/>
    </w:rPr>
  </w:style>
  <w:style w:type="paragraph" w:customStyle="1" w:styleId="xl162">
    <w:name w:val="xl162"/>
    <w:basedOn w:val="Normalny"/>
    <w:rsid w:val="00EE68A4"/>
    <w:pPr>
      <w:shd w:val="clear" w:color="000000" w:fill="E2EFDA"/>
      <w:spacing w:before="100" w:beforeAutospacing="1" w:after="100" w:afterAutospacing="1" w:line="240" w:lineRule="auto"/>
      <w:jc w:val="center"/>
    </w:pPr>
    <w:rPr>
      <w:rFonts w:cs="Times New Roman"/>
      <w:color w:val="auto"/>
      <w:sz w:val="24"/>
      <w:szCs w:val="24"/>
      <w:lang w:eastAsia="pl-PL"/>
    </w:rPr>
  </w:style>
  <w:style w:type="paragraph" w:customStyle="1" w:styleId="xl163">
    <w:name w:val="xl163"/>
    <w:basedOn w:val="Normalny"/>
    <w:rsid w:val="00EE68A4"/>
    <w:pPr>
      <w:shd w:val="clear" w:color="000000" w:fill="E2EFDA"/>
      <w:spacing w:before="100" w:beforeAutospacing="1" w:after="100" w:afterAutospacing="1" w:line="240" w:lineRule="auto"/>
      <w:jc w:val="center"/>
      <w:textAlignment w:val="center"/>
    </w:pPr>
    <w:rPr>
      <w:rFonts w:ascii="Arial" w:hAnsi="Arial" w:cs="Arial"/>
      <w:color w:val="808080"/>
      <w:sz w:val="16"/>
      <w:szCs w:val="16"/>
      <w:lang w:eastAsia="pl-PL"/>
    </w:rPr>
  </w:style>
  <w:style w:type="paragraph" w:customStyle="1" w:styleId="xl164">
    <w:name w:val="xl164"/>
    <w:basedOn w:val="Normalny"/>
    <w:rsid w:val="00EE68A4"/>
    <w:pPr>
      <w:pBdr>
        <w:bottom w:val="single" w:sz="4" w:space="0" w:color="808080"/>
      </w:pBdr>
      <w:shd w:val="clear" w:color="000000" w:fill="E2EFDA"/>
      <w:spacing w:before="100" w:beforeAutospacing="1" w:after="100" w:afterAutospacing="1" w:line="240" w:lineRule="auto"/>
      <w:jc w:val="center"/>
      <w:textAlignment w:val="center"/>
    </w:pPr>
    <w:rPr>
      <w:rFonts w:ascii="Arial" w:hAnsi="Arial" w:cs="Arial"/>
      <w:color w:val="auto"/>
      <w:sz w:val="16"/>
      <w:szCs w:val="16"/>
      <w:lang w:eastAsia="pl-PL"/>
    </w:rPr>
  </w:style>
  <w:style w:type="paragraph" w:customStyle="1" w:styleId="xl165">
    <w:name w:val="xl165"/>
    <w:basedOn w:val="Normalny"/>
    <w:rsid w:val="00EE68A4"/>
    <w:pPr>
      <w:pBdr>
        <w:bottom w:val="single" w:sz="4" w:space="0" w:color="808080"/>
      </w:pBdr>
      <w:shd w:val="clear" w:color="000000" w:fill="E2EFDA"/>
      <w:spacing w:before="100" w:beforeAutospacing="1" w:after="100" w:afterAutospacing="1" w:line="240" w:lineRule="auto"/>
      <w:jc w:val="center"/>
      <w:textAlignment w:val="center"/>
    </w:pPr>
    <w:rPr>
      <w:rFonts w:ascii="Arial" w:hAnsi="Arial" w:cs="Arial"/>
      <w:b/>
      <w:bCs/>
      <w:color w:val="auto"/>
      <w:sz w:val="16"/>
      <w:szCs w:val="16"/>
      <w:lang w:eastAsia="pl-PL"/>
    </w:rPr>
  </w:style>
  <w:style w:type="paragraph" w:customStyle="1" w:styleId="xl166">
    <w:name w:val="xl166"/>
    <w:basedOn w:val="Normalny"/>
    <w:rsid w:val="00EE68A4"/>
    <w:pPr>
      <w:pBdr>
        <w:top w:val="single" w:sz="4" w:space="0" w:color="808080"/>
        <w:right w:val="single" w:sz="4" w:space="0" w:color="808080"/>
      </w:pBdr>
      <w:shd w:val="clear" w:color="000000" w:fill="E2EFDA"/>
      <w:spacing w:before="100" w:beforeAutospacing="1" w:after="100" w:afterAutospacing="1" w:line="240" w:lineRule="auto"/>
      <w:jc w:val="center"/>
    </w:pPr>
    <w:rPr>
      <w:rFonts w:cs="Times New Roman"/>
      <w:color w:val="auto"/>
      <w:sz w:val="24"/>
      <w:szCs w:val="24"/>
      <w:lang w:eastAsia="pl-PL"/>
    </w:rPr>
  </w:style>
  <w:style w:type="paragraph" w:customStyle="1" w:styleId="xl167">
    <w:name w:val="xl167"/>
    <w:basedOn w:val="Normalny"/>
    <w:rsid w:val="00EE68A4"/>
    <w:pPr>
      <w:pBdr>
        <w:right w:val="single" w:sz="4" w:space="0" w:color="808080"/>
      </w:pBdr>
      <w:shd w:val="clear" w:color="000000" w:fill="E2EFDA"/>
      <w:spacing w:before="100" w:beforeAutospacing="1" w:after="100" w:afterAutospacing="1" w:line="240" w:lineRule="auto"/>
      <w:jc w:val="center"/>
      <w:textAlignment w:val="center"/>
    </w:pPr>
    <w:rPr>
      <w:rFonts w:ascii="Arial" w:hAnsi="Arial" w:cs="Arial"/>
      <w:color w:val="808080"/>
      <w:sz w:val="16"/>
      <w:szCs w:val="16"/>
      <w:lang w:eastAsia="pl-PL"/>
    </w:rPr>
  </w:style>
  <w:style w:type="paragraph" w:customStyle="1" w:styleId="xl168">
    <w:name w:val="xl168"/>
    <w:basedOn w:val="Normalny"/>
    <w:rsid w:val="00EE68A4"/>
    <w:pPr>
      <w:pBdr>
        <w:bottom w:val="single" w:sz="4" w:space="0" w:color="808080"/>
        <w:right w:val="single" w:sz="4" w:space="0" w:color="808080"/>
      </w:pBdr>
      <w:shd w:val="clear" w:color="000000" w:fill="E2EFDA"/>
      <w:spacing w:before="100" w:beforeAutospacing="1" w:after="100" w:afterAutospacing="1" w:line="240" w:lineRule="auto"/>
      <w:jc w:val="center"/>
      <w:textAlignment w:val="center"/>
    </w:pPr>
    <w:rPr>
      <w:rFonts w:ascii="Arial" w:hAnsi="Arial" w:cs="Arial"/>
      <w:color w:val="auto"/>
      <w:sz w:val="16"/>
      <w:szCs w:val="16"/>
      <w:lang w:eastAsia="pl-PL"/>
    </w:rPr>
  </w:style>
  <w:style w:type="paragraph" w:customStyle="1" w:styleId="xl169">
    <w:name w:val="xl169"/>
    <w:basedOn w:val="Normalny"/>
    <w:rsid w:val="00EE68A4"/>
    <w:pPr>
      <w:pBdr>
        <w:top w:val="single" w:sz="4" w:space="0" w:color="808080"/>
        <w:left w:val="single" w:sz="4" w:space="0" w:color="808080"/>
        <w:right w:val="single" w:sz="4" w:space="0" w:color="808080"/>
      </w:pBdr>
      <w:shd w:val="clear" w:color="000000" w:fill="D9E1F2"/>
      <w:spacing w:before="100" w:beforeAutospacing="1" w:after="100" w:afterAutospacing="1" w:line="240" w:lineRule="auto"/>
      <w:jc w:val="left"/>
      <w:textAlignment w:val="center"/>
    </w:pPr>
    <w:rPr>
      <w:rFonts w:cs="Times New Roman"/>
      <w:color w:val="808080"/>
      <w:sz w:val="20"/>
      <w:lang w:eastAsia="pl-PL"/>
    </w:rPr>
  </w:style>
  <w:style w:type="paragraph" w:customStyle="1" w:styleId="xl170">
    <w:name w:val="xl170"/>
    <w:basedOn w:val="Normalny"/>
    <w:rsid w:val="00EE68A4"/>
    <w:pPr>
      <w:pBdr>
        <w:top w:val="single" w:sz="4" w:space="0" w:color="808080"/>
      </w:pBdr>
      <w:shd w:val="clear" w:color="000000" w:fill="D9E1F2"/>
      <w:spacing w:before="100" w:beforeAutospacing="1" w:after="100" w:afterAutospacing="1" w:line="240" w:lineRule="auto"/>
      <w:jc w:val="left"/>
      <w:textAlignment w:val="center"/>
    </w:pPr>
    <w:rPr>
      <w:rFonts w:cs="Times New Roman"/>
      <w:color w:val="808080"/>
      <w:sz w:val="20"/>
      <w:lang w:eastAsia="pl-PL"/>
    </w:rPr>
  </w:style>
  <w:style w:type="paragraph" w:customStyle="1" w:styleId="xl171">
    <w:name w:val="xl171"/>
    <w:basedOn w:val="Normalny"/>
    <w:rsid w:val="00EE68A4"/>
    <w:pPr>
      <w:pBdr>
        <w:top w:val="single" w:sz="4" w:space="0" w:color="808080"/>
      </w:pBdr>
      <w:shd w:val="clear" w:color="000000" w:fill="D9E1F2"/>
      <w:spacing w:before="100" w:beforeAutospacing="1" w:after="100" w:afterAutospacing="1" w:line="240" w:lineRule="auto"/>
      <w:jc w:val="left"/>
    </w:pPr>
    <w:rPr>
      <w:rFonts w:cs="Times New Roman"/>
      <w:color w:val="auto"/>
      <w:sz w:val="24"/>
      <w:szCs w:val="24"/>
      <w:lang w:eastAsia="pl-PL"/>
    </w:rPr>
  </w:style>
  <w:style w:type="paragraph" w:customStyle="1" w:styleId="xl172">
    <w:name w:val="xl172"/>
    <w:basedOn w:val="Normalny"/>
    <w:rsid w:val="00EE68A4"/>
    <w:pPr>
      <w:pBdr>
        <w:top w:val="single" w:sz="4" w:space="0" w:color="808080"/>
      </w:pBdr>
      <w:shd w:val="clear" w:color="000000" w:fill="D9E1F2"/>
      <w:spacing w:before="100" w:beforeAutospacing="1" w:after="100" w:afterAutospacing="1" w:line="240" w:lineRule="auto"/>
      <w:jc w:val="right"/>
    </w:pPr>
    <w:rPr>
      <w:rFonts w:cs="Times New Roman"/>
      <w:color w:val="808080"/>
      <w:sz w:val="24"/>
      <w:szCs w:val="24"/>
      <w:lang w:eastAsia="pl-PL"/>
    </w:rPr>
  </w:style>
  <w:style w:type="paragraph" w:customStyle="1" w:styleId="xl173">
    <w:name w:val="xl173"/>
    <w:basedOn w:val="Normalny"/>
    <w:rsid w:val="00EE68A4"/>
    <w:pPr>
      <w:pBdr>
        <w:top w:val="single" w:sz="4" w:space="0" w:color="808080"/>
        <w:right w:val="single" w:sz="4" w:space="0" w:color="808080"/>
      </w:pBdr>
      <w:shd w:val="clear" w:color="000000" w:fill="D9E1F2"/>
      <w:spacing w:before="100" w:beforeAutospacing="1" w:after="100" w:afterAutospacing="1" w:line="240" w:lineRule="auto"/>
      <w:jc w:val="left"/>
    </w:pPr>
    <w:rPr>
      <w:rFonts w:cs="Times New Roman"/>
      <w:color w:val="auto"/>
      <w:sz w:val="24"/>
      <w:szCs w:val="24"/>
      <w:lang w:eastAsia="pl-PL"/>
    </w:rPr>
  </w:style>
  <w:style w:type="paragraph" w:customStyle="1" w:styleId="xl174">
    <w:name w:val="xl174"/>
    <w:basedOn w:val="Normalny"/>
    <w:rsid w:val="00EE68A4"/>
    <w:pPr>
      <w:shd w:val="clear" w:color="000000" w:fill="D9E1F2"/>
      <w:spacing w:before="100" w:beforeAutospacing="1" w:after="100" w:afterAutospacing="1" w:line="240" w:lineRule="auto"/>
      <w:jc w:val="right"/>
      <w:textAlignment w:val="top"/>
    </w:pPr>
    <w:rPr>
      <w:rFonts w:ascii="Times New Roman" w:hAnsi="Times New Roman" w:cs="Times New Roman"/>
      <w:color w:val="auto"/>
      <w:sz w:val="20"/>
      <w:lang w:eastAsia="pl-PL"/>
    </w:rPr>
  </w:style>
  <w:style w:type="paragraph" w:customStyle="1" w:styleId="xl175">
    <w:name w:val="xl175"/>
    <w:basedOn w:val="Normalny"/>
    <w:rsid w:val="00EE68A4"/>
    <w:pPr>
      <w:shd w:val="clear" w:color="000000" w:fill="D9E1F2"/>
      <w:spacing w:before="100" w:beforeAutospacing="1" w:after="100" w:afterAutospacing="1" w:line="240" w:lineRule="auto"/>
      <w:jc w:val="center"/>
      <w:textAlignment w:val="top"/>
    </w:pPr>
    <w:rPr>
      <w:rFonts w:ascii="Times New Roman" w:hAnsi="Times New Roman" w:cs="Times New Roman"/>
      <w:color w:val="000000"/>
      <w:sz w:val="20"/>
      <w:lang w:eastAsia="pl-PL"/>
    </w:rPr>
  </w:style>
  <w:style w:type="paragraph" w:customStyle="1" w:styleId="xl176">
    <w:name w:val="xl176"/>
    <w:basedOn w:val="Normalny"/>
    <w:rsid w:val="00EE68A4"/>
    <w:pPr>
      <w:shd w:val="clear" w:color="000000" w:fill="D9E1F2"/>
      <w:spacing w:before="100" w:beforeAutospacing="1" w:after="100" w:afterAutospacing="1" w:line="240" w:lineRule="auto"/>
      <w:jc w:val="left"/>
    </w:pPr>
    <w:rPr>
      <w:rFonts w:cs="Times New Roman"/>
      <w:color w:val="808080"/>
      <w:sz w:val="20"/>
      <w:lang w:eastAsia="pl-PL"/>
    </w:rPr>
  </w:style>
  <w:style w:type="paragraph" w:customStyle="1" w:styleId="xl177">
    <w:name w:val="xl177"/>
    <w:basedOn w:val="Normalny"/>
    <w:rsid w:val="00EE68A4"/>
    <w:pPr>
      <w:shd w:val="clear" w:color="000000" w:fill="D9E1F2"/>
      <w:spacing w:before="100" w:beforeAutospacing="1" w:after="100" w:afterAutospacing="1" w:line="240" w:lineRule="auto"/>
      <w:jc w:val="right"/>
    </w:pPr>
    <w:rPr>
      <w:rFonts w:cs="Times New Roman"/>
      <w:color w:val="808080"/>
      <w:sz w:val="20"/>
      <w:lang w:eastAsia="pl-PL"/>
    </w:rPr>
  </w:style>
  <w:style w:type="paragraph" w:customStyle="1" w:styleId="xl178">
    <w:name w:val="xl178"/>
    <w:basedOn w:val="Normalny"/>
    <w:rsid w:val="00EE68A4"/>
    <w:pPr>
      <w:pBdr>
        <w:right w:val="single" w:sz="4" w:space="0" w:color="808080"/>
      </w:pBdr>
      <w:shd w:val="clear" w:color="000000" w:fill="D9E1F2"/>
      <w:spacing w:before="100" w:beforeAutospacing="1" w:after="100" w:afterAutospacing="1" w:line="240" w:lineRule="auto"/>
      <w:jc w:val="left"/>
    </w:pPr>
    <w:rPr>
      <w:rFonts w:cs="Times New Roman"/>
      <w:color w:val="808080"/>
      <w:sz w:val="20"/>
      <w:lang w:eastAsia="pl-PL"/>
    </w:rPr>
  </w:style>
  <w:style w:type="paragraph" w:customStyle="1" w:styleId="xl179">
    <w:name w:val="xl179"/>
    <w:basedOn w:val="Normalny"/>
    <w:rsid w:val="00EE68A4"/>
    <w:pPr>
      <w:pBdr>
        <w:left w:val="single" w:sz="4" w:space="0" w:color="808080"/>
        <w:bottom w:val="single" w:sz="4" w:space="0" w:color="808080"/>
        <w:right w:val="single" w:sz="4" w:space="0" w:color="808080"/>
      </w:pBdr>
      <w:shd w:val="clear" w:color="000000" w:fill="D9E1F2"/>
      <w:spacing w:before="100" w:beforeAutospacing="1" w:after="100" w:afterAutospacing="1" w:line="240" w:lineRule="auto"/>
      <w:jc w:val="center"/>
      <w:textAlignment w:val="center"/>
    </w:pPr>
    <w:rPr>
      <w:rFonts w:cs="Times New Roman"/>
      <w:b/>
      <w:bCs/>
      <w:color w:val="auto"/>
      <w:sz w:val="20"/>
      <w:lang w:eastAsia="pl-PL"/>
    </w:rPr>
  </w:style>
  <w:style w:type="paragraph" w:customStyle="1" w:styleId="xl180">
    <w:name w:val="xl180"/>
    <w:basedOn w:val="Normalny"/>
    <w:rsid w:val="00EE68A4"/>
    <w:pPr>
      <w:pBdr>
        <w:bottom w:val="single" w:sz="4" w:space="0" w:color="808080"/>
      </w:pBdr>
      <w:shd w:val="clear" w:color="000000" w:fill="D9E1F2"/>
      <w:spacing w:before="100" w:beforeAutospacing="1" w:after="100" w:afterAutospacing="1" w:line="240" w:lineRule="auto"/>
      <w:jc w:val="center"/>
      <w:textAlignment w:val="center"/>
    </w:pPr>
    <w:rPr>
      <w:rFonts w:cs="Times New Roman"/>
      <w:b/>
      <w:bCs/>
      <w:color w:val="auto"/>
      <w:sz w:val="20"/>
      <w:lang w:eastAsia="pl-PL"/>
    </w:rPr>
  </w:style>
  <w:style w:type="paragraph" w:customStyle="1" w:styleId="xl181">
    <w:name w:val="xl181"/>
    <w:basedOn w:val="Normalny"/>
    <w:rsid w:val="00EE68A4"/>
    <w:pPr>
      <w:pBdr>
        <w:bottom w:val="single" w:sz="4" w:space="0" w:color="808080"/>
      </w:pBdr>
      <w:shd w:val="clear" w:color="000000" w:fill="D9E1F2"/>
      <w:spacing w:before="100" w:beforeAutospacing="1" w:after="100" w:afterAutospacing="1" w:line="240" w:lineRule="auto"/>
      <w:jc w:val="center"/>
      <w:textAlignment w:val="top"/>
    </w:pPr>
    <w:rPr>
      <w:rFonts w:cs="Times New Roman"/>
      <w:b/>
      <w:bCs/>
      <w:color w:val="auto"/>
      <w:sz w:val="20"/>
      <w:lang w:eastAsia="pl-PL"/>
    </w:rPr>
  </w:style>
  <w:style w:type="paragraph" w:customStyle="1" w:styleId="xl182">
    <w:name w:val="xl182"/>
    <w:basedOn w:val="Normalny"/>
    <w:rsid w:val="00EE68A4"/>
    <w:pPr>
      <w:pBdr>
        <w:bottom w:val="single" w:sz="4" w:space="0" w:color="808080"/>
      </w:pBdr>
      <w:shd w:val="clear" w:color="000000" w:fill="D9E1F2"/>
      <w:spacing w:before="100" w:beforeAutospacing="1" w:after="100" w:afterAutospacing="1" w:line="240" w:lineRule="auto"/>
      <w:jc w:val="left"/>
      <w:textAlignment w:val="top"/>
    </w:pPr>
    <w:rPr>
      <w:rFonts w:cs="Times New Roman"/>
      <w:b/>
      <w:bCs/>
      <w:color w:val="auto"/>
      <w:sz w:val="20"/>
      <w:lang w:eastAsia="pl-PL"/>
    </w:rPr>
  </w:style>
  <w:style w:type="paragraph" w:customStyle="1" w:styleId="xl183">
    <w:name w:val="xl183"/>
    <w:basedOn w:val="Normalny"/>
    <w:rsid w:val="00EE68A4"/>
    <w:pPr>
      <w:pBdr>
        <w:bottom w:val="single" w:sz="4" w:space="0" w:color="808080"/>
      </w:pBdr>
      <w:shd w:val="clear" w:color="000000" w:fill="D9E1F2"/>
      <w:spacing w:before="100" w:beforeAutospacing="1" w:after="100" w:afterAutospacing="1" w:line="240" w:lineRule="auto"/>
      <w:jc w:val="center"/>
      <w:textAlignment w:val="center"/>
    </w:pPr>
    <w:rPr>
      <w:rFonts w:cs="Times New Roman"/>
      <w:b/>
      <w:bCs/>
      <w:color w:val="auto"/>
      <w:sz w:val="20"/>
      <w:lang w:eastAsia="pl-PL"/>
    </w:rPr>
  </w:style>
  <w:style w:type="paragraph" w:customStyle="1" w:styleId="xl184">
    <w:name w:val="xl184"/>
    <w:basedOn w:val="Normalny"/>
    <w:rsid w:val="00EE68A4"/>
    <w:pPr>
      <w:pBdr>
        <w:bottom w:val="single" w:sz="4" w:space="0" w:color="808080"/>
      </w:pBdr>
      <w:shd w:val="clear" w:color="000000" w:fill="D9E1F2"/>
      <w:spacing w:before="100" w:beforeAutospacing="1" w:after="100" w:afterAutospacing="1" w:line="240" w:lineRule="auto"/>
      <w:jc w:val="center"/>
      <w:textAlignment w:val="top"/>
    </w:pPr>
    <w:rPr>
      <w:rFonts w:cs="Times New Roman"/>
      <w:b/>
      <w:bCs/>
      <w:color w:val="auto"/>
      <w:sz w:val="20"/>
      <w:lang w:eastAsia="pl-PL"/>
    </w:rPr>
  </w:style>
  <w:style w:type="paragraph" w:customStyle="1" w:styleId="xl185">
    <w:name w:val="xl185"/>
    <w:basedOn w:val="Normalny"/>
    <w:rsid w:val="00EE68A4"/>
    <w:pPr>
      <w:pBdr>
        <w:bottom w:val="single" w:sz="4" w:space="0" w:color="808080"/>
        <w:right w:val="single" w:sz="4" w:space="0" w:color="808080"/>
      </w:pBdr>
      <w:shd w:val="clear" w:color="000000" w:fill="D9E1F2"/>
      <w:spacing w:before="100" w:beforeAutospacing="1" w:after="100" w:afterAutospacing="1" w:line="240" w:lineRule="auto"/>
      <w:jc w:val="center"/>
      <w:textAlignment w:val="center"/>
    </w:pPr>
    <w:rPr>
      <w:rFonts w:cs="Times New Roman"/>
      <w:b/>
      <w:bCs/>
      <w:color w:val="auto"/>
      <w:sz w:val="20"/>
      <w:lang w:eastAsia="pl-PL"/>
    </w:rPr>
  </w:style>
  <w:style w:type="paragraph" w:customStyle="1" w:styleId="xl186">
    <w:name w:val="xl186"/>
    <w:basedOn w:val="Normalny"/>
    <w:rsid w:val="00EE68A4"/>
    <w:pPr>
      <w:pBdr>
        <w:bottom w:val="single" w:sz="4" w:space="0" w:color="BFBFBF"/>
      </w:pBdr>
      <w:spacing w:before="100" w:beforeAutospacing="1" w:after="100" w:afterAutospacing="1" w:line="240" w:lineRule="auto"/>
      <w:jc w:val="right"/>
      <w:textAlignment w:val="top"/>
    </w:pPr>
    <w:rPr>
      <w:rFonts w:ascii="Times New Roman" w:hAnsi="Times New Roman" w:cs="Times New Roman"/>
      <w:color w:val="000000"/>
      <w:sz w:val="20"/>
      <w:lang w:eastAsia="pl-PL"/>
    </w:rPr>
  </w:style>
  <w:style w:type="paragraph" w:customStyle="1" w:styleId="xl187">
    <w:name w:val="xl187"/>
    <w:basedOn w:val="Normalny"/>
    <w:rsid w:val="00EE68A4"/>
    <w:pPr>
      <w:pBdr>
        <w:bottom w:val="single" w:sz="4" w:space="0" w:color="808080"/>
        <w:right w:val="single" w:sz="4" w:space="0" w:color="808080"/>
      </w:pBdr>
      <w:spacing w:before="100" w:beforeAutospacing="1" w:after="100" w:afterAutospacing="1" w:line="240" w:lineRule="auto"/>
      <w:jc w:val="left"/>
      <w:textAlignment w:val="center"/>
    </w:pPr>
    <w:rPr>
      <w:rFonts w:cs="Times New Roman"/>
      <w:color w:val="000000"/>
      <w:sz w:val="24"/>
      <w:szCs w:val="24"/>
      <w:lang w:eastAsia="pl-PL"/>
    </w:rPr>
  </w:style>
  <w:style w:type="paragraph" w:customStyle="1" w:styleId="xl188">
    <w:name w:val="xl188"/>
    <w:basedOn w:val="Normalny"/>
    <w:rsid w:val="00EE68A4"/>
    <w:pPr>
      <w:pBdr>
        <w:bottom w:val="single" w:sz="4" w:space="0" w:color="BFBFBF"/>
      </w:pBdr>
      <w:shd w:val="clear" w:color="000000" w:fill="F2F2F2"/>
      <w:spacing w:before="100" w:beforeAutospacing="1" w:after="100" w:afterAutospacing="1" w:line="240" w:lineRule="auto"/>
      <w:jc w:val="right"/>
      <w:textAlignment w:val="top"/>
    </w:pPr>
    <w:rPr>
      <w:rFonts w:ascii="Times New Roman" w:hAnsi="Times New Roman" w:cs="Times New Roman"/>
      <w:color w:val="000000"/>
      <w:sz w:val="20"/>
      <w:lang w:eastAsia="pl-PL"/>
    </w:rPr>
  </w:style>
  <w:style w:type="paragraph" w:customStyle="1" w:styleId="xl189">
    <w:name w:val="xl189"/>
    <w:basedOn w:val="Normalny"/>
    <w:rsid w:val="00EE68A4"/>
    <w:pPr>
      <w:pBdr>
        <w:bottom w:val="single" w:sz="4" w:space="0" w:color="BFBFBF"/>
      </w:pBdr>
      <w:spacing w:before="100" w:beforeAutospacing="1" w:after="100" w:afterAutospacing="1" w:line="240" w:lineRule="auto"/>
      <w:jc w:val="right"/>
      <w:textAlignment w:val="top"/>
    </w:pPr>
    <w:rPr>
      <w:rFonts w:ascii="Times New Roman" w:hAnsi="Times New Roman" w:cs="Times New Roman"/>
      <w:color w:val="000000"/>
      <w:sz w:val="20"/>
      <w:lang w:eastAsia="pl-PL"/>
    </w:rPr>
  </w:style>
  <w:style w:type="paragraph" w:customStyle="1" w:styleId="xl190">
    <w:name w:val="xl190"/>
    <w:basedOn w:val="Normalny"/>
    <w:rsid w:val="00EE68A4"/>
    <w:pPr>
      <w:shd w:val="clear" w:color="000000" w:fill="F2F2F2"/>
      <w:spacing w:before="100" w:beforeAutospacing="1" w:after="100" w:afterAutospacing="1" w:line="240" w:lineRule="auto"/>
      <w:jc w:val="right"/>
      <w:textAlignment w:val="center"/>
    </w:pPr>
    <w:rPr>
      <w:rFonts w:cs="Times New Roman"/>
      <w:color w:val="000000"/>
      <w:sz w:val="20"/>
      <w:lang w:eastAsia="pl-PL"/>
    </w:rPr>
  </w:style>
  <w:style w:type="paragraph" w:customStyle="1" w:styleId="xl191">
    <w:name w:val="xl191"/>
    <w:basedOn w:val="Normalny"/>
    <w:rsid w:val="00EE68A4"/>
    <w:pPr>
      <w:pBdr>
        <w:bottom w:val="single" w:sz="4" w:space="0" w:color="808080"/>
      </w:pBdr>
      <w:shd w:val="clear" w:color="000000" w:fill="F2F2F2"/>
      <w:spacing w:before="100" w:beforeAutospacing="1" w:after="100" w:afterAutospacing="1" w:line="240" w:lineRule="auto"/>
      <w:jc w:val="right"/>
      <w:textAlignment w:val="top"/>
    </w:pPr>
    <w:rPr>
      <w:rFonts w:ascii="Times New Roman" w:hAnsi="Times New Roman" w:cs="Times New Roman"/>
      <w:color w:val="000000"/>
      <w:sz w:val="20"/>
      <w:lang w:eastAsia="pl-PL"/>
    </w:rPr>
  </w:style>
  <w:style w:type="paragraph" w:customStyle="1" w:styleId="xl192">
    <w:name w:val="xl192"/>
    <w:basedOn w:val="Normalny"/>
    <w:rsid w:val="00EE68A4"/>
    <w:pPr>
      <w:pBdr>
        <w:bottom w:val="single" w:sz="4" w:space="0" w:color="BFBFBF"/>
      </w:pBdr>
      <w:spacing w:before="100" w:beforeAutospacing="1" w:after="100" w:afterAutospacing="1" w:line="240" w:lineRule="auto"/>
      <w:jc w:val="center"/>
      <w:textAlignment w:val="top"/>
    </w:pPr>
    <w:rPr>
      <w:rFonts w:ascii="Times New Roman" w:hAnsi="Times New Roman" w:cs="Times New Roman"/>
      <w:color w:val="000000"/>
      <w:sz w:val="20"/>
      <w:lang w:eastAsia="pl-PL"/>
    </w:rPr>
  </w:style>
  <w:style w:type="paragraph" w:customStyle="1" w:styleId="xl193">
    <w:name w:val="xl193"/>
    <w:basedOn w:val="Normalny"/>
    <w:rsid w:val="00EE68A4"/>
    <w:pPr>
      <w:pBdr>
        <w:left w:val="single" w:sz="4" w:space="0" w:color="808080"/>
        <w:right w:val="single" w:sz="4" w:space="0" w:color="808080"/>
      </w:pBdr>
      <w:shd w:val="clear" w:color="000000" w:fill="D9E1F2"/>
      <w:spacing w:before="100" w:beforeAutospacing="1" w:after="100" w:afterAutospacing="1" w:line="240" w:lineRule="auto"/>
      <w:jc w:val="right"/>
      <w:textAlignment w:val="top"/>
    </w:pPr>
    <w:rPr>
      <w:rFonts w:cs="Times New Roman"/>
      <w:color w:val="auto"/>
      <w:sz w:val="20"/>
      <w:lang w:eastAsia="pl-PL"/>
    </w:rPr>
  </w:style>
  <w:style w:type="paragraph" w:customStyle="1" w:styleId="xl194">
    <w:name w:val="xl194"/>
    <w:basedOn w:val="Normalny"/>
    <w:rsid w:val="00EE68A4"/>
    <w:pPr>
      <w:pBdr>
        <w:left w:val="single" w:sz="4" w:space="0" w:color="808080"/>
        <w:bottom w:val="single" w:sz="4" w:space="0" w:color="BFBFBF"/>
        <w:right w:val="single" w:sz="4" w:space="0" w:color="808080"/>
      </w:pBdr>
      <w:spacing w:before="100" w:beforeAutospacing="1" w:after="100" w:afterAutospacing="1" w:line="240" w:lineRule="auto"/>
      <w:jc w:val="left"/>
      <w:textAlignment w:val="top"/>
    </w:pPr>
    <w:rPr>
      <w:rFonts w:cs="Times New Roman"/>
      <w:color w:val="auto"/>
      <w:sz w:val="20"/>
      <w:lang w:eastAsia="pl-PL"/>
    </w:rPr>
  </w:style>
  <w:style w:type="paragraph" w:customStyle="1" w:styleId="xl195">
    <w:name w:val="xl195"/>
    <w:basedOn w:val="Normalny"/>
    <w:rsid w:val="00EE68A4"/>
    <w:pPr>
      <w:pBdr>
        <w:left w:val="single" w:sz="4" w:space="0" w:color="808080"/>
        <w:bottom w:val="single" w:sz="4" w:space="0" w:color="808080"/>
        <w:right w:val="single" w:sz="4" w:space="0" w:color="808080"/>
      </w:pBdr>
      <w:spacing w:before="100" w:beforeAutospacing="1" w:after="100" w:afterAutospacing="1" w:line="240" w:lineRule="auto"/>
      <w:jc w:val="left"/>
      <w:textAlignment w:val="top"/>
    </w:pPr>
    <w:rPr>
      <w:rFonts w:cs="Times New Roman"/>
      <w:color w:val="auto"/>
      <w:sz w:val="20"/>
      <w:lang w:eastAsia="pl-PL"/>
    </w:rPr>
  </w:style>
  <w:style w:type="paragraph" w:customStyle="1" w:styleId="xl196">
    <w:name w:val="xl196"/>
    <w:basedOn w:val="Normalny"/>
    <w:rsid w:val="00EE68A4"/>
    <w:pPr>
      <w:spacing w:before="100" w:beforeAutospacing="1" w:after="100" w:afterAutospacing="1" w:line="240" w:lineRule="auto"/>
      <w:jc w:val="left"/>
    </w:pPr>
    <w:rPr>
      <w:rFonts w:cs="Times New Roman"/>
      <w:color w:val="auto"/>
      <w:sz w:val="20"/>
      <w:lang w:eastAsia="pl-PL"/>
    </w:rPr>
  </w:style>
  <w:style w:type="paragraph" w:customStyle="1" w:styleId="xl197">
    <w:name w:val="xl197"/>
    <w:basedOn w:val="Normalny"/>
    <w:rsid w:val="00EE68A4"/>
    <w:pPr>
      <w:pBdr>
        <w:top w:val="single" w:sz="4" w:space="0" w:color="808080"/>
        <w:left w:val="single" w:sz="4" w:space="0" w:color="808080"/>
      </w:pBdr>
      <w:shd w:val="clear" w:color="000000" w:fill="FCE4D6"/>
      <w:spacing w:before="100" w:beforeAutospacing="1" w:after="100" w:afterAutospacing="1" w:line="240" w:lineRule="auto"/>
      <w:jc w:val="center"/>
    </w:pPr>
    <w:rPr>
      <w:rFonts w:ascii="Times New Roman" w:hAnsi="Times New Roman" w:cs="Times New Roman"/>
      <w:b/>
      <w:bCs/>
      <w:color w:val="auto"/>
      <w:sz w:val="24"/>
      <w:szCs w:val="24"/>
      <w:lang w:eastAsia="pl-PL"/>
    </w:rPr>
  </w:style>
  <w:style w:type="paragraph" w:customStyle="1" w:styleId="xl198">
    <w:name w:val="xl198"/>
    <w:basedOn w:val="Normalny"/>
    <w:rsid w:val="00EE68A4"/>
    <w:pPr>
      <w:pBdr>
        <w:top w:val="single" w:sz="4" w:space="0" w:color="808080"/>
      </w:pBdr>
      <w:shd w:val="clear" w:color="000000" w:fill="FCE4D6"/>
      <w:spacing w:before="100" w:beforeAutospacing="1" w:after="100" w:afterAutospacing="1" w:line="240" w:lineRule="auto"/>
      <w:jc w:val="center"/>
    </w:pPr>
    <w:rPr>
      <w:rFonts w:ascii="Times New Roman" w:hAnsi="Times New Roman" w:cs="Times New Roman"/>
      <w:b/>
      <w:bCs/>
      <w:color w:val="auto"/>
      <w:sz w:val="24"/>
      <w:szCs w:val="24"/>
      <w:lang w:eastAsia="pl-PL"/>
    </w:rPr>
  </w:style>
  <w:style w:type="paragraph" w:customStyle="1" w:styleId="xl199">
    <w:name w:val="xl199"/>
    <w:basedOn w:val="Normalny"/>
    <w:rsid w:val="00EE68A4"/>
    <w:pPr>
      <w:pBdr>
        <w:top w:val="single" w:sz="4" w:space="0" w:color="808080"/>
        <w:right w:val="single" w:sz="4" w:space="0" w:color="808080"/>
      </w:pBdr>
      <w:shd w:val="clear" w:color="000000" w:fill="FCE4D6"/>
      <w:spacing w:before="100" w:beforeAutospacing="1" w:after="100" w:afterAutospacing="1" w:line="240" w:lineRule="auto"/>
      <w:jc w:val="center"/>
    </w:pPr>
    <w:rPr>
      <w:rFonts w:ascii="Times New Roman" w:hAnsi="Times New Roman" w:cs="Times New Roman"/>
      <w:b/>
      <w:bCs/>
      <w:color w:val="auto"/>
      <w:sz w:val="24"/>
      <w:szCs w:val="24"/>
      <w:lang w:eastAsia="pl-PL"/>
    </w:rPr>
  </w:style>
  <w:style w:type="paragraph" w:customStyle="1" w:styleId="xl200">
    <w:name w:val="xl200"/>
    <w:basedOn w:val="Normalny"/>
    <w:rsid w:val="00EE68A4"/>
    <w:pPr>
      <w:pBdr>
        <w:top w:val="single" w:sz="4" w:space="0" w:color="808080"/>
      </w:pBdr>
      <w:shd w:val="clear" w:color="000000" w:fill="E2EFDA"/>
      <w:spacing w:before="100" w:beforeAutospacing="1" w:after="100" w:afterAutospacing="1" w:line="240" w:lineRule="auto"/>
      <w:jc w:val="center"/>
    </w:pPr>
    <w:rPr>
      <w:rFonts w:ascii="Times New Roman" w:hAnsi="Times New Roman" w:cs="Times New Roman"/>
      <w:b/>
      <w:bCs/>
      <w:color w:val="auto"/>
      <w:sz w:val="24"/>
      <w:szCs w:val="24"/>
      <w:lang w:eastAsia="pl-PL"/>
    </w:rPr>
  </w:style>
  <w:style w:type="paragraph" w:styleId="Spisilustracji">
    <w:name w:val="table of figures"/>
    <w:basedOn w:val="Normalny"/>
    <w:next w:val="Normalny"/>
    <w:uiPriority w:val="99"/>
    <w:unhideWhenUsed/>
    <w:rsid w:val="005E5524"/>
    <w:pPr>
      <w:spacing w:after="0"/>
      <w:ind w:left="440" w:hanging="440"/>
      <w:jc w:val="left"/>
    </w:pPr>
    <w:rPr>
      <w:rFonts w:asciiTheme="minorHAnsi" w:hAnsiTheme="minorHAnsi"/>
      <w:smallCaps/>
      <w:sz w:val="20"/>
    </w:rPr>
  </w:style>
  <w:style w:type="table" w:customStyle="1" w:styleId="Tabelasiatki1jasnaakcent51">
    <w:name w:val="Tabela siatki 1 — jasna — akcent 51"/>
    <w:basedOn w:val="Standardowy"/>
    <w:uiPriority w:val="46"/>
    <w:rsid w:val="005A363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Siatkatabelijasna">
    <w:name w:val="Grid Table Light"/>
    <w:basedOn w:val="Standardowy"/>
    <w:uiPriority w:val="40"/>
    <w:rsid w:val="00C03A9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Zwykatabela2">
    <w:name w:val="Plain Table 2"/>
    <w:basedOn w:val="Standardowy"/>
    <w:uiPriority w:val="42"/>
    <w:rsid w:val="00C03A9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1">
    <w:name w:val="Unresolved Mention1"/>
    <w:basedOn w:val="Domylnaczcionkaakapitu"/>
    <w:uiPriority w:val="99"/>
    <w:semiHidden/>
    <w:unhideWhenUsed/>
    <w:rsid w:val="0028257D"/>
    <w:rPr>
      <w:color w:val="605E5C"/>
      <w:shd w:val="clear" w:color="auto" w:fill="E1DFDD"/>
    </w:rPr>
  </w:style>
  <w:style w:type="character" w:customStyle="1" w:styleId="5yl5">
    <w:name w:val="_5yl5"/>
    <w:basedOn w:val="Domylnaczcionkaakapitu"/>
    <w:rsid w:val="00333CA0"/>
  </w:style>
  <w:style w:type="paragraph" w:customStyle="1" w:styleId="rdo">
    <w:name w:val="Źródło"/>
    <w:basedOn w:val="Normalny"/>
    <w:next w:val="Normalny"/>
    <w:link w:val="rdoZnak"/>
    <w:qFormat/>
    <w:rsid w:val="002C7385"/>
    <w:pPr>
      <w:spacing w:after="160" w:line="240" w:lineRule="auto"/>
    </w:pPr>
    <w:rPr>
      <w:rFonts w:asciiTheme="minorHAnsi" w:hAnsiTheme="minorHAnsi"/>
      <w:sz w:val="14"/>
      <w:szCs w:val="18"/>
    </w:rPr>
  </w:style>
  <w:style w:type="character" w:customStyle="1" w:styleId="rdoZnak">
    <w:name w:val="Źródło Znak"/>
    <w:basedOn w:val="Domylnaczcionkaakapitu"/>
    <w:link w:val="rdo"/>
    <w:rsid w:val="002C7385"/>
    <w:rPr>
      <w:rFonts w:asciiTheme="minorHAnsi" w:eastAsia="Times New Roman" w:hAnsiTheme="minorHAnsi" w:cs="Calibri"/>
      <w:color w:val="000000" w:themeColor="text1"/>
      <w:sz w:val="14"/>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042660">
      <w:bodyDiv w:val="1"/>
      <w:marLeft w:val="0"/>
      <w:marRight w:val="0"/>
      <w:marTop w:val="0"/>
      <w:marBottom w:val="0"/>
      <w:divBdr>
        <w:top w:val="none" w:sz="0" w:space="0" w:color="auto"/>
        <w:left w:val="none" w:sz="0" w:space="0" w:color="auto"/>
        <w:bottom w:val="none" w:sz="0" w:space="0" w:color="auto"/>
        <w:right w:val="none" w:sz="0" w:space="0" w:color="auto"/>
      </w:divBdr>
    </w:div>
    <w:div w:id="200024079">
      <w:bodyDiv w:val="1"/>
      <w:marLeft w:val="0"/>
      <w:marRight w:val="0"/>
      <w:marTop w:val="0"/>
      <w:marBottom w:val="0"/>
      <w:divBdr>
        <w:top w:val="none" w:sz="0" w:space="0" w:color="auto"/>
        <w:left w:val="none" w:sz="0" w:space="0" w:color="auto"/>
        <w:bottom w:val="none" w:sz="0" w:space="0" w:color="auto"/>
        <w:right w:val="none" w:sz="0" w:space="0" w:color="auto"/>
      </w:divBdr>
    </w:div>
    <w:div w:id="247035959">
      <w:bodyDiv w:val="1"/>
      <w:marLeft w:val="0"/>
      <w:marRight w:val="0"/>
      <w:marTop w:val="0"/>
      <w:marBottom w:val="0"/>
      <w:divBdr>
        <w:top w:val="none" w:sz="0" w:space="0" w:color="auto"/>
        <w:left w:val="none" w:sz="0" w:space="0" w:color="auto"/>
        <w:bottom w:val="none" w:sz="0" w:space="0" w:color="auto"/>
        <w:right w:val="none" w:sz="0" w:space="0" w:color="auto"/>
      </w:divBdr>
    </w:div>
    <w:div w:id="404692850">
      <w:bodyDiv w:val="1"/>
      <w:marLeft w:val="0"/>
      <w:marRight w:val="0"/>
      <w:marTop w:val="0"/>
      <w:marBottom w:val="0"/>
      <w:divBdr>
        <w:top w:val="none" w:sz="0" w:space="0" w:color="auto"/>
        <w:left w:val="none" w:sz="0" w:space="0" w:color="auto"/>
        <w:bottom w:val="none" w:sz="0" w:space="0" w:color="auto"/>
        <w:right w:val="none" w:sz="0" w:space="0" w:color="auto"/>
      </w:divBdr>
    </w:div>
    <w:div w:id="466052165">
      <w:bodyDiv w:val="1"/>
      <w:marLeft w:val="0"/>
      <w:marRight w:val="0"/>
      <w:marTop w:val="0"/>
      <w:marBottom w:val="0"/>
      <w:divBdr>
        <w:top w:val="none" w:sz="0" w:space="0" w:color="auto"/>
        <w:left w:val="none" w:sz="0" w:space="0" w:color="auto"/>
        <w:bottom w:val="none" w:sz="0" w:space="0" w:color="auto"/>
        <w:right w:val="none" w:sz="0" w:space="0" w:color="auto"/>
      </w:divBdr>
    </w:div>
    <w:div w:id="560756205">
      <w:bodyDiv w:val="1"/>
      <w:marLeft w:val="0"/>
      <w:marRight w:val="0"/>
      <w:marTop w:val="0"/>
      <w:marBottom w:val="0"/>
      <w:divBdr>
        <w:top w:val="none" w:sz="0" w:space="0" w:color="auto"/>
        <w:left w:val="none" w:sz="0" w:space="0" w:color="auto"/>
        <w:bottom w:val="none" w:sz="0" w:space="0" w:color="auto"/>
        <w:right w:val="none" w:sz="0" w:space="0" w:color="auto"/>
      </w:divBdr>
    </w:div>
    <w:div w:id="578365024">
      <w:bodyDiv w:val="1"/>
      <w:marLeft w:val="0"/>
      <w:marRight w:val="0"/>
      <w:marTop w:val="0"/>
      <w:marBottom w:val="0"/>
      <w:divBdr>
        <w:top w:val="none" w:sz="0" w:space="0" w:color="auto"/>
        <w:left w:val="none" w:sz="0" w:space="0" w:color="auto"/>
        <w:bottom w:val="none" w:sz="0" w:space="0" w:color="auto"/>
        <w:right w:val="none" w:sz="0" w:space="0" w:color="auto"/>
      </w:divBdr>
      <w:divsChild>
        <w:div w:id="280573490">
          <w:marLeft w:val="0"/>
          <w:marRight w:val="0"/>
          <w:marTop w:val="0"/>
          <w:marBottom w:val="0"/>
          <w:divBdr>
            <w:top w:val="none" w:sz="0" w:space="0" w:color="auto"/>
            <w:left w:val="none" w:sz="0" w:space="0" w:color="auto"/>
            <w:bottom w:val="none" w:sz="0" w:space="0" w:color="auto"/>
            <w:right w:val="none" w:sz="0" w:space="0" w:color="auto"/>
          </w:divBdr>
        </w:div>
      </w:divsChild>
    </w:div>
    <w:div w:id="611594170">
      <w:bodyDiv w:val="1"/>
      <w:marLeft w:val="0"/>
      <w:marRight w:val="0"/>
      <w:marTop w:val="0"/>
      <w:marBottom w:val="0"/>
      <w:divBdr>
        <w:top w:val="none" w:sz="0" w:space="0" w:color="auto"/>
        <w:left w:val="none" w:sz="0" w:space="0" w:color="auto"/>
        <w:bottom w:val="none" w:sz="0" w:space="0" w:color="auto"/>
        <w:right w:val="none" w:sz="0" w:space="0" w:color="auto"/>
      </w:divBdr>
    </w:div>
    <w:div w:id="685210420">
      <w:bodyDiv w:val="1"/>
      <w:marLeft w:val="0"/>
      <w:marRight w:val="0"/>
      <w:marTop w:val="0"/>
      <w:marBottom w:val="0"/>
      <w:divBdr>
        <w:top w:val="none" w:sz="0" w:space="0" w:color="auto"/>
        <w:left w:val="none" w:sz="0" w:space="0" w:color="auto"/>
        <w:bottom w:val="none" w:sz="0" w:space="0" w:color="auto"/>
        <w:right w:val="none" w:sz="0" w:space="0" w:color="auto"/>
      </w:divBdr>
      <w:divsChild>
        <w:div w:id="2069834673">
          <w:marLeft w:val="0"/>
          <w:marRight w:val="0"/>
          <w:marTop w:val="0"/>
          <w:marBottom w:val="0"/>
          <w:divBdr>
            <w:top w:val="none" w:sz="0" w:space="0" w:color="auto"/>
            <w:left w:val="none" w:sz="0" w:space="0" w:color="auto"/>
            <w:bottom w:val="none" w:sz="0" w:space="0" w:color="auto"/>
            <w:right w:val="none" w:sz="0" w:space="0" w:color="auto"/>
          </w:divBdr>
        </w:div>
      </w:divsChild>
    </w:div>
    <w:div w:id="744761191">
      <w:bodyDiv w:val="1"/>
      <w:marLeft w:val="0"/>
      <w:marRight w:val="0"/>
      <w:marTop w:val="0"/>
      <w:marBottom w:val="0"/>
      <w:divBdr>
        <w:top w:val="none" w:sz="0" w:space="0" w:color="auto"/>
        <w:left w:val="none" w:sz="0" w:space="0" w:color="auto"/>
        <w:bottom w:val="none" w:sz="0" w:space="0" w:color="auto"/>
        <w:right w:val="none" w:sz="0" w:space="0" w:color="auto"/>
      </w:divBdr>
    </w:div>
    <w:div w:id="851577750">
      <w:bodyDiv w:val="1"/>
      <w:marLeft w:val="0"/>
      <w:marRight w:val="0"/>
      <w:marTop w:val="0"/>
      <w:marBottom w:val="0"/>
      <w:divBdr>
        <w:top w:val="none" w:sz="0" w:space="0" w:color="auto"/>
        <w:left w:val="none" w:sz="0" w:space="0" w:color="auto"/>
        <w:bottom w:val="none" w:sz="0" w:space="0" w:color="auto"/>
        <w:right w:val="none" w:sz="0" w:space="0" w:color="auto"/>
      </w:divBdr>
    </w:div>
    <w:div w:id="856120905">
      <w:bodyDiv w:val="1"/>
      <w:marLeft w:val="0"/>
      <w:marRight w:val="0"/>
      <w:marTop w:val="0"/>
      <w:marBottom w:val="0"/>
      <w:divBdr>
        <w:top w:val="none" w:sz="0" w:space="0" w:color="auto"/>
        <w:left w:val="none" w:sz="0" w:space="0" w:color="auto"/>
        <w:bottom w:val="none" w:sz="0" w:space="0" w:color="auto"/>
        <w:right w:val="none" w:sz="0" w:space="0" w:color="auto"/>
      </w:divBdr>
    </w:div>
    <w:div w:id="926302010">
      <w:bodyDiv w:val="1"/>
      <w:marLeft w:val="0"/>
      <w:marRight w:val="0"/>
      <w:marTop w:val="0"/>
      <w:marBottom w:val="0"/>
      <w:divBdr>
        <w:top w:val="none" w:sz="0" w:space="0" w:color="auto"/>
        <w:left w:val="none" w:sz="0" w:space="0" w:color="auto"/>
        <w:bottom w:val="none" w:sz="0" w:space="0" w:color="auto"/>
        <w:right w:val="none" w:sz="0" w:space="0" w:color="auto"/>
      </w:divBdr>
    </w:div>
    <w:div w:id="969243240">
      <w:bodyDiv w:val="1"/>
      <w:marLeft w:val="0"/>
      <w:marRight w:val="0"/>
      <w:marTop w:val="0"/>
      <w:marBottom w:val="0"/>
      <w:divBdr>
        <w:top w:val="none" w:sz="0" w:space="0" w:color="auto"/>
        <w:left w:val="none" w:sz="0" w:space="0" w:color="auto"/>
        <w:bottom w:val="none" w:sz="0" w:space="0" w:color="auto"/>
        <w:right w:val="none" w:sz="0" w:space="0" w:color="auto"/>
      </w:divBdr>
    </w:div>
    <w:div w:id="969868562">
      <w:bodyDiv w:val="1"/>
      <w:marLeft w:val="0"/>
      <w:marRight w:val="0"/>
      <w:marTop w:val="0"/>
      <w:marBottom w:val="0"/>
      <w:divBdr>
        <w:top w:val="none" w:sz="0" w:space="0" w:color="auto"/>
        <w:left w:val="none" w:sz="0" w:space="0" w:color="auto"/>
        <w:bottom w:val="none" w:sz="0" w:space="0" w:color="auto"/>
        <w:right w:val="none" w:sz="0" w:space="0" w:color="auto"/>
      </w:divBdr>
    </w:div>
    <w:div w:id="970865444">
      <w:bodyDiv w:val="1"/>
      <w:marLeft w:val="0"/>
      <w:marRight w:val="0"/>
      <w:marTop w:val="0"/>
      <w:marBottom w:val="0"/>
      <w:divBdr>
        <w:top w:val="none" w:sz="0" w:space="0" w:color="auto"/>
        <w:left w:val="none" w:sz="0" w:space="0" w:color="auto"/>
        <w:bottom w:val="none" w:sz="0" w:space="0" w:color="auto"/>
        <w:right w:val="none" w:sz="0" w:space="0" w:color="auto"/>
      </w:divBdr>
    </w:div>
    <w:div w:id="971401041">
      <w:bodyDiv w:val="1"/>
      <w:marLeft w:val="0"/>
      <w:marRight w:val="0"/>
      <w:marTop w:val="0"/>
      <w:marBottom w:val="0"/>
      <w:divBdr>
        <w:top w:val="none" w:sz="0" w:space="0" w:color="auto"/>
        <w:left w:val="none" w:sz="0" w:space="0" w:color="auto"/>
        <w:bottom w:val="none" w:sz="0" w:space="0" w:color="auto"/>
        <w:right w:val="none" w:sz="0" w:space="0" w:color="auto"/>
      </w:divBdr>
    </w:div>
    <w:div w:id="980890584">
      <w:bodyDiv w:val="1"/>
      <w:marLeft w:val="0"/>
      <w:marRight w:val="0"/>
      <w:marTop w:val="0"/>
      <w:marBottom w:val="0"/>
      <w:divBdr>
        <w:top w:val="none" w:sz="0" w:space="0" w:color="auto"/>
        <w:left w:val="none" w:sz="0" w:space="0" w:color="auto"/>
        <w:bottom w:val="none" w:sz="0" w:space="0" w:color="auto"/>
        <w:right w:val="none" w:sz="0" w:space="0" w:color="auto"/>
      </w:divBdr>
      <w:divsChild>
        <w:div w:id="1135639502">
          <w:marLeft w:val="0"/>
          <w:marRight w:val="0"/>
          <w:marTop w:val="0"/>
          <w:marBottom w:val="0"/>
          <w:divBdr>
            <w:top w:val="none" w:sz="0" w:space="0" w:color="auto"/>
            <w:left w:val="none" w:sz="0" w:space="0" w:color="auto"/>
            <w:bottom w:val="none" w:sz="0" w:space="0" w:color="auto"/>
            <w:right w:val="none" w:sz="0" w:space="0" w:color="auto"/>
          </w:divBdr>
        </w:div>
      </w:divsChild>
    </w:div>
    <w:div w:id="1026757397">
      <w:bodyDiv w:val="1"/>
      <w:marLeft w:val="0"/>
      <w:marRight w:val="0"/>
      <w:marTop w:val="0"/>
      <w:marBottom w:val="0"/>
      <w:divBdr>
        <w:top w:val="none" w:sz="0" w:space="0" w:color="auto"/>
        <w:left w:val="none" w:sz="0" w:space="0" w:color="auto"/>
        <w:bottom w:val="none" w:sz="0" w:space="0" w:color="auto"/>
        <w:right w:val="none" w:sz="0" w:space="0" w:color="auto"/>
      </w:divBdr>
    </w:div>
    <w:div w:id="1188326604">
      <w:bodyDiv w:val="1"/>
      <w:marLeft w:val="0"/>
      <w:marRight w:val="0"/>
      <w:marTop w:val="0"/>
      <w:marBottom w:val="0"/>
      <w:divBdr>
        <w:top w:val="none" w:sz="0" w:space="0" w:color="auto"/>
        <w:left w:val="none" w:sz="0" w:space="0" w:color="auto"/>
        <w:bottom w:val="none" w:sz="0" w:space="0" w:color="auto"/>
        <w:right w:val="none" w:sz="0" w:space="0" w:color="auto"/>
      </w:divBdr>
    </w:div>
    <w:div w:id="1190988995">
      <w:bodyDiv w:val="1"/>
      <w:marLeft w:val="0"/>
      <w:marRight w:val="0"/>
      <w:marTop w:val="0"/>
      <w:marBottom w:val="0"/>
      <w:divBdr>
        <w:top w:val="none" w:sz="0" w:space="0" w:color="auto"/>
        <w:left w:val="none" w:sz="0" w:space="0" w:color="auto"/>
        <w:bottom w:val="none" w:sz="0" w:space="0" w:color="auto"/>
        <w:right w:val="none" w:sz="0" w:space="0" w:color="auto"/>
      </w:divBdr>
    </w:div>
    <w:div w:id="1204094903">
      <w:bodyDiv w:val="1"/>
      <w:marLeft w:val="0"/>
      <w:marRight w:val="0"/>
      <w:marTop w:val="0"/>
      <w:marBottom w:val="0"/>
      <w:divBdr>
        <w:top w:val="none" w:sz="0" w:space="0" w:color="auto"/>
        <w:left w:val="none" w:sz="0" w:space="0" w:color="auto"/>
        <w:bottom w:val="none" w:sz="0" w:space="0" w:color="auto"/>
        <w:right w:val="none" w:sz="0" w:space="0" w:color="auto"/>
      </w:divBdr>
    </w:div>
    <w:div w:id="1225262535">
      <w:bodyDiv w:val="1"/>
      <w:marLeft w:val="0"/>
      <w:marRight w:val="0"/>
      <w:marTop w:val="0"/>
      <w:marBottom w:val="0"/>
      <w:divBdr>
        <w:top w:val="none" w:sz="0" w:space="0" w:color="auto"/>
        <w:left w:val="none" w:sz="0" w:space="0" w:color="auto"/>
        <w:bottom w:val="none" w:sz="0" w:space="0" w:color="auto"/>
        <w:right w:val="none" w:sz="0" w:space="0" w:color="auto"/>
      </w:divBdr>
    </w:div>
    <w:div w:id="1311791586">
      <w:bodyDiv w:val="1"/>
      <w:marLeft w:val="0"/>
      <w:marRight w:val="0"/>
      <w:marTop w:val="0"/>
      <w:marBottom w:val="0"/>
      <w:divBdr>
        <w:top w:val="none" w:sz="0" w:space="0" w:color="auto"/>
        <w:left w:val="none" w:sz="0" w:space="0" w:color="auto"/>
        <w:bottom w:val="none" w:sz="0" w:space="0" w:color="auto"/>
        <w:right w:val="none" w:sz="0" w:space="0" w:color="auto"/>
      </w:divBdr>
    </w:div>
    <w:div w:id="1361667133">
      <w:bodyDiv w:val="1"/>
      <w:marLeft w:val="0"/>
      <w:marRight w:val="0"/>
      <w:marTop w:val="0"/>
      <w:marBottom w:val="0"/>
      <w:divBdr>
        <w:top w:val="none" w:sz="0" w:space="0" w:color="auto"/>
        <w:left w:val="none" w:sz="0" w:space="0" w:color="auto"/>
        <w:bottom w:val="none" w:sz="0" w:space="0" w:color="auto"/>
        <w:right w:val="none" w:sz="0" w:space="0" w:color="auto"/>
      </w:divBdr>
    </w:div>
    <w:div w:id="1404403317">
      <w:bodyDiv w:val="1"/>
      <w:marLeft w:val="0"/>
      <w:marRight w:val="0"/>
      <w:marTop w:val="0"/>
      <w:marBottom w:val="0"/>
      <w:divBdr>
        <w:top w:val="none" w:sz="0" w:space="0" w:color="auto"/>
        <w:left w:val="none" w:sz="0" w:space="0" w:color="auto"/>
        <w:bottom w:val="none" w:sz="0" w:space="0" w:color="auto"/>
        <w:right w:val="none" w:sz="0" w:space="0" w:color="auto"/>
      </w:divBdr>
    </w:div>
    <w:div w:id="1436512104">
      <w:bodyDiv w:val="1"/>
      <w:marLeft w:val="0"/>
      <w:marRight w:val="0"/>
      <w:marTop w:val="0"/>
      <w:marBottom w:val="0"/>
      <w:divBdr>
        <w:top w:val="none" w:sz="0" w:space="0" w:color="auto"/>
        <w:left w:val="none" w:sz="0" w:space="0" w:color="auto"/>
        <w:bottom w:val="none" w:sz="0" w:space="0" w:color="auto"/>
        <w:right w:val="none" w:sz="0" w:space="0" w:color="auto"/>
      </w:divBdr>
    </w:div>
    <w:div w:id="1482192668">
      <w:bodyDiv w:val="1"/>
      <w:marLeft w:val="0"/>
      <w:marRight w:val="0"/>
      <w:marTop w:val="0"/>
      <w:marBottom w:val="0"/>
      <w:divBdr>
        <w:top w:val="none" w:sz="0" w:space="0" w:color="auto"/>
        <w:left w:val="none" w:sz="0" w:space="0" w:color="auto"/>
        <w:bottom w:val="none" w:sz="0" w:space="0" w:color="auto"/>
        <w:right w:val="none" w:sz="0" w:space="0" w:color="auto"/>
      </w:divBdr>
      <w:divsChild>
        <w:div w:id="456224174">
          <w:marLeft w:val="0"/>
          <w:marRight w:val="0"/>
          <w:marTop w:val="0"/>
          <w:marBottom w:val="0"/>
          <w:divBdr>
            <w:top w:val="none" w:sz="0" w:space="0" w:color="auto"/>
            <w:left w:val="none" w:sz="0" w:space="0" w:color="auto"/>
            <w:bottom w:val="none" w:sz="0" w:space="0" w:color="auto"/>
            <w:right w:val="none" w:sz="0" w:space="0" w:color="auto"/>
          </w:divBdr>
        </w:div>
      </w:divsChild>
    </w:div>
    <w:div w:id="1542475437">
      <w:bodyDiv w:val="1"/>
      <w:marLeft w:val="0"/>
      <w:marRight w:val="0"/>
      <w:marTop w:val="0"/>
      <w:marBottom w:val="0"/>
      <w:divBdr>
        <w:top w:val="none" w:sz="0" w:space="0" w:color="auto"/>
        <w:left w:val="none" w:sz="0" w:space="0" w:color="auto"/>
        <w:bottom w:val="none" w:sz="0" w:space="0" w:color="auto"/>
        <w:right w:val="none" w:sz="0" w:space="0" w:color="auto"/>
      </w:divBdr>
      <w:divsChild>
        <w:div w:id="2087991576">
          <w:marLeft w:val="0"/>
          <w:marRight w:val="0"/>
          <w:marTop w:val="0"/>
          <w:marBottom w:val="0"/>
          <w:divBdr>
            <w:top w:val="none" w:sz="0" w:space="0" w:color="auto"/>
            <w:left w:val="none" w:sz="0" w:space="0" w:color="auto"/>
            <w:bottom w:val="none" w:sz="0" w:space="0" w:color="auto"/>
            <w:right w:val="none" w:sz="0" w:space="0" w:color="auto"/>
          </w:divBdr>
        </w:div>
      </w:divsChild>
    </w:div>
    <w:div w:id="1547139539">
      <w:bodyDiv w:val="1"/>
      <w:marLeft w:val="0"/>
      <w:marRight w:val="0"/>
      <w:marTop w:val="0"/>
      <w:marBottom w:val="0"/>
      <w:divBdr>
        <w:top w:val="none" w:sz="0" w:space="0" w:color="auto"/>
        <w:left w:val="none" w:sz="0" w:space="0" w:color="auto"/>
        <w:bottom w:val="none" w:sz="0" w:space="0" w:color="auto"/>
        <w:right w:val="none" w:sz="0" w:space="0" w:color="auto"/>
      </w:divBdr>
    </w:div>
    <w:div w:id="1578054756">
      <w:bodyDiv w:val="1"/>
      <w:marLeft w:val="0"/>
      <w:marRight w:val="0"/>
      <w:marTop w:val="0"/>
      <w:marBottom w:val="0"/>
      <w:divBdr>
        <w:top w:val="none" w:sz="0" w:space="0" w:color="auto"/>
        <w:left w:val="none" w:sz="0" w:space="0" w:color="auto"/>
        <w:bottom w:val="none" w:sz="0" w:space="0" w:color="auto"/>
        <w:right w:val="none" w:sz="0" w:space="0" w:color="auto"/>
      </w:divBdr>
    </w:div>
    <w:div w:id="1659573403">
      <w:bodyDiv w:val="1"/>
      <w:marLeft w:val="0"/>
      <w:marRight w:val="0"/>
      <w:marTop w:val="0"/>
      <w:marBottom w:val="0"/>
      <w:divBdr>
        <w:top w:val="none" w:sz="0" w:space="0" w:color="auto"/>
        <w:left w:val="none" w:sz="0" w:space="0" w:color="auto"/>
        <w:bottom w:val="none" w:sz="0" w:space="0" w:color="auto"/>
        <w:right w:val="none" w:sz="0" w:space="0" w:color="auto"/>
      </w:divBdr>
    </w:div>
    <w:div w:id="1665736870">
      <w:bodyDiv w:val="1"/>
      <w:marLeft w:val="0"/>
      <w:marRight w:val="0"/>
      <w:marTop w:val="0"/>
      <w:marBottom w:val="0"/>
      <w:divBdr>
        <w:top w:val="none" w:sz="0" w:space="0" w:color="auto"/>
        <w:left w:val="none" w:sz="0" w:space="0" w:color="auto"/>
        <w:bottom w:val="none" w:sz="0" w:space="0" w:color="auto"/>
        <w:right w:val="none" w:sz="0" w:space="0" w:color="auto"/>
      </w:divBdr>
    </w:div>
    <w:div w:id="1765803292">
      <w:bodyDiv w:val="1"/>
      <w:marLeft w:val="0"/>
      <w:marRight w:val="0"/>
      <w:marTop w:val="0"/>
      <w:marBottom w:val="0"/>
      <w:divBdr>
        <w:top w:val="none" w:sz="0" w:space="0" w:color="auto"/>
        <w:left w:val="none" w:sz="0" w:space="0" w:color="auto"/>
        <w:bottom w:val="none" w:sz="0" w:space="0" w:color="auto"/>
        <w:right w:val="none" w:sz="0" w:space="0" w:color="auto"/>
      </w:divBdr>
    </w:div>
    <w:div w:id="1778941698">
      <w:bodyDiv w:val="1"/>
      <w:marLeft w:val="0"/>
      <w:marRight w:val="0"/>
      <w:marTop w:val="0"/>
      <w:marBottom w:val="0"/>
      <w:divBdr>
        <w:top w:val="none" w:sz="0" w:space="0" w:color="auto"/>
        <w:left w:val="none" w:sz="0" w:space="0" w:color="auto"/>
        <w:bottom w:val="none" w:sz="0" w:space="0" w:color="auto"/>
        <w:right w:val="none" w:sz="0" w:space="0" w:color="auto"/>
      </w:divBdr>
    </w:div>
    <w:div w:id="1782143628">
      <w:bodyDiv w:val="1"/>
      <w:marLeft w:val="0"/>
      <w:marRight w:val="0"/>
      <w:marTop w:val="0"/>
      <w:marBottom w:val="0"/>
      <w:divBdr>
        <w:top w:val="none" w:sz="0" w:space="0" w:color="auto"/>
        <w:left w:val="none" w:sz="0" w:space="0" w:color="auto"/>
        <w:bottom w:val="none" w:sz="0" w:space="0" w:color="auto"/>
        <w:right w:val="none" w:sz="0" w:space="0" w:color="auto"/>
      </w:divBdr>
    </w:div>
    <w:div w:id="1783721900">
      <w:bodyDiv w:val="1"/>
      <w:marLeft w:val="0"/>
      <w:marRight w:val="0"/>
      <w:marTop w:val="0"/>
      <w:marBottom w:val="0"/>
      <w:divBdr>
        <w:top w:val="none" w:sz="0" w:space="0" w:color="auto"/>
        <w:left w:val="none" w:sz="0" w:space="0" w:color="auto"/>
        <w:bottom w:val="none" w:sz="0" w:space="0" w:color="auto"/>
        <w:right w:val="none" w:sz="0" w:space="0" w:color="auto"/>
      </w:divBdr>
    </w:div>
    <w:div w:id="1844737720">
      <w:bodyDiv w:val="1"/>
      <w:marLeft w:val="0"/>
      <w:marRight w:val="0"/>
      <w:marTop w:val="0"/>
      <w:marBottom w:val="0"/>
      <w:divBdr>
        <w:top w:val="none" w:sz="0" w:space="0" w:color="auto"/>
        <w:left w:val="none" w:sz="0" w:space="0" w:color="auto"/>
        <w:bottom w:val="none" w:sz="0" w:space="0" w:color="auto"/>
        <w:right w:val="none" w:sz="0" w:space="0" w:color="auto"/>
      </w:divBdr>
    </w:div>
    <w:div w:id="1846240381">
      <w:bodyDiv w:val="1"/>
      <w:marLeft w:val="0"/>
      <w:marRight w:val="0"/>
      <w:marTop w:val="0"/>
      <w:marBottom w:val="0"/>
      <w:divBdr>
        <w:top w:val="none" w:sz="0" w:space="0" w:color="auto"/>
        <w:left w:val="none" w:sz="0" w:space="0" w:color="auto"/>
        <w:bottom w:val="none" w:sz="0" w:space="0" w:color="auto"/>
        <w:right w:val="none" w:sz="0" w:space="0" w:color="auto"/>
      </w:divBdr>
    </w:div>
    <w:div w:id="1860121471">
      <w:bodyDiv w:val="1"/>
      <w:marLeft w:val="0"/>
      <w:marRight w:val="0"/>
      <w:marTop w:val="0"/>
      <w:marBottom w:val="0"/>
      <w:divBdr>
        <w:top w:val="none" w:sz="0" w:space="0" w:color="auto"/>
        <w:left w:val="none" w:sz="0" w:space="0" w:color="auto"/>
        <w:bottom w:val="none" w:sz="0" w:space="0" w:color="auto"/>
        <w:right w:val="none" w:sz="0" w:space="0" w:color="auto"/>
      </w:divBdr>
    </w:div>
    <w:div w:id="1960137008">
      <w:bodyDiv w:val="1"/>
      <w:marLeft w:val="0"/>
      <w:marRight w:val="0"/>
      <w:marTop w:val="0"/>
      <w:marBottom w:val="0"/>
      <w:divBdr>
        <w:top w:val="none" w:sz="0" w:space="0" w:color="auto"/>
        <w:left w:val="none" w:sz="0" w:space="0" w:color="auto"/>
        <w:bottom w:val="none" w:sz="0" w:space="0" w:color="auto"/>
        <w:right w:val="none" w:sz="0" w:space="0" w:color="auto"/>
      </w:divBdr>
    </w:div>
    <w:div w:id="1961648117">
      <w:bodyDiv w:val="1"/>
      <w:marLeft w:val="0"/>
      <w:marRight w:val="0"/>
      <w:marTop w:val="0"/>
      <w:marBottom w:val="0"/>
      <w:divBdr>
        <w:top w:val="none" w:sz="0" w:space="0" w:color="auto"/>
        <w:left w:val="none" w:sz="0" w:space="0" w:color="auto"/>
        <w:bottom w:val="none" w:sz="0" w:space="0" w:color="auto"/>
        <w:right w:val="none" w:sz="0" w:space="0" w:color="auto"/>
      </w:divBdr>
      <w:divsChild>
        <w:div w:id="1738549404">
          <w:marLeft w:val="0"/>
          <w:marRight w:val="0"/>
          <w:marTop w:val="0"/>
          <w:marBottom w:val="0"/>
          <w:divBdr>
            <w:top w:val="none" w:sz="0" w:space="0" w:color="auto"/>
            <w:left w:val="none" w:sz="0" w:space="0" w:color="auto"/>
            <w:bottom w:val="none" w:sz="0" w:space="0" w:color="auto"/>
            <w:right w:val="none" w:sz="0" w:space="0" w:color="auto"/>
          </w:divBdr>
        </w:div>
      </w:divsChild>
    </w:div>
    <w:div w:id="2049380289">
      <w:bodyDiv w:val="1"/>
      <w:marLeft w:val="0"/>
      <w:marRight w:val="0"/>
      <w:marTop w:val="0"/>
      <w:marBottom w:val="0"/>
      <w:divBdr>
        <w:top w:val="none" w:sz="0" w:space="0" w:color="auto"/>
        <w:left w:val="none" w:sz="0" w:space="0" w:color="auto"/>
        <w:bottom w:val="none" w:sz="0" w:space="0" w:color="auto"/>
        <w:right w:val="none" w:sz="0" w:space="0" w:color="auto"/>
      </w:divBdr>
    </w:div>
    <w:div w:id="2055233192">
      <w:bodyDiv w:val="1"/>
      <w:marLeft w:val="0"/>
      <w:marRight w:val="0"/>
      <w:marTop w:val="0"/>
      <w:marBottom w:val="0"/>
      <w:divBdr>
        <w:top w:val="none" w:sz="0" w:space="0" w:color="auto"/>
        <w:left w:val="none" w:sz="0" w:space="0" w:color="auto"/>
        <w:bottom w:val="none" w:sz="0" w:space="0" w:color="auto"/>
        <w:right w:val="none" w:sz="0" w:space="0" w:color="auto"/>
      </w:divBdr>
      <w:divsChild>
        <w:div w:id="480848161">
          <w:marLeft w:val="0"/>
          <w:marRight w:val="0"/>
          <w:marTop w:val="0"/>
          <w:marBottom w:val="0"/>
          <w:divBdr>
            <w:top w:val="none" w:sz="0" w:space="0" w:color="auto"/>
            <w:left w:val="none" w:sz="0" w:space="0" w:color="auto"/>
            <w:bottom w:val="none" w:sz="0" w:space="0" w:color="auto"/>
            <w:right w:val="none" w:sz="0" w:space="0" w:color="auto"/>
          </w:divBdr>
        </w:div>
        <w:div w:id="1276671284">
          <w:marLeft w:val="0"/>
          <w:marRight w:val="0"/>
          <w:marTop w:val="0"/>
          <w:marBottom w:val="0"/>
          <w:divBdr>
            <w:top w:val="none" w:sz="0" w:space="0" w:color="auto"/>
            <w:left w:val="none" w:sz="0" w:space="0" w:color="auto"/>
            <w:bottom w:val="none" w:sz="0" w:space="0" w:color="auto"/>
            <w:right w:val="none" w:sz="0" w:space="0" w:color="auto"/>
          </w:divBdr>
        </w:div>
        <w:div w:id="1577396752">
          <w:marLeft w:val="0"/>
          <w:marRight w:val="0"/>
          <w:marTop w:val="0"/>
          <w:marBottom w:val="0"/>
          <w:divBdr>
            <w:top w:val="none" w:sz="0" w:space="0" w:color="auto"/>
            <w:left w:val="none" w:sz="0" w:space="0" w:color="auto"/>
            <w:bottom w:val="none" w:sz="0" w:space="0" w:color="auto"/>
            <w:right w:val="none" w:sz="0" w:space="0" w:color="auto"/>
          </w:divBdr>
        </w:div>
        <w:div w:id="1781993994">
          <w:marLeft w:val="0"/>
          <w:marRight w:val="0"/>
          <w:marTop w:val="0"/>
          <w:marBottom w:val="0"/>
          <w:divBdr>
            <w:top w:val="none" w:sz="0" w:space="0" w:color="auto"/>
            <w:left w:val="none" w:sz="0" w:space="0" w:color="auto"/>
            <w:bottom w:val="none" w:sz="0" w:space="0" w:color="auto"/>
            <w:right w:val="none" w:sz="0" w:space="0" w:color="auto"/>
          </w:divBdr>
        </w:div>
        <w:div w:id="2007584409">
          <w:marLeft w:val="0"/>
          <w:marRight w:val="0"/>
          <w:marTop w:val="0"/>
          <w:marBottom w:val="0"/>
          <w:divBdr>
            <w:top w:val="none" w:sz="0" w:space="0" w:color="auto"/>
            <w:left w:val="none" w:sz="0" w:space="0" w:color="auto"/>
            <w:bottom w:val="none" w:sz="0" w:space="0" w:color="auto"/>
            <w:right w:val="none" w:sz="0" w:space="0" w:color="auto"/>
          </w:divBdr>
        </w:div>
        <w:div w:id="2146459995">
          <w:marLeft w:val="0"/>
          <w:marRight w:val="0"/>
          <w:marTop w:val="0"/>
          <w:marBottom w:val="0"/>
          <w:divBdr>
            <w:top w:val="none" w:sz="0" w:space="0" w:color="auto"/>
            <w:left w:val="none" w:sz="0" w:space="0" w:color="auto"/>
            <w:bottom w:val="none" w:sz="0" w:space="0" w:color="auto"/>
            <w:right w:val="none" w:sz="0" w:space="0" w:color="auto"/>
          </w:divBdr>
        </w:div>
      </w:divsChild>
    </w:div>
    <w:div w:id="2086802209">
      <w:bodyDiv w:val="1"/>
      <w:marLeft w:val="0"/>
      <w:marRight w:val="0"/>
      <w:marTop w:val="0"/>
      <w:marBottom w:val="0"/>
      <w:divBdr>
        <w:top w:val="none" w:sz="0" w:space="0" w:color="auto"/>
        <w:left w:val="none" w:sz="0" w:space="0" w:color="auto"/>
        <w:bottom w:val="none" w:sz="0" w:space="0" w:color="auto"/>
        <w:right w:val="none" w:sz="0" w:space="0" w:color="auto"/>
      </w:divBdr>
    </w:div>
    <w:div w:id="2124491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14.jpeg"/><Relationship Id="rId42" Type="http://schemas.openxmlformats.org/officeDocument/2006/relationships/chart" Target="charts/chart9.xml"/><Relationship Id="rId47" Type="http://schemas.openxmlformats.org/officeDocument/2006/relationships/image" Target="media/image28.jpeg"/><Relationship Id="rId63" Type="http://schemas.openxmlformats.org/officeDocument/2006/relationships/image" Target="media/image44.png"/><Relationship Id="rId68" Type="http://schemas.openxmlformats.org/officeDocument/2006/relationships/chart" Target="charts/chart14.xml"/><Relationship Id="rId84"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2.emf"/><Relationship Id="rId37" Type="http://schemas.openxmlformats.org/officeDocument/2006/relationships/chart" Target="charts/chart5.xml"/><Relationship Id="rId53" Type="http://schemas.openxmlformats.org/officeDocument/2006/relationships/image" Target="media/image34.jpeg"/><Relationship Id="rId58" Type="http://schemas.openxmlformats.org/officeDocument/2006/relationships/image" Target="media/image39.jpeg"/><Relationship Id="rId74" Type="http://schemas.openxmlformats.org/officeDocument/2006/relationships/chart" Target="charts/chart19.xml"/><Relationship Id="rId79"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chart" Target="charts/chart10.xml"/><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png"/><Relationship Id="rId69" Type="http://schemas.openxmlformats.org/officeDocument/2006/relationships/chart" Target="charts/chart15.xml"/><Relationship Id="rId77"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chart" Target="charts/chart17.xml"/><Relationship Id="rId80" Type="http://schemas.openxmlformats.org/officeDocument/2006/relationships/footer" Target="footer2.xml"/><Relationship Id="rId85" Type="http://schemas.microsoft.com/office/2016/09/relationships/commentsIds" Target="commentsIds.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chart" Target="charts/chart2.xml"/><Relationship Id="rId33" Type="http://schemas.openxmlformats.org/officeDocument/2006/relationships/image" Target="media/image23.emf"/><Relationship Id="rId38" Type="http://schemas.openxmlformats.org/officeDocument/2006/relationships/chart" Target="charts/chart6.xml"/><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chart" Target="charts/chart13.xml"/><Relationship Id="rId20" Type="http://schemas.openxmlformats.org/officeDocument/2006/relationships/image" Target="media/image13.png"/><Relationship Id="rId41" Type="http://schemas.openxmlformats.org/officeDocument/2006/relationships/image" Target="media/image26.jpeg"/><Relationship Id="rId54" Type="http://schemas.openxmlformats.org/officeDocument/2006/relationships/image" Target="media/image35.jpeg"/><Relationship Id="rId62" Type="http://schemas.openxmlformats.org/officeDocument/2006/relationships/image" Target="media/image43.png"/><Relationship Id="rId70" Type="http://schemas.openxmlformats.org/officeDocument/2006/relationships/image" Target="media/image48.jpeg"/><Relationship Id="rId75" Type="http://schemas.openxmlformats.org/officeDocument/2006/relationships/chart" Target="charts/chart20.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1.xml"/><Relationship Id="rId28" Type="http://schemas.openxmlformats.org/officeDocument/2006/relationships/image" Target="media/image18.emf"/><Relationship Id="rId36" Type="http://schemas.openxmlformats.org/officeDocument/2006/relationships/chart" Target="charts/chart4.xml"/><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image" Target="media/image3.jpeg"/><Relationship Id="rId31" Type="http://schemas.openxmlformats.org/officeDocument/2006/relationships/image" Target="media/image21.emf"/><Relationship Id="rId44" Type="http://schemas.openxmlformats.org/officeDocument/2006/relationships/chart" Target="charts/chart11.xml"/><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png"/><Relationship Id="rId73" Type="http://schemas.openxmlformats.org/officeDocument/2006/relationships/chart" Target="charts/chart18.xml"/><Relationship Id="rId78" Type="http://schemas.openxmlformats.org/officeDocument/2006/relationships/footer" Target="footer1.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chart" Target="charts/chart7.xml"/><Relationship Id="rId34" Type="http://schemas.openxmlformats.org/officeDocument/2006/relationships/image" Target="media/image24.emf"/><Relationship Id="rId50" Type="http://schemas.openxmlformats.org/officeDocument/2006/relationships/image" Target="media/image31.png"/><Relationship Id="rId55" Type="http://schemas.openxmlformats.org/officeDocument/2006/relationships/image" Target="media/image36.jpeg"/><Relationship Id="rId76" Type="http://schemas.openxmlformats.org/officeDocument/2006/relationships/image" Target="media/image49.jpeg"/><Relationship Id="rId7" Type="http://schemas.openxmlformats.org/officeDocument/2006/relationships/endnotes" Target="endnotes.xml"/><Relationship Id="rId71" Type="http://schemas.openxmlformats.org/officeDocument/2006/relationships/chart" Target="charts/chart16.xml"/><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6.png"/><Relationship Id="rId40" Type="http://schemas.openxmlformats.org/officeDocument/2006/relationships/chart" Target="charts/chart8.xml"/><Relationship Id="rId45" Type="http://schemas.openxmlformats.org/officeDocument/2006/relationships/chart" Target="charts/chart12.xml"/><Relationship Id="rId66" Type="http://schemas.openxmlformats.org/officeDocument/2006/relationships/image" Target="media/image47.png"/><Relationship Id="rId61" Type="http://schemas.openxmlformats.org/officeDocument/2006/relationships/image" Target="media/image42.png"/><Relationship Id="rId8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50.jpeg"/></Relationships>
</file>

<file path=word/_rels/header2.xml.rels><?xml version="1.0" encoding="UTF-8" standalone="yes"?>
<Relationships xmlns="http://schemas.openxmlformats.org/package/2006/relationships"><Relationship Id="rId1" Type="http://schemas.openxmlformats.org/officeDocument/2006/relationships/image" Target="media/image50.jpeg"/></Relationships>
</file>

<file path=word/_rels/header3.xml.rels><?xml version="1.0" encoding="UTF-8" standalone="yes"?>
<Relationships xmlns="http://schemas.openxmlformats.org/package/2006/relationships"><Relationship Id="rId1" Type="http://schemas.openxmlformats.org/officeDocument/2006/relationships/image" Target="media/image5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file:///D:\JULITA\wojtek_diaagnoza\wielkopolska\wielkopolska_dane_obszarIII_WRPO\umowydo3.09.2018_wg_wojewodztw_wykresy_plus_aktualizacja.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D:\JULITA\wojtek_diaagnoza\wielkopolska\wielkopolska_dane_obszarIII_WRPO\umowydo3.09.2018_wg_wojewodztw_wykresy_plus_aktualizacja.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Iza\Downloads\RACH_3501_XTAB_20190217234704.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D:\A%20PROJEKTY%202018\2018%20WIELKOPOLSKA\ANKIETA%20URZ&#260;D%20MARSZA&#321;KOWSKI%20WW.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D:\A%20PROJEKTY%202019\2019%20WIELKOPOLSKA\Ankieta%20Marsza&#322;kowie%20wyniki.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D:\A%20PROJEKTY%202019\2019%20WIELKOPOLSKA\Ankieta%20Marsza&#322;kowie%20wyniki.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D:\A%20PROJEKTY%202018\2018%20WIELKOPOLSKA\ANKIETA%20URZ&#260;D%20MARSZA&#321;KOWSKI%20WW.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D:\A%20PROJEKTY%202018\2018%20WIELKOPOLSKA\ANKIETA%20URZ&#260;D%20MARSZA&#321;KOWSKI%20WW.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D:\A%20PROJEKTY%202018\2018%20WIELKOPOLSKA\ANKIETA%20URZ&#260;D%20MARSZA&#321;KOWSKI%20WW.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D:\A%20PROJEKTY%202018\2018%20WIELKOPOLSKA\ANKIETA%20URZ&#260;D%20MARSZA&#321;KOWSKI%20WW.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wielkopolska\SWOT.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oleObject" Target="file:///D:\A%20PROJEKTY%202018\2018%20WIELKOPOLSKA\ANKIETA%20URZ&#260;D%20MARSZA&#321;KOWSKI%20WW.xlsx" TargetMode="External"/><Relationship Id="rId2" Type="http://schemas.microsoft.com/office/2011/relationships/chartColorStyle" Target="colors19.xml"/><Relationship Id="rId1" Type="http://schemas.microsoft.com/office/2011/relationships/chartStyle" Target="style1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wielkopolska\SWOT.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Documents\JULITA\wojtek_diaagnoza\wielkopolska\bazy_finansowe\FINA_1571_XTAB_20190125232808.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Documents\JULITA\wojtek_diaagnoza\wielkopolska\bazy_finansowe\FINA_1571_XTAB_20190125232808.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D:\JULITA\wojtek_diaagnoza\wielkopolska\wielkopolska_dane_obszarIII_WRPO\umowydo3.09.2018_wg_wojewodztw_wykresy_plus_aktualizacja.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D:\Documents\JULITA\wojtek_diaagnoza\wielkopolska\wielkopolska_dane_obszarIII_WRPO\wlkp_umowy_dokonca2018.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D:\Documents\JULITA\wojtek_diaagnoza\wielkopolska\bazy_finansowe\FINA_1571_XTAB_20190125232808.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D:\Documents\JULITA\wojtek_diaagnoza\wielkopolska\bazy_finansowe\FINA_1571_XTAB_20190125232808.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033245844269473"/>
          <c:y val="6.2136290992242819E-2"/>
          <c:w val="0.61610498687664039"/>
          <c:h val="0.84784250644583681"/>
        </c:manualLayout>
      </c:layout>
      <c:barChart>
        <c:barDir val="bar"/>
        <c:grouping val="stacked"/>
        <c:varyColors val="0"/>
        <c:ser>
          <c:idx val="0"/>
          <c:order val="0"/>
          <c:tx>
            <c:v>S</c:v>
          </c:tx>
          <c:spPr>
            <a:solidFill>
              <a:srgbClr val="FF0000"/>
            </a:solidFill>
            <a:ln>
              <a:noFill/>
            </a:ln>
            <a:effectLst/>
          </c:spPr>
          <c:invertIfNegative val="0"/>
          <c:cat>
            <c:strRef>
              <c:f>Arkusz1!$A$47:$A$61</c:f>
              <c:strCache>
                <c:ptCount val="15"/>
                <c:pt idx="0">
                  <c:v>kujawsko-pomorskie (26)</c:v>
                </c:pt>
                <c:pt idx="1">
                  <c:v>pomorskie (30)</c:v>
                </c:pt>
                <c:pt idx="2">
                  <c:v>lubelskie (37)</c:v>
                </c:pt>
                <c:pt idx="3">
                  <c:v>mazowieckie (61)</c:v>
                </c:pt>
                <c:pt idx="4">
                  <c:v>podlaskie (62)</c:v>
                </c:pt>
                <c:pt idx="5">
                  <c:v>świętokrzyskie (72)</c:v>
                </c:pt>
                <c:pt idx="6">
                  <c:v>WARMIŃSKO-MAZURSKIE (76)</c:v>
                </c:pt>
                <c:pt idx="7">
                  <c:v>OPOLSKIE (109)</c:v>
                </c:pt>
                <c:pt idx="8">
                  <c:v>LUBUSKIE (115)</c:v>
                </c:pt>
                <c:pt idx="9">
                  <c:v>PODKARPACKIE (171)</c:v>
                </c:pt>
                <c:pt idx="10">
                  <c:v>ZACHODNIOPOMORSKIE (171)</c:v>
                </c:pt>
                <c:pt idx="11">
                  <c:v>ŁÓDZKIE (176)</c:v>
                </c:pt>
                <c:pt idx="12">
                  <c:v>ŚLĄSKIE (178)</c:v>
                </c:pt>
                <c:pt idx="13">
                  <c:v>WIELKOPOLSKIE (198)</c:v>
                </c:pt>
                <c:pt idx="14">
                  <c:v>DOLNOŚLĄSKIE (230)</c:v>
                </c:pt>
              </c:strCache>
            </c:strRef>
          </c:cat>
          <c:val>
            <c:numRef>
              <c:f>Arkusz1!$B$47:$B$61</c:f>
              <c:numCache>
                <c:formatCode>General</c:formatCode>
                <c:ptCount val="15"/>
                <c:pt idx="0">
                  <c:v>3</c:v>
                </c:pt>
                <c:pt idx="1">
                  <c:v>8</c:v>
                </c:pt>
                <c:pt idx="2">
                  <c:v>6</c:v>
                </c:pt>
                <c:pt idx="3">
                  <c:v>12</c:v>
                </c:pt>
                <c:pt idx="4">
                  <c:v>11</c:v>
                </c:pt>
                <c:pt idx="5">
                  <c:v>12</c:v>
                </c:pt>
                <c:pt idx="6">
                  <c:v>23</c:v>
                </c:pt>
                <c:pt idx="7">
                  <c:v>31</c:v>
                </c:pt>
                <c:pt idx="8">
                  <c:v>38</c:v>
                </c:pt>
                <c:pt idx="9">
                  <c:v>40</c:v>
                </c:pt>
                <c:pt idx="10">
                  <c:v>46</c:v>
                </c:pt>
                <c:pt idx="11">
                  <c:v>37</c:v>
                </c:pt>
                <c:pt idx="12">
                  <c:v>45</c:v>
                </c:pt>
                <c:pt idx="13">
                  <c:v>49</c:v>
                </c:pt>
                <c:pt idx="14">
                  <c:v>61</c:v>
                </c:pt>
              </c:numCache>
            </c:numRef>
          </c:val>
          <c:extLst xmlns:c16r2="http://schemas.microsoft.com/office/drawing/2015/06/chart">
            <c:ext xmlns:c16="http://schemas.microsoft.com/office/drawing/2014/chart" uri="{C3380CC4-5D6E-409C-BE32-E72D297353CC}">
              <c16:uniqueId val="{00000000-1637-45D7-AD31-CF5C349838E5}"/>
            </c:ext>
          </c:extLst>
        </c:ser>
        <c:ser>
          <c:idx val="1"/>
          <c:order val="1"/>
          <c:tx>
            <c:v>W</c:v>
          </c:tx>
          <c:spPr>
            <a:solidFill>
              <a:srgbClr val="00B0F0"/>
            </a:solidFill>
            <a:ln>
              <a:noFill/>
            </a:ln>
            <a:effectLst/>
          </c:spPr>
          <c:invertIfNegative val="0"/>
          <c:cat>
            <c:strRef>
              <c:f>Arkusz1!$A$47:$A$61</c:f>
              <c:strCache>
                <c:ptCount val="15"/>
                <c:pt idx="0">
                  <c:v>kujawsko-pomorskie (26)</c:v>
                </c:pt>
                <c:pt idx="1">
                  <c:v>pomorskie (30)</c:v>
                </c:pt>
                <c:pt idx="2">
                  <c:v>lubelskie (37)</c:v>
                </c:pt>
                <c:pt idx="3">
                  <c:v>mazowieckie (61)</c:v>
                </c:pt>
                <c:pt idx="4">
                  <c:v>podlaskie (62)</c:v>
                </c:pt>
                <c:pt idx="5">
                  <c:v>świętokrzyskie (72)</c:v>
                </c:pt>
                <c:pt idx="6">
                  <c:v>WARMIŃSKO-MAZURSKIE (76)</c:v>
                </c:pt>
                <c:pt idx="7">
                  <c:v>OPOLSKIE (109)</c:v>
                </c:pt>
                <c:pt idx="8">
                  <c:v>LUBUSKIE (115)</c:v>
                </c:pt>
                <c:pt idx="9">
                  <c:v>PODKARPACKIE (171)</c:v>
                </c:pt>
                <c:pt idx="10">
                  <c:v>ZACHODNIOPOMORSKIE (171)</c:v>
                </c:pt>
                <c:pt idx="11">
                  <c:v>ŁÓDZKIE (176)</c:v>
                </c:pt>
                <c:pt idx="12">
                  <c:v>ŚLĄSKIE (178)</c:v>
                </c:pt>
                <c:pt idx="13">
                  <c:v>WIELKOPOLSKIE (198)</c:v>
                </c:pt>
                <c:pt idx="14">
                  <c:v>DOLNOŚLĄSKIE (230)</c:v>
                </c:pt>
              </c:strCache>
            </c:strRef>
          </c:cat>
          <c:val>
            <c:numRef>
              <c:f>Arkusz1!$C$47:$C$61</c:f>
              <c:numCache>
                <c:formatCode>General</c:formatCode>
                <c:ptCount val="15"/>
                <c:pt idx="0">
                  <c:v>10</c:v>
                </c:pt>
                <c:pt idx="1">
                  <c:v>10</c:v>
                </c:pt>
                <c:pt idx="2">
                  <c:v>15</c:v>
                </c:pt>
                <c:pt idx="3">
                  <c:v>14</c:v>
                </c:pt>
                <c:pt idx="4">
                  <c:v>24</c:v>
                </c:pt>
                <c:pt idx="5">
                  <c:v>18</c:v>
                </c:pt>
                <c:pt idx="6">
                  <c:v>28</c:v>
                </c:pt>
                <c:pt idx="7">
                  <c:v>36</c:v>
                </c:pt>
                <c:pt idx="8">
                  <c:v>45</c:v>
                </c:pt>
                <c:pt idx="9">
                  <c:v>52</c:v>
                </c:pt>
                <c:pt idx="10">
                  <c:v>53</c:v>
                </c:pt>
                <c:pt idx="11">
                  <c:v>63</c:v>
                </c:pt>
                <c:pt idx="12">
                  <c:v>49</c:v>
                </c:pt>
                <c:pt idx="13">
                  <c:v>69</c:v>
                </c:pt>
                <c:pt idx="14">
                  <c:v>62</c:v>
                </c:pt>
              </c:numCache>
            </c:numRef>
          </c:val>
          <c:extLst xmlns:c16r2="http://schemas.microsoft.com/office/drawing/2015/06/chart">
            <c:ext xmlns:c16="http://schemas.microsoft.com/office/drawing/2014/chart" uri="{C3380CC4-5D6E-409C-BE32-E72D297353CC}">
              <c16:uniqueId val="{00000001-1637-45D7-AD31-CF5C349838E5}"/>
            </c:ext>
          </c:extLst>
        </c:ser>
        <c:ser>
          <c:idx val="2"/>
          <c:order val="2"/>
          <c:tx>
            <c:v>O</c:v>
          </c:tx>
          <c:spPr>
            <a:solidFill>
              <a:srgbClr val="92D050"/>
            </a:solidFill>
            <a:ln>
              <a:noFill/>
            </a:ln>
            <a:effectLst/>
          </c:spPr>
          <c:invertIfNegative val="0"/>
          <c:cat>
            <c:strRef>
              <c:f>Arkusz1!$A$47:$A$61</c:f>
              <c:strCache>
                <c:ptCount val="15"/>
                <c:pt idx="0">
                  <c:v>kujawsko-pomorskie (26)</c:v>
                </c:pt>
                <c:pt idx="1">
                  <c:v>pomorskie (30)</c:v>
                </c:pt>
                <c:pt idx="2">
                  <c:v>lubelskie (37)</c:v>
                </c:pt>
                <c:pt idx="3">
                  <c:v>mazowieckie (61)</c:v>
                </c:pt>
                <c:pt idx="4">
                  <c:v>podlaskie (62)</c:v>
                </c:pt>
                <c:pt idx="5">
                  <c:v>świętokrzyskie (72)</c:v>
                </c:pt>
                <c:pt idx="6">
                  <c:v>WARMIŃSKO-MAZURSKIE (76)</c:v>
                </c:pt>
                <c:pt idx="7">
                  <c:v>OPOLSKIE (109)</c:v>
                </c:pt>
                <c:pt idx="8">
                  <c:v>LUBUSKIE (115)</c:v>
                </c:pt>
                <c:pt idx="9">
                  <c:v>PODKARPACKIE (171)</c:v>
                </c:pt>
                <c:pt idx="10">
                  <c:v>ZACHODNIOPOMORSKIE (171)</c:v>
                </c:pt>
                <c:pt idx="11">
                  <c:v>ŁÓDZKIE (176)</c:v>
                </c:pt>
                <c:pt idx="12">
                  <c:v>ŚLĄSKIE (178)</c:v>
                </c:pt>
                <c:pt idx="13">
                  <c:v>WIELKOPOLSKIE (198)</c:v>
                </c:pt>
                <c:pt idx="14">
                  <c:v>DOLNOŚLĄSKIE (230)</c:v>
                </c:pt>
              </c:strCache>
            </c:strRef>
          </c:cat>
          <c:val>
            <c:numRef>
              <c:f>Arkusz1!$D$47:$D$61</c:f>
              <c:numCache>
                <c:formatCode>General</c:formatCode>
                <c:ptCount val="15"/>
                <c:pt idx="0">
                  <c:v>6</c:v>
                </c:pt>
                <c:pt idx="1">
                  <c:v>6</c:v>
                </c:pt>
                <c:pt idx="2">
                  <c:v>12</c:v>
                </c:pt>
                <c:pt idx="3">
                  <c:v>16</c:v>
                </c:pt>
                <c:pt idx="4">
                  <c:v>16</c:v>
                </c:pt>
                <c:pt idx="5">
                  <c:v>24</c:v>
                </c:pt>
                <c:pt idx="6">
                  <c:v>17</c:v>
                </c:pt>
                <c:pt idx="7">
                  <c:v>26</c:v>
                </c:pt>
                <c:pt idx="8">
                  <c:v>16</c:v>
                </c:pt>
                <c:pt idx="9">
                  <c:v>41</c:v>
                </c:pt>
                <c:pt idx="10">
                  <c:v>41</c:v>
                </c:pt>
                <c:pt idx="11">
                  <c:v>46</c:v>
                </c:pt>
                <c:pt idx="12">
                  <c:v>39</c:v>
                </c:pt>
                <c:pt idx="13">
                  <c:v>44</c:v>
                </c:pt>
                <c:pt idx="14">
                  <c:v>58</c:v>
                </c:pt>
              </c:numCache>
            </c:numRef>
          </c:val>
          <c:extLst xmlns:c16r2="http://schemas.microsoft.com/office/drawing/2015/06/chart">
            <c:ext xmlns:c16="http://schemas.microsoft.com/office/drawing/2014/chart" uri="{C3380CC4-5D6E-409C-BE32-E72D297353CC}">
              <c16:uniqueId val="{00000002-1637-45D7-AD31-CF5C349838E5}"/>
            </c:ext>
          </c:extLst>
        </c:ser>
        <c:ser>
          <c:idx val="3"/>
          <c:order val="3"/>
          <c:tx>
            <c:v>T</c:v>
          </c:tx>
          <c:spPr>
            <a:solidFill>
              <a:schemeClr val="tx1">
                <a:lumMod val="65000"/>
                <a:lumOff val="35000"/>
              </a:schemeClr>
            </a:solidFill>
            <a:ln>
              <a:noFill/>
            </a:ln>
            <a:effectLst/>
          </c:spPr>
          <c:invertIfNegative val="0"/>
          <c:cat>
            <c:strRef>
              <c:f>Arkusz1!$A$47:$A$61</c:f>
              <c:strCache>
                <c:ptCount val="15"/>
                <c:pt idx="0">
                  <c:v>kujawsko-pomorskie (26)</c:v>
                </c:pt>
                <c:pt idx="1">
                  <c:v>pomorskie (30)</c:v>
                </c:pt>
                <c:pt idx="2">
                  <c:v>lubelskie (37)</c:v>
                </c:pt>
                <c:pt idx="3">
                  <c:v>mazowieckie (61)</c:v>
                </c:pt>
                <c:pt idx="4">
                  <c:v>podlaskie (62)</c:v>
                </c:pt>
                <c:pt idx="5">
                  <c:v>świętokrzyskie (72)</c:v>
                </c:pt>
                <c:pt idx="6">
                  <c:v>WARMIŃSKO-MAZURSKIE (76)</c:v>
                </c:pt>
                <c:pt idx="7">
                  <c:v>OPOLSKIE (109)</c:v>
                </c:pt>
                <c:pt idx="8">
                  <c:v>LUBUSKIE (115)</c:v>
                </c:pt>
                <c:pt idx="9">
                  <c:v>PODKARPACKIE (171)</c:v>
                </c:pt>
                <c:pt idx="10">
                  <c:v>ZACHODNIOPOMORSKIE (171)</c:v>
                </c:pt>
                <c:pt idx="11">
                  <c:v>ŁÓDZKIE (176)</c:v>
                </c:pt>
                <c:pt idx="12">
                  <c:v>ŚLĄSKIE (178)</c:v>
                </c:pt>
                <c:pt idx="13">
                  <c:v>WIELKOPOLSKIE (198)</c:v>
                </c:pt>
                <c:pt idx="14">
                  <c:v>DOLNOŚLĄSKIE (230)</c:v>
                </c:pt>
              </c:strCache>
            </c:strRef>
          </c:cat>
          <c:val>
            <c:numRef>
              <c:f>Arkusz1!$E$47:$E$61</c:f>
              <c:numCache>
                <c:formatCode>General</c:formatCode>
                <c:ptCount val="15"/>
                <c:pt idx="0">
                  <c:v>7</c:v>
                </c:pt>
                <c:pt idx="1">
                  <c:v>6</c:v>
                </c:pt>
                <c:pt idx="2">
                  <c:v>4</c:v>
                </c:pt>
                <c:pt idx="3">
                  <c:v>19</c:v>
                </c:pt>
                <c:pt idx="4">
                  <c:v>11</c:v>
                </c:pt>
                <c:pt idx="5">
                  <c:v>18</c:v>
                </c:pt>
                <c:pt idx="6">
                  <c:v>8</c:v>
                </c:pt>
                <c:pt idx="7">
                  <c:v>16</c:v>
                </c:pt>
                <c:pt idx="8">
                  <c:v>16</c:v>
                </c:pt>
                <c:pt idx="9">
                  <c:v>38</c:v>
                </c:pt>
                <c:pt idx="10">
                  <c:v>31</c:v>
                </c:pt>
                <c:pt idx="11">
                  <c:v>30</c:v>
                </c:pt>
                <c:pt idx="12">
                  <c:v>45</c:v>
                </c:pt>
                <c:pt idx="13">
                  <c:v>36</c:v>
                </c:pt>
                <c:pt idx="14">
                  <c:v>49</c:v>
                </c:pt>
              </c:numCache>
            </c:numRef>
          </c:val>
          <c:extLst xmlns:c16r2="http://schemas.microsoft.com/office/drawing/2015/06/chart">
            <c:ext xmlns:c16="http://schemas.microsoft.com/office/drawing/2014/chart" uri="{C3380CC4-5D6E-409C-BE32-E72D297353CC}">
              <c16:uniqueId val="{00000003-1637-45D7-AD31-CF5C349838E5}"/>
            </c:ext>
          </c:extLst>
        </c:ser>
        <c:dLbls>
          <c:showLegendKey val="0"/>
          <c:showVal val="0"/>
          <c:showCatName val="0"/>
          <c:showSerName val="0"/>
          <c:showPercent val="0"/>
          <c:showBubbleSize val="0"/>
        </c:dLbls>
        <c:gapWidth val="64"/>
        <c:overlap val="100"/>
        <c:axId val="-1115328496"/>
        <c:axId val="-1115329040"/>
      </c:barChart>
      <c:catAx>
        <c:axId val="-1115328496"/>
        <c:scaling>
          <c:orientation val="minMax"/>
        </c:scaling>
        <c:delete val="0"/>
        <c:axPos val="l"/>
        <c:numFmt formatCode="General" sourceLinked="1"/>
        <c:majorTickMark val="none"/>
        <c:minorTickMark val="none"/>
        <c:tickLblPos val="nextTo"/>
        <c:spPr>
          <a:noFill/>
          <a:ln w="9510" cap="flat" cmpd="sng" algn="ctr">
            <a:solidFill>
              <a:schemeClr val="tx1">
                <a:lumMod val="15000"/>
                <a:lumOff val="85000"/>
              </a:schemeClr>
            </a:solidFill>
            <a:round/>
          </a:ln>
          <a:effectLst/>
        </c:spPr>
        <c:txPr>
          <a:bodyPr rot="-60000000" spcFirstLastPara="1" vertOverflow="ellipsis" vert="horz" wrap="square" anchor="ctr" anchorCtr="1"/>
          <a:lstStyle/>
          <a:p>
            <a:pPr>
              <a:defRPr sz="799" b="0" i="0" u="none" strike="noStrike" kern="1200" baseline="0">
                <a:solidFill>
                  <a:schemeClr val="tx1">
                    <a:lumMod val="65000"/>
                    <a:lumOff val="35000"/>
                  </a:schemeClr>
                </a:solidFill>
                <a:latin typeface="+mn-lt"/>
                <a:ea typeface="+mn-ea"/>
                <a:cs typeface="+mn-cs"/>
              </a:defRPr>
            </a:pPr>
            <a:endParaRPr lang="pl-PL"/>
          </a:p>
        </c:txPr>
        <c:crossAx val="-1115329040"/>
        <c:crosses val="autoZero"/>
        <c:auto val="1"/>
        <c:lblAlgn val="ctr"/>
        <c:lblOffset val="100"/>
        <c:noMultiLvlLbl val="0"/>
      </c:catAx>
      <c:valAx>
        <c:axId val="-1115329040"/>
        <c:scaling>
          <c:orientation val="minMax"/>
        </c:scaling>
        <c:delete val="0"/>
        <c:axPos val="b"/>
        <c:majorGridlines>
          <c:spPr>
            <a:ln w="951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99" b="0" i="0" u="none" strike="noStrike" kern="1200" baseline="0">
                <a:solidFill>
                  <a:schemeClr val="tx1">
                    <a:lumMod val="65000"/>
                    <a:lumOff val="35000"/>
                  </a:schemeClr>
                </a:solidFill>
                <a:latin typeface="+mn-lt"/>
                <a:ea typeface="+mn-ea"/>
                <a:cs typeface="+mn-cs"/>
              </a:defRPr>
            </a:pPr>
            <a:endParaRPr lang="pl-PL"/>
          </a:p>
        </c:txPr>
        <c:crossAx val="-1115328496"/>
        <c:crosses val="autoZero"/>
        <c:crossBetween val="between"/>
      </c:valAx>
      <c:spPr>
        <a:noFill/>
        <a:ln w="25359">
          <a:noFill/>
        </a:ln>
      </c:spPr>
    </c:plotArea>
    <c:legend>
      <c:legendPos val="r"/>
      <c:layout>
        <c:manualLayout>
          <c:xMode val="edge"/>
          <c:yMode val="edge"/>
          <c:x val="0.73793103448275865"/>
          <c:y val="0.63455149501661123"/>
          <c:w val="0.20689655172413793"/>
          <c:h val="0.10299003322259137"/>
        </c:manualLayout>
      </c:layout>
      <c:overlay val="0"/>
      <c:spPr>
        <a:solidFill>
          <a:schemeClr val="bg1"/>
        </a:solid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a:noFill/>
    </a:ln>
    <a:effectLst/>
  </c:spPr>
  <c:txPr>
    <a:bodyPr/>
    <a:lstStyle/>
    <a:p>
      <a:pPr>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2268803478217"/>
          <c:y val="5.0925925925925923E-2"/>
          <c:w val="0.86816782733618969"/>
          <c:h val="0.50111806537003389"/>
        </c:manualLayout>
      </c:layout>
      <c:barChart>
        <c:barDir val="col"/>
        <c:grouping val="clustered"/>
        <c:varyColors val="0"/>
        <c:ser>
          <c:idx val="0"/>
          <c:order val="0"/>
          <c:spPr>
            <a:solidFill>
              <a:srgbClr val="002060"/>
            </a:solidFill>
            <a:ln>
              <a:noFill/>
            </a:ln>
            <a:effectLst/>
          </c:spPr>
          <c:invertIfNegative val="0"/>
          <c:dPt>
            <c:idx val="14"/>
            <c:invertIfNegative val="0"/>
            <c:bubble3D val="0"/>
            <c:spPr>
              <a:solidFill>
                <a:srgbClr val="FF0000"/>
              </a:solidFill>
              <a:ln>
                <a:solidFill>
                  <a:srgbClr val="FF0000"/>
                </a:solidFill>
              </a:ln>
              <a:effectLst/>
            </c:spPr>
          </c:dPt>
          <c:cat>
            <c:strRef>
              <c:f>RPO!$A$142:$A$157</c:f>
              <c:strCache>
                <c:ptCount val="16"/>
                <c:pt idx="0">
                  <c:v>WARMIŃSKO-MAZURSKIE</c:v>
                </c:pt>
                <c:pt idx="1">
                  <c:v>ŚWIĘTOKRZYSKIE</c:v>
                </c:pt>
                <c:pt idx="2">
                  <c:v>LUBELSKIE</c:v>
                </c:pt>
                <c:pt idx="3">
                  <c:v>PODLASKIE</c:v>
                </c:pt>
                <c:pt idx="4">
                  <c:v>PODKARPACKIE</c:v>
                </c:pt>
                <c:pt idx="5">
                  <c:v>OPOLSKIE</c:v>
                </c:pt>
                <c:pt idx="6">
                  <c:v>ZACHODNIOPOMORSKIE</c:v>
                </c:pt>
                <c:pt idx="7">
                  <c:v>KUJAWSKO-POMORSKIE</c:v>
                </c:pt>
                <c:pt idx="8">
                  <c:v>ŁÓDZKIE</c:v>
                </c:pt>
                <c:pt idx="9">
                  <c:v>LUBUSKIE</c:v>
                </c:pt>
                <c:pt idx="10">
                  <c:v>MAŁOPOLSKIE</c:v>
                </c:pt>
                <c:pt idx="11">
                  <c:v>POMORSKIE</c:v>
                </c:pt>
                <c:pt idx="12">
                  <c:v>DOLNOŚLĄSKIE</c:v>
                </c:pt>
                <c:pt idx="13">
                  <c:v>ŚLĄSKIE</c:v>
                </c:pt>
                <c:pt idx="14">
                  <c:v>WIELKOPOLSKIE</c:v>
                </c:pt>
                <c:pt idx="15">
                  <c:v>MAZOWIECKIE</c:v>
                </c:pt>
              </c:strCache>
            </c:strRef>
          </c:cat>
          <c:val>
            <c:numRef>
              <c:f>RPO!$D$142:$D$157</c:f>
              <c:numCache>
                <c:formatCode>General</c:formatCode>
                <c:ptCount val="16"/>
                <c:pt idx="0">
                  <c:v>5172.4804807032342</c:v>
                </c:pt>
                <c:pt idx="1">
                  <c:v>4693.3758881865651</c:v>
                </c:pt>
                <c:pt idx="2">
                  <c:v>4502.7999585849138</c:v>
                </c:pt>
                <c:pt idx="3">
                  <c:v>4396.8400315843683</c:v>
                </c:pt>
                <c:pt idx="4">
                  <c:v>4261.57840422556</c:v>
                </c:pt>
                <c:pt idx="5">
                  <c:v>4096.1021667653458</c:v>
                </c:pt>
                <c:pt idx="6">
                  <c:v>4029.1675501943382</c:v>
                </c:pt>
                <c:pt idx="7">
                  <c:v>3921.9650147527723</c:v>
                </c:pt>
                <c:pt idx="8">
                  <c:v>3909.8662253929729</c:v>
                </c:pt>
                <c:pt idx="9">
                  <c:v>3827.7507695261361</c:v>
                </c:pt>
                <c:pt idx="10">
                  <c:v>3642.2198825950495</c:v>
                </c:pt>
                <c:pt idx="11">
                  <c:v>3443.2709217450265</c:v>
                </c:pt>
                <c:pt idx="12">
                  <c:v>3330.5331287839267</c:v>
                </c:pt>
                <c:pt idx="13">
                  <c:v>3280.7899872640041</c:v>
                </c:pt>
                <c:pt idx="14">
                  <c:v>3013.6637975923486</c:v>
                </c:pt>
                <c:pt idx="15">
                  <c:v>1665.625974185499</c:v>
                </c:pt>
              </c:numCache>
            </c:numRef>
          </c:val>
        </c:ser>
        <c:dLbls>
          <c:showLegendKey val="0"/>
          <c:showVal val="0"/>
          <c:showCatName val="0"/>
          <c:showSerName val="0"/>
          <c:showPercent val="0"/>
          <c:showBubbleSize val="0"/>
        </c:dLbls>
        <c:gapWidth val="219"/>
        <c:overlap val="-27"/>
        <c:axId val="-1508561504"/>
        <c:axId val="-1508560960"/>
      </c:barChart>
      <c:catAx>
        <c:axId val="-150856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pl-PL"/>
          </a:p>
        </c:txPr>
        <c:crossAx val="-1508560960"/>
        <c:crosses val="autoZero"/>
        <c:auto val="1"/>
        <c:lblAlgn val="ctr"/>
        <c:lblOffset val="100"/>
        <c:noMultiLvlLbl val="0"/>
      </c:catAx>
      <c:valAx>
        <c:axId val="-150856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508561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09771855441143E-2"/>
          <c:y val="5.0925925925925923E-2"/>
          <c:w val="0.90178595464028533"/>
          <c:h val="0.53281313794109075"/>
        </c:manualLayout>
      </c:layout>
      <c:barChart>
        <c:barDir val="col"/>
        <c:grouping val="clustered"/>
        <c:varyColors val="0"/>
        <c:ser>
          <c:idx val="0"/>
          <c:order val="0"/>
          <c:tx>
            <c:strRef>
              <c:f>RPO!$B$84</c:f>
              <c:strCache>
                <c:ptCount val="1"/>
                <c:pt idx="0">
                  <c:v>umowy o dofinansowanie</c:v>
                </c:pt>
              </c:strCache>
            </c:strRef>
          </c:tx>
          <c:spPr>
            <a:solidFill>
              <a:schemeClr val="accent1"/>
            </a:solidFill>
            <a:ln w="9525">
              <a:solidFill>
                <a:srgbClr val="4E93D2"/>
              </a:solidFill>
            </a:ln>
            <a:effectLst/>
          </c:spPr>
          <c:invertIfNegative val="0"/>
          <c:dPt>
            <c:idx val="2"/>
            <c:invertIfNegative val="0"/>
            <c:bubble3D val="0"/>
            <c:spPr>
              <a:solidFill>
                <a:srgbClr val="FF0000"/>
              </a:solidFill>
              <a:ln w="9525">
                <a:solidFill>
                  <a:srgbClr val="FF0000"/>
                </a:solidFill>
              </a:ln>
              <a:effectLst/>
            </c:spPr>
            <c:extLst xmlns:c16r2="http://schemas.microsoft.com/office/drawing/2015/06/chart">
              <c:ext xmlns:c16="http://schemas.microsoft.com/office/drawing/2014/chart" uri="{C3380CC4-5D6E-409C-BE32-E72D297353CC}">
                <c16:uniqueId val="{00000001-A06E-459D-91E7-CBE6E9204774}"/>
              </c:ext>
            </c:extLst>
          </c:dPt>
          <c:cat>
            <c:strRef>
              <c:f>RPO!$A$85:$A$100</c:f>
              <c:strCache>
                <c:ptCount val="16"/>
                <c:pt idx="0">
                  <c:v>POMORSKIE</c:v>
                </c:pt>
                <c:pt idx="1">
                  <c:v>OPOLSKIE</c:v>
                </c:pt>
                <c:pt idx="2">
                  <c:v>WIELKOPOLSKIE</c:v>
                </c:pt>
                <c:pt idx="3">
                  <c:v>MAZOWIECKIE</c:v>
                </c:pt>
                <c:pt idx="4">
                  <c:v>LUBUSKIE</c:v>
                </c:pt>
                <c:pt idx="5">
                  <c:v>MAŁOPOLSKIE</c:v>
                </c:pt>
                <c:pt idx="6">
                  <c:v>DOLNOŚLĄSKIE</c:v>
                </c:pt>
                <c:pt idx="7">
                  <c:v>LUBELSKIE</c:v>
                </c:pt>
                <c:pt idx="8">
                  <c:v>PODKARPACKIE</c:v>
                </c:pt>
                <c:pt idx="9">
                  <c:v>ŁÓDZKIE</c:v>
                </c:pt>
                <c:pt idx="10">
                  <c:v>ŚWIĘTOKRZYSKIE</c:v>
                </c:pt>
                <c:pt idx="11">
                  <c:v>ŚLĄSKIE</c:v>
                </c:pt>
                <c:pt idx="12">
                  <c:v>ZACHODNIOPOMORSKIE</c:v>
                </c:pt>
                <c:pt idx="13">
                  <c:v>WARMIŃSKO-MAZURSKIE</c:v>
                </c:pt>
                <c:pt idx="14">
                  <c:v>PODLASKIE</c:v>
                </c:pt>
                <c:pt idx="15">
                  <c:v>KUJAWSKO-POMORSKIE</c:v>
                </c:pt>
              </c:strCache>
            </c:strRef>
          </c:cat>
          <c:val>
            <c:numRef>
              <c:f>RPO!$B$85:$B$100</c:f>
              <c:numCache>
                <c:formatCode>0.0%</c:formatCode>
                <c:ptCount val="16"/>
                <c:pt idx="0">
                  <c:v>0.82005847372289697</c:v>
                </c:pt>
                <c:pt idx="1">
                  <c:v>0.77068539800279434</c:v>
                </c:pt>
                <c:pt idx="2">
                  <c:v>0.71415865184099625</c:v>
                </c:pt>
                <c:pt idx="3">
                  <c:v>0.71056733572644115</c:v>
                </c:pt>
                <c:pt idx="4">
                  <c:v>0.70736322195885648</c:v>
                </c:pt>
                <c:pt idx="5">
                  <c:v>0.67215553578433807</c:v>
                </c:pt>
                <c:pt idx="6">
                  <c:v>0.66370189794139678</c:v>
                </c:pt>
                <c:pt idx="7">
                  <c:v>0.66099969669003622</c:v>
                </c:pt>
                <c:pt idx="8">
                  <c:v>0.64891137721305592</c:v>
                </c:pt>
                <c:pt idx="9">
                  <c:v>0.6214450364177676</c:v>
                </c:pt>
                <c:pt idx="10">
                  <c:v>0.61848803357083326</c:v>
                </c:pt>
                <c:pt idx="11">
                  <c:v>0.6094612826634479</c:v>
                </c:pt>
                <c:pt idx="12">
                  <c:v>0.60644813782404339</c:v>
                </c:pt>
                <c:pt idx="13">
                  <c:v>0.59331890163401313</c:v>
                </c:pt>
                <c:pt idx="14">
                  <c:v>0.59019000051551163</c:v>
                </c:pt>
                <c:pt idx="15">
                  <c:v>0.56942742961805259</c:v>
                </c:pt>
              </c:numCache>
            </c:numRef>
          </c:val>
          <c:extLst xmlns:c16r2="http://schemas.microsoft.com/office/drawing/2015/06/chart">
            <c:ext xmlns:c16="http://schemas.microsoft.com/office/drawing/2014/chart" uri="{C3380CC4-5D6E-409C-BE32-E72D297353CC}">
              <c16:uniqueId val="{00000002-A06E-459D-91E7-CBE6E9204774}"/>
            </c:ext>
          </c:extLst>
        </c:ser>
        <c:dLbls>
          <c:showLegendKey val="0"/>
          <c:showVal val="0"/>
          <c:showCatName val="0"/>
          <c:showSerName val="0"/>
          <c:showPercent val="0"/>
          <c:showBubbleSize val="0"/>
        </c:dLbls>
        <c:gapWidth val="219"/>
        <c:overlap val="-27"/>
        <c:axId val="-1882177232"/>
        <c:axId val="-1882176688"/>
      </c:barChart>
      <c:scatterChart>
        <c:scatterStyle val="lineMarker"/>
        <c:varyColors val="0"/>
        <c:ser>
          <c:idx val="1"/>
          <c:order val="1"/>
          <c:tx>
            <c:strRef>
              <c:f>RPO!$C$84</c:f>
              <c:strCache>
                <c:ptCount val="1"/>
                <c:pt idx="0">
                  <c:v>certyfikacja do KE</c:v>
                </c:pt>
              </c:strCache>
            </c:strRef>
          </c:tx>
          <c:spPr>
            <a:ln w="25400" cap="rnd">
              <a:noFill/>
              <a:round/>
            </a:ln>
            <a:effectLst/>
          </c:spPr>
          <c:marker>
            <c:symbol val="circle"/>
            <c:size val="8"/>
            <c:spPr>
              <a:solidFill>
                <a:srgbClr val="002060"/>
              </a:solidFill>
              <a:ln w="22225">
                <a:noFill/>
              </a:ln>
              <a:effectLst/>
            </c:spPr>
          </c:marker>
          <c:xVal>
            <c:strRef>
              <c:f>RPO!$A$85:$A$100</c:f>
              <c:strCache>
                <c:ptCount val="16"/>
                <c:pt idx="0">
                  <c:v>POMORSKIE</c:v>
                </c:pt>
                <c:pt idx="1">
                  <c:v>OPOLSKIE</c:v>
                </c:pt>
                <c:pt idx="2">
                  <c:v>WIELKOPOLSKIE</c:v>
                </c:pt>
                <c:pt idx="3">
                  <c:v>MAZOWIECKIE</c:v>
                </c:pt>
                <c:pt idx="4">
                  <c:v>LUBUSKIE</c:v>
                </c:pt>
                <c:pt idx="5">
                  <c:v>MAŁOPOLSKIE</c:v>
                </c:pt>
                <c:pt idx="6">
                  <c:v>DOLNOŚLĄSKIE</c:v>
                </c:pt>
                <c:pt idx="7">
                  <c:v>LUBELSKIE</c:v>
                </c:pt>
                <c:pt idx="8">
                  <c:v>PODKARPACKIE</c:v>
                </c:pt>
                <c:pt idx="9">
                  <c:v>ŁÓDZKIE</c:v>
                </c:pt>
                <c:pt idx="10">
                  <c:v>ŚWIĘTOKRZYSKIE</c:v>
                </c:pt>
                <c:pt idx="11">
                  <c:v>ŚLĄSKIE</c:v>
                </c:pt>
                <c:pt idx="12">
                  <c:v>ZACHODNIOPOMORSKIE</c:v>
                </c:pt>
                <c:pt idx="13">
                  <c:v>WARMIŃSKO-MAZURSKIE</c:v>
                </c:pt>
                <c:pt idx="14">
                  <c:v>PODLASKIE</c:v>
                </c:pt>
                <c:pt idx="15">
                  <c:v>KUJAWSKO-POMORSKIE</c:v>
                </c:pt>
              </c:strCache>
            </c:strRef>
          </c:xVal>
          <c:yVal>
            <c:numRef>
              <c:f>RPO!$C$85:$C$100</c:f>
              <c:numCache>
                <c:formatCode>0.0%</c:formatCode>
                <c:ptCount val="16"/>
                <c:pt idx="0">
                  <c:v>0.24919641459516573</c:v>
                </c:pt>
                <c:pt idx="1">
                  <c:v>0.31417530452771941</c:v>
                </c:pt>
                <c:pt idx="2">
                  <c:v>0.26003797872016993</c:v>
                </c:pt>
                <c:pt idx="3">
                  <c:v>0.22419446434438969</c:v>
                </c:pt>
                <c:pt idx="4">
                  <c:v>0.20272811949571631</c:v>
                </c:pt>
                <c:pt idx="5">
                  <c:v>0.19257915764477371</c:v>
                </c:pt>
                <c:pt idx="6">
                  <c:v>0.24717298775519367</c:v>
                </c:pt>
                <c:pt idx="7">
                  <c:v>0.18994765485628465</c:v>
                </c:pt>
                <c:pt idx="8">
                  <c:v>0.2461468197699998</c:v>
                </c:pt>
                <c:pt idx="9">
                  <c:v>0.18041498195666872</c:v>
                </c:pt>
                <c:pt idx="10">
                  <c:v>0.17614623731151</c:v>
                </c:pt>
                <c:pt idx="11">
                  <c:v>0.18661353797217128</c:v>
                </c:pt>
                <c:pt idx="12">
                  <c:v>0.23826826206567908</c:v>
                </c:pt>
                <c:pt idx="13">
                  <c:v>0.17392852340962792</c:v>
                </c:pt>
                <c:pt idx="14">
                  <c:v>0.16144859030631059</c:v>
                </c:pt>
                <c:pt idx="15">
                  <c:v>0.16287563909296071</c:v>
                </c:pt>
              </c:numCache>
            </c:numRef>
          </c:yVal>
          <c:smooth val="0"/>
          <c:extLst xmlns:c16r2="http://schemas.microsoft.com/office/drawing/2015/06/chart">
            <c:ext xmlns:c16="http://schemas.microsoft.com/office/drawing/2014/chart" uri="{C3380CC4-5D6E-409C-BE32-E72D297353CC}">
              <c16:uniqueId val="{00000003-A06E-459D-91E7-CBE6E9204774}"/>
            </c:ext>
          </c:extLst>
        </c:ser>
        <c:dLbls>
          <c:showLegendKey val="0"/>
          <c:showVal val="0"/>
          <c:showCatName val="0"/>
          <c:showSerName val="0"/>
          <c:showPercent val="0"/>
          <c:showBubbleSize val="0"/>
        </c:dLbls>
        <c:axId val="-1882177232"/>
        <c:axId val="-1882176688"/>
      </c:scatterChart>
      <c:catAx>
        <c:axId val="-188217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pl-PL"/>
          </a:p>
        </c:txPr>
        <c:crossAx val="-1882176688"/>
        <c:crosses val="autoZero"/>
        <c:auto val="1"/>
        <c:lblAlgn val="ctr"/>
        <c:lblOffset val="100"/>
        <c:noMultiLvlLbl val="0"/>
      </c:catAx>
      <c:valAx>
        <c:axId val="-1882176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pl-PL"/>
          </a:p>
        </c:txPr>
        <c:crossAx val="-1882177232"/>
        <c:crosses val="autoZero"/>
        <c:crossBetween val="between"/>
        <c:majorUnit val="0.2"/>
      </c:valAx>
      <c:spPr>
        <a:noFill/>
        <a:ln>
          <a:noFill/>
        </a:ln>
        <a:effectLst/>
      </c:spPr>
    </c:plotArea>
    <c:legend>
      <c:legendPos val="b"/>
      <c:layout>
        <c:manualLayout>
          <c:xMode val="edge"/>
          <c:yMode val="edge"/>
          <c:x val="0.48669139915202908"/>
          <c:y val="5.1504082822980461E-2"/>
          <c:w val="0.47747173430244294"/>
          <c:h val="0.10127369495479729"/>
        </c:manualLayout>
      </c:layout>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19050" cap="flat" cmpd="sng" algn="ctr">
      <a:no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462608720032166E-2"/>
          <c:y val="5.4699154649428143E-2"/>
          <c:w val="0.87705758711840109"/>
          <c:h val="0.6198498743576758"/>
        </c:manualLayout>
      </c:layout>
      <c:lineChart>
        <c:grouping val="standard"/>
        <c:varyColors val="0"/>
        <c:ser>
          <c:idx val="0"/>
          <c:order val="0"/>
          <c:tx>
            <c:strRef>
              <c:f>TABLICA!$B$16</c:f>
              <c:strCache>
                <c:ptCount val="1"/>
                <c:pt idx="0">
                  <c:v>Polska</c:v>
                </c:pt>
              </c:strCache>
            </c:strRef>
          </c:tx>
          <c:spPr>
            <a:ln w="28575" cap="rnd">
              <a:solidFill>
                <a:schemeClr val="accent1"/>
              </a:solidFill>
              <a:round/>
            </a:ln>
            <a:effectLst/>
          </c:spPr>
          <c:marker>
            <c:symbol val="none"/>
          </c:marker>
          <c:cat>
            <c:strRef>
              <c:f>TABLICA!$C$15:$M$15</c:f>
              <c:strCache>
                <c:ptCount val="11"/>
                <c:pt idx="0">
                  <c:v>2006</c:v>
                </c:pt>
                <c:pt idx="1">
                  <c:v>2007</c:v>
                </c:pt>
                <c:pt idx="2">
                  <c:v>2008</c:v>
                </c:pt>
                <c:pt idx="3">
                  <c:v>2009</c:v>
                </c:pt>
                <c:pt idx="4">
                  <c:v>2010</c:v>
                </c:pt>
                <c:pt idx="5">
                  <c:v>2011</c:v>
                </c:pt>
                <c:pt idx="6">
                  <c:v>2012</c:v>
                </c:pt>
                <c:pt idx="7">
                  <c:v>2013</c:v>
                </c:pt>
                <c:pt idx="8">
                  <c:v>2014</c:v>
                </c:pt>
                <c:pt idx="9">
                  <c:v>2015</c:v>
                </c:pt>
                <c:pt idx="10">
                  <c:v>2016</c:v>
                </c:pt>
              </c:strCache>
            </c:strRef>
          </c:cat>
          <c:val>
            <c:numRef>
              <c:f>TABLICA!$C$16:$M$16</c:f>
              <c:numCache>
                <c:formatCode>#,##0</c:formatCode>
                <c:ptCount val="11"/>
                <c:pt idx="0">
                  <c:v>28056</c:v>
                </c:pt>
                <c:pt idx="1">
                  <c:v>31158</c:v>
                </c:pt>
                <c:pt idx="2">
                  <c:v>33741</c:v>
                </c:pt>
                <c:pt idx="3">
                  <c:v>35658</c:v>
                </c:pt>
                <c:pt idx="4">
                  <c:v>37524</c:v>
                </c:pt>
                <c:pt idx="5">
                  <c:v>40669</c:v>
                </c:pt>
                <c:pt idx="6">
                  <c:v>42285</c:v>
                </c:pt>
                <c:pt idx="7">
                  <c:v>43034</c:v>
                </c:pt>
                <c:pt idx="8">
                  <c:v>44705</c:v>
                </c:pt>
                <c:pt idx="9">
                  <c:v>46814</c:v>
                </c:pt>
                <c:pt idx="10">
                  <c:v>48432</c:v>
                </c:pt>
              </c:numCache>
            </c:numRef>
          </c:val>
          <c:smooth val="0"/>
          <c:extLst xmlns:c16r2="http://schemas.microsoft.com/office/drawing/2015/06/chart">
            <c:ext xmlns:c16="http://schemas.microsoft.com/office/drawing/2014/chart" uri="{C3380CC4-5D6E-409C-BE32-E72D297353CC}">
              <c16:uniqueId val="{00000000-E907-46A3-A2A9-C9243A3F6C28}"/>
            </c:ext>
          </c:extLst>
        </c:ser>
        <c:ser>
          <c:idx val="1"/>
          <c:order val="1"/>
          <c:tx>
            <c:strRef>
              <c:f>TABLICA!$B$17</c:f>
              <c:strCache>
                <c:ptCount val="1"/>
                <c:pt idx="0">
                  <c:v>województwo wielkopolskie</c:v>
                </c:pt>
              </c:strCache>
            </c:strRef>
          </c:tx>
          <c:spPr>
            <a:ln w="28575" cap="rnd">
              <a:solidFill>
                <a:schemeClr val="accent2"/>
              </a:solidFill>
              <a:round/>
            </a:ln>
            <a:effectLst/>
          </c:spPr>
          <c:marker>
            <c:symbol val="none"/>
          </c:marker>
          <c:cat>
            <c:strRef>
              <c:f>TABLICA!$C$15:$M$15</c:f>
              <c:strCache>
                <c:ptCount val="11"/>
                <c:pt idx="0">
                  <c:v>2006</c:v>
                </c:pt>
                <c:pt idx="1">
                  <c:v>2007</c:v>
                </c:pt>
                <c:pt idx="2">
                  <c:v>2008</c:v>
                </c:pt>
                <c:pt idx="3">
                  <c:v>2009</c:v>
                </c:pt>
                <c:pt idx="4">
                  <c:v>2010</c:v>
                </c:pt>
                <c:pt idx="5">
                  <c:v>2011</c:v>
                </c:pt>
                <c:pt idx="6">
                  <c:v>2012</c:v>
                </c:pt>
                <c:pt idx="7">
                  <c:v>2013</c:v>
                </c:pt>
                <c:pt idx="8">
                  <c:v>2014</c:v>
                </c:pt>
                <c:pt idx="9">
                  <c:v>2015</c:v>
                </c:pt>
                <c:pt idx="10">
                  <c:v>2016</c:v>
                </c:pt>
              </c:strCache>
            </c:strRef>
          </c:cat>
          <c:val>
            <c:numRef>
              <c:f>TABLICA!$C$17:$M$17</c:f>
              <c:numCache>
                <c:formatCode>#,##0</c:formatCode>
                <c:ptCount val="11"/>
                <c:pt idx="0">
                  <c:v>29819</c:v>
                </c:pt>
                <c:pt idx="1">
                  <c:v>32895</c:v>
                </c:pt>
                <c:pt idx="2">
                  <c:v>35669</c:v>
                </c:pt>
                <c:pt idx="3">
                  <c:v>38431</c:v>
                </c:pt>
                <c:pt idx="4">
                  <c:v>39454</c:v>
                </c:pt>
                <c:pt idx="5">
                  <c:v>42753</c:v>
                </c:pt>
                <c:pt idx="6">
                  <c:v>44774</c:v>
                </c:pt>
                <c:pt idx="7">
                  <c:v>46150</c:v>
                </c:pt>
                <c:pt idx="8">
                  <c:v>48015</c:v>
                </c:pt>
                <c:pt idx="9">
                  <c:v>50821</c:v>
                </c:pt>
                <c:pt idx="10">
                  <c:v>52844</c:v>
                </c:pt>
              </c:numCache>
            </c:numRef>
          </c:val>
          <c:smooth val="0"/>
          <c:extLst xmlns:c16r2="http://schemas.microsoft.com/office/drawing/2015/06/chart">
            <c:ext xmlns:c16="http://schemas.microsoft.com/office/drawing/2014/chart" uri="{C3380CC4-5D6E-409C-BE32-E72D297353CC}">
              <c16:uniqueId val="{00000001-E907-46A3-A2A9-C9243A3F6C28}"/>
            </c:ext>
          </c:extLst>
        </c:ser>
        <c:ser>
          <c:idx val="2"/>
          <c:order val="2"/>
          <c:tx>
            <c:strRef>
              <c:f>TABLICA!$B$18</c:f>
              <c:strCache>
                <c:ptCount val="1"/>
                <c:pt idx="0">
                  <c:v>podregion kaliski</c:v>
                </c:pt>
              </c:strCache>
            </c:strRef>
          </c:tx>
          <c:spPr>
            <a:ln w="28575" cap="rnd">
              <a:solidFill>
                <a:schemeClr val="accent3"/>
              </a:solidFill>
              <a:round/>
            </a:ln>
            <a:effectLst/>
          </c:spPr>
          <c:marker>
            <c:symbol val="none"/>
          </c:marker>
          <c:cat>
            <c:strRef>
              <c:f>TABLICA!$C$15:$M$15</c:f>
              <c:strCache>
                <c:ptCount val="11"/>
                <c:pt idx="0">
                  <c:v>2006</c:v>
                </c:pt>
                <c:pt idx="1">
                  <c:v>2007</c:v>
                </c:pt>
                <c:pt idx="2">
                  <c:v>2008</c:v>
                </c:pt>
                <c:pt idx="3">
                  <c:v>2009</c:v>
                </c:pt>
                <c:pt idx="4">
                  <c:v>2010</c:v>
                </c:pt>
                <c:pt idx="5">
                  <c:v>2011</c:v>
                </c:pt>
                <c:pt idx="6">
                  <c:v>2012</c:v>
                </c:pt>
                <c:pt idx="7">
                  <c:v>2013</c:v>
                </c:pt>
                <c:pt idx="8">
                  <c:v>2014</c:v>
                </c:pt>
                <c:pt idx="9">
                  <c:v>2015</c:v>
                </c:pt>
                <c:pt idx="10">
                  <c:v>2016</c:v>
                </c:pt>
              </c:strCache>
            </c:strRef>
          </c:cat>
          <c:val>
            <c:numRef>
              <c:f>TABLICA!$C$18:$M$18</c:f>
              <c:numCache>
                <c:formatCode>#,##0</c:formatCode>
                <c:ptCount val="11"/>
                <c:pt idx="0">
                  <c:v>22662</c:v>
                </c:pt>
                <c:pt idx="1">
                  <c:v>24435</c:v>
                </c:pt>
                <c:pt idx="2">
                  <c:v>26895</c:v>
                </c:pt>
                <c:pt idx="3">
                  <c:v>29315</c:v>
                </c:pt>
                <c:pt idx="4">
                  <c:v>30262</c:v>
                </c:pt>
                <c:pt idx="5">
                  <c:v>33340</c:v>
                </c:pt>
                <c:pt idx="6">
                  <c:v>35355</c:v>
                </c:pt>
                <c:pt idx="7">
                  <c:v>36357</c:v>
                </c:pt>
                <c:pt idx="8">
                  <c:v>38700</c:v>
                </c:pt>
                <c:pt idx="9">
                  <c:v>42575</c:v>
                </c:pt>
                <c:pt idx="10">
                  <c:v>43464</c:v>
                </c:pt>
              </c:numCache>
            </c:numRef>
          </c:val>
          <c:smooth val="0"/>
          <c:extLst xmlns:c16r2="http://schemas.microsoft.com/office/drawing/2015/06/chart">
            <c:ext xmlns:c16="http://schemas.microsoft.com/office/drawing/2014/chart" uri="{C3380CC4-5D6E-409C-BE32-E72D297353CC}">
              <c16:uniqueId val="{00000002-E907-46A3-A2A9-C9243A3F6C28}"/>
            </c:ext>
          </c:extLst>
        </c:ser>
        <c:ser>
          <c:idx val="3"/>
          <c:order val="3"/>
          <c:tx>
            <c:strRef>
              <c:f>TABLICA!$B$19</c:f>
              <c:strCache>
                <c:ptCount val="1"/>
                <c:pt idx="0">
                  <c:v>podregion koniński</c:v>
                </c:pt>
              </c:strCache>
            </c:strRef>
          </c:tx>
          <c:spPr>
            <a:ln w="28575" cap="rnd">
              <a:solidFill>
                <a:schemeClr val="accent4"/>
              </a:solidFill>
              <a:round/>
            </a:ln>
            <a:effectLst/>
          </c:spPr>
          <c:marker>
            <c:symbol val="none"/>
          </c:marker>
          <c:cat>
            <c:strRef>
              <c:f>TABLICA!$C$15:$M$15</c:f>
              <c:strCache>
                <c:ptCount val="11"/>
                <c:pt idx="0">
                  <c:v>2006</c:v>
                </c:pt>
                <c:pt idx="1">
                  <c:v>2007</c:v>
                </c:pt>
                <c:pt idx="2">
                  <c:v>2008</c:v>
                </c:pt>
                <c:pt idx="3">
                  <c:v>2009</c:v>
                </c:pt>
                <c:pt idx="4">
                  <c:v>2010</c:v>
                </c:pt>
                <c:pt idx="5">
                  <c:v>2011</c:v>
                </c:pt>
                <c:pt idx="6">
                  <c:v>2012</c:v>
                </c:pt>
                <c:pt idx="7">
                  <c:v>2013</c:v>
                </c:pt>
                <c:pt idx="8">
                  <c:v>2014</c:v>
                </c:pt>
                <c:pt idx="9">
                  <c:v>2015</c:v>
                </c:pt>
                <c:pt idx="10">
                  <c:v>2016</c:v>
                </c:pt>
              </c:strCache>
            </c:strRef>
          </c:cat>
          <c:val>
            <c:numRef>
              <c:f>TABLICA!$C$19:$M$19</c:f>
              <c:numCache>
                <c:formatCode>#,##0</c:formatCode>
                <c:ptCount val="11"/>
                <c:pt idx="0">
                  <c:v>21764</c:v>
                </c:pt>
                <c:pt idx="1">
                  <c:v>23748</c:v>
                </c:pt>
                <c:pt idx="2">
                  <c:v>25543</c:v>
                </c:pt>
                <c:pt idx="3">
                  <c:v>28282</c:v>
                </c:pt>
                <c:pt idx="4">
                  <c:v>28713</c:v>
                </c:pt>
                <c:pt idx="5">
                  <c:v>31545</c:v>
                </c:pt>
                <c:pt idx="6">
                  <c:v>32738</c:v>
                </c:pt>
                <c:pt idx="7">
                  <c:v>32898</c:v>
                </c:pt>
                <c:pt idx="8">
                  <c:v>33856</c:v>
                </c:pt>
                <c:pt idx="9">
                  <c:v>35406</c:v>
                </c:pt>
                <c:pt idx="10">
                  <c:v>36944</c:v>
                </c:pt>
              </c:numCache>
            </c:numRef>
          </c:val>
          <c:smooth val="0"/>
          <c:extLst xmlns:c16r2="http://schemas.microsoft.com/office/drawing/2015/06/chart">
            <c:ext xmlns:c16="http://schemas.microsoft.com/office/drawing/2014/chart" uri="{C3380CC4-5D6E-409C-BE32-E72D297353CC}">
              <c16:uniqueId val="{00000003-E907-46A3-A2A9-C9243A3F6C28}"/>
            </c:ext>
          </c:extLst>
        </c:ser>
        <c:ser>
          <c:idx val="4"/>
          <c:order val="4"/>
          <c:tx>
            <c:strRef>
              <c:f>TABLICA!$B$20</c:f>
              <c:strCache>
                <c:ptCount val="1"/>
                <c:pt idx="0">
                  <c:v>podregion leszczyński</c:v>
                </c:pt>
              </c:strCache>
            </c:strRef>
          </c:tx>
          <c:spPr>
            <a:ln w="28575" cap="rnd">
              <a:solidFill>
                <a:schemeClr val="accent5"/>
              </a:solidFill>
              <a:round/>
            </a:ln>
            <a:effectLst/>
          </c:spPr>
          <c:marker>
            <c:symbol val="none"/>
          </c:marker>
          <c:cat>
            <c:strRef>
              <c:f>TABLICA!$C$15:$M$15</c:f>
              <c:strCache>
                <c:ptCount val="11"/>
                <c:pt idx="0">
                  <c:v>2006</c:v>
                </c:pt>
                <c:pt idx="1">
                  <c:v>2007</c:v>
                </c:pt>
                <c:pt idx="2">
                  <c:v>2008</c:v>
                </c:pt>
                <c:pt idx="3">
                  <c:v>2009</c:v>
                </c:pt>
                <c:pt idx="4">
                  <c:v>2010</c:v>
                </c:pt>
                <c:pt idx="5">
                  <c:v>2011</c:v>
                </c:pt>
                <c:pt idx="6">
                  <c:v>2012</c:v>
                </c:pt>
                <c:pt idx="7">
                  <c:v>2013</c:v>
                </c:pt>
                <c:pt idx="8">
                  <c:v>2014</c:v>
                </c:pt>
                <c:pt idx="9">
                  <c:v>2015</c:v>
                </c:pt>
                <c:pt idx="10">
                  <c:v>2016</c:v>
                </c:pt>
              </c:strCache>
            </c:strRef>
          </c:cat>
          <c:val>
            <c:numRef>
              <c:f>TABLICA!$C$20:$M$20</c:f>
              <c:numCache>
                <c:formatCode>#,##0</c:formatCode>
                <c:ptCount val="11"/>
                <c:pt idx="0">
                  <c:v>24388</c:v>
                </c:pt>
                <c:pt idx="1">
                  <c:v>26697</c:v>
                </c:pt>
                <c:pt idx="2">
                  <c:v>28895</c:v>
                </c:pt>
                <c:pt idx="3">
                  <c:v>30853</c:v>
                </c:pt>
                <c:pt idx="4">
                  <c:v>32383</c:v>
                </c:pt>
                <c:pt idx="5">
                  <c:v>35154</c:v>
                </c:pt>
                <c:pt idx="6">
                  <c:v>37029</c:v>
                </c:pt>
                <c:pt idx="7">
                  <c:v>38370</c:v>
                </c:pt>
                <c:pt idx="8">
                  <c:v>39919</c:v>
                </c:pt>
                <c:pt idx="9">
                  <c:v>41990</c:v>
                </c:pt>
                <c:pt idx="10">
                  <c:v>43531</c:v>
                </c:pt>
              </c:numCache>
            </c:numRef>
          </c:val>
          <c:smooth val="0"/>
          <c:extLst xmlns:c16r2="http://schemas.microsoft.com/office/drawing/2015/06/chart">
            <c:ext xmlns:c16="http://schemas.microsoft.com/office/drawing/2014/chart" uri="{C3380CC4-5D6E-409C-BE32-E72D297353CC}">
              <c16:uniqueId val="{00000004-E907-46A3-A2A9-C9243A3F6C28}"/>
            </c:ext>
          </c:extLst>
        </c:ser>
        <c:ser>
          <c:idx val="5"/>
          <c:order val="5"/>
          <c:tx>
            <c:strRef>
              <c:f>TABLICA!$B$21</c:f>
              <c:strCache>
                <c:ptCount val="1"/>
                <c:pt idx="0">
                  <c:v>podregion pilski</c:v>
                </c:pt>
              </c:strCache>
            </c:strRef>
          </c:tx>
          <c:spPr>
            <a:ln w="28575" cap="rnd">
              <a:solidFill>
                <a:schemeClr val="accent6"/>
              </a:solidFill>
              <a:round/>
            </a:ln>
            <a:effectLst/>
          </c:spPr>
          <c:marker>
            <c:symbol val="none"/>
          </c:marker>
          <c:cat>
            <c:strRef>
              <c:f>TABLICA!$C$15:$M$15</c:f>
              <c:strCache>
                <c:ptCount val="11"/>
                <c:pt idx="0">
                  <c:v>2006</c:v>
                </c:pt>
                <c:pt idx="1">
                  <c:v>2007</c:v>
                </c:pt>
                <c:pt idx="2">
                  <c:v>2008</c:v>
                </c:pt>
                <c:pt idx="3">
                  <c:v>2009</c:v>
                </c:pt>
                <c:pt idx="4">
                  <c:v>2010</c:v>
                </c:pt>
                <c:pt idx="5">
                  <c:v>2011</c:v>
                </c:pt>
                <c:pt idx="6">
                  <c:v>2012</c:v>
                </c:pt>
                <c:pt idx="7">
                  <c:v>2013</c:v>
                </c:pt>
                <c:pt idx="8">
                  <c:v>2014</c:v>
                </c:pt>
                <c:pt idx="9">
                  <c:v>2015</c:v>
                </c:pt>
                <c:pt idx="10">
                  <c:v>2016</c:v>
                </c:pt>
              </c:strCache>
            </c:strRef>
          </c:cat>
          <c:val>
            <c:numRef>
              <c:f>TABLICA!$C$21:$M$21</c:f>
              <c:numCache>
                <c:formatCode>#,##0</c:formatCode>
                <c:ptCount val="11"/>
                <c:pt idx="0">
                  <c:v>21922</c:v>
                </c:pt>
                <c:pt idx="1">
                  <c:v>24470</c:v>
                </c:pt>
                <c:pt idx="2">
                  <c:v>25905</c:v>
                </c:pt>
                <c:pt idx="3">
                  <c:v>28159</c:v>
                </c:pt>
                <c:pt idx="4">
                  <c:v>28503</c:v>
                </c:pt>
                <c:pt idx="5">
                  <c:v>30396</c:v>
                </c:pt>
                <c:pt idx="6">
                  <c:v>31467</c:v>
                </c:pt>
                <c:pt idx="7">
                  <c:v>32549</c:v>
                </c:pt>
                <c:pt idx="8">
                  <c:v>33496</c:v>
                </c:pt>
                <c:pt idx="9">
                  <c:v>36098</c:v>
                </c:pt>
                <c:pt idx="10">
                  <c:v>37012</c:v>
                </c:pt>
              </c:numCache>
            </c:numRef>
          </c:val>
          <c:smooth val="0"/>
          <c:extLst xmlns:c16r2="http://schemas.microsoft.com/office/drawing/2015/06/chart">
            <c:ext xmlns:c16="http://schemas.microsoft.com/office/drawing/2014/chart" uri="{C3380CC4-5D6E-409C-BE32-E72D297353CC}">
              <c16:uniqueId val="{00000005-E907-46A3-A2A9-C9243A3F6C28}"/>
            </c:ext>
          </c:extLst>
        </c:ser>
        <c:ser>
          <c:idx val="6"/>
          <c:order val="6"/>
          <c:tx>
            <c:strRef>
              <c:f>TABLICA!$B$22</c:f>
              <c:strCache>
                <c:ptCount val="1"/>
                <c:pt idx="0">
                  <c:v>podregion poznański</c:v>
                </c:pt>
              </c:strCache>
            </c:strRef>
          </c:tx>
          <c:spPr>
            <a:ln w="28575" cap="rnd">
              <a:solidFill>
                <a:schemeClr val="accent1">
                  <a:lumMod val="60000"/>
                </a:schemeClr>
              </a:solidFill>
              <a:round/>
            </a:ln>
            <a:effectLst/>
          </c:spPr>
          <c:marker>
            <c:symbol val="none"/>
          </c:marker>
          <c:cat>
            <c:strRef>
              <c:f>TABLICA!$C$15:$M$15</c:f>
              <c:strCache>
                <c:ptCount val="11"/>
                <c:pt idx="0">
                  <c:v>2006</c:v>
                </c:pt>
                <c:pt idx="1">
                  <c:v>2007</c:v>
                </c:pt>
                <c:pt idx="2">
                  <c:v>2008</c:v>
                </c:pt>
                <c:pt idx="3">
                  <c:v>2009</c:v>
                </c:pt>
                <c:pt idx="4">
                  <c:v>2010</c:v>
                </c:pt>
                <c:pt idx="5">
                  <c:v>2011</c:v>
                </c:pt>
                <c:pt idx="6">
                  <c:v>2012</c:v>
                </c:pt>
                <c:pt idx="7">
                  <c:v>2013</c:v>
                </c:pt>
                <c:pt idx="8">
                  <c:v>2014</c:v>
                </c:pt>
                <c:pt idx="9">
                  <c:v>2015</c:v>
                </c:pt>
                <c:pt idx="10">
                  <c:v>2016</c:v>
                </c:pt>
              </c:strCache>
            </c:strRef>
          </c:cat>
          <c:val>
            <c:numRef>
              <c:f>TABLICA!$C$22:$M$22</c:f>
              <c:numCache>
                <c:formatCode>#,##0</c:formatCode>
                <c:ptCount val="11"/>
                <c:pt idx="0">
                  <c:v>33146</c:v>
                </c:pt>
                <c:pt idx="1">
                  <c:v>36370</c:v>
                </c:pt>
                <c:pt idx="2">
                  <c:v>40371</c:v>
                </c:pt>
                <c:pt idx="3">
                  <c:v>42905</c:v>
                </c:pt>
                <c:pt idx="4">
                  <c:v>43588</c:v>
                </c:pt>
                <c:pt idx="5">
                  <c:v>47958</c:v>
                </c:pt>
                <c:pt idx="6">
                  <c:v>49699</c:v>
                </c:pt>
                <c:pt idx="7">
                  <c:v>51281</c:v>
                </c:pt>
                <c:pt idx="8">
                  <c:v>53848</c:v>
                </c:pt>
                <c:pt idx="9">
                  <c:v>57231</c:v>
                </c:pt>
                <c:pt idx="10">
                  <c:v>60722</c:v>
                </c:pt>
              </c:numCache>
            </c:numRef>
          </c:val>
          <c:smooth val="0"/>
          <c:extLst xmlns:c16r2="http://schemas.microsoft.com/office/drawing/2015/06/chart">
            <c:ext xmlns:c16="http://schemas.microsoft.com/office/drawing/2014/chart" uri="{C3380CC4-5D6E-409C-BE32-E72D297353CC}">
              <c16:uniqueId val="{00000006-E907-46A3-A2A9-C9243A3F6C28}"/>
            </c:ext>
          </c:extLst>
        </c:ser>
        <c:ser>
          <c:idx val="7"/>
          <c:order val="7"/>
          <c:tx>
            <c:strRef>
              <c:f>TABLICA!$B$23</c:f>
              <c:strCache>
                <c:ptCount val="1"/>
                <c:pt idx="0">
                  <c:v>podregion miasto Poznań</c:v>
                </c:pt>
              </c:strCache>
            </c:strRef>
          </c:tx>
          <c:spPr>
            <a:ln w="28575" cap="rnd">
              <a:solidFill>
                <a:schemeClr val="accent2">
                  <a:lumMod val="60000"/>
                </a:schemeClr>
              </a:solidFill>
              <a:round/>
            </a:ln>
            <a:effectLst/>
          </c:spPr>
          <c:marker>
            <c:symbol val="none"/>
          </c:marker>
          <c:cat>
            <c:strRef>
              <c:f>TABLICA!$C$15:$M$15</c:f>
              <c:strCache>
                <c:ptCount val="11"/>
                <c:pt idx="0">
                  <c:v>2006</c:v>
                </c:pt>
                <c:pt idx="1">
                  <c:v>2007</c:v>
                </c:pt>
                <c:pt idx="2">
                  <c:v>2008</c:v>
                </c:pt>
                <c:pt idx="3">
                  <c:v>2009</c:v>
                </c:pt>
                <c:pt idx="4">
                  <c:v>2010</c:v>
                </c:pt>
                <c:pt idx="5">
                  <c:v>2011</c:v>
                </c:pt>
                <c:pt idx="6">
                  <c:v>2012</c:v>
                </c:pt>
                <c:pt idx="7">
                  <c:v>2013</c:v>
                </c:pt>
                <c:pt idx="8">
                  <c:v>2014</c:v>
                </c:pt>
                <c:pt idx="9">
                  <c:v>2015</c:v>
                </c:pt>
                <c:pt idx="10">
                  <c:v>2016</c:v>
                </c:pt>
              </c:strCache>
            </c:strRef>
          </c:cat>
          <c:val>
            <c:numRef>
              <c:f>TABLICA!$C$23:$M$23</c:f>
              <c:numCache>
                <c:formatCode>#,##0</c:formatCode>
                <c:ptCount val="11"/>
                <c:pt idx="0">
                  <c:v>55093</c:v>
                </c:pt>
                <c:pt idx="1">
                  <c:v>62033</c:v>
                </c:pt>
                <c:pt idx="2">
                  <c:v>66853</c:v>
                </c:pt>
                <c:pt idx="3">
                  <c:v>71675</c:v>
                </c:pt>
                <c:pt idx="4">
                  <c:v>74034</c:v>
                </c:pt>
                <c:pt idx="5">
                  <c:v>78700</c:v>
                </c:pt>
                <c:pt idx="6">
                  <c:v>82962</c:v>
                </c:pt>
                <c:pt idx="7">
                  <c:v>86422</c:v>
                </c:pt>
                <c:pt idx="8">
                  <c:v>89105</c:v>
                </c:pt>
                <c:pt idx="9">
                  <c:v>92409</c:v>
                </c:pt>
                <c:pt idx="10">
                  <c:v>96138</c:v>
                </c:pt>
              </c:numCache>
            </c:numRef>
          </c:val>
          <c:smooth val="0"/>
          <c:extLst xmlns:c16r2="http://schemas.microsoft.com/office/drawing/2015/06/chart">
            <c:ext xmlns:c16="http://schemas.microsoft.com/office/drawing/2014/chart" uri="{C3380CC4-5D6E-409C-BE32-E72D297353CC}">
              <c16:uniqueId val="{00000007-E907-46A3-A2A9-C9243A3F6C28}"/>
            </c:ext>
          </c:extLst>
        </c:ser>
        <c:dLbls>
          <c:showLegendKey val="0"/>
          <c:showVal val="0"/>
          <c:showCatName val="0"/>
          <c:showSerName val="0"/>
          <c:showPercent val="0"/>
          <c:showBubbleSize val="0"/>
        </c:dLbls>
        <c:smooth val="0"/>
        <c:axId val="-1882178320"/>
        <c:axId val="-1568002496"/>
      </c:lineChart>
      <c:catAx>
        <c:axId val="-188217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crossAx val="-1568002496"/>
        <c:crosses val="autoZero"/>
        <c:auto val="1"/>
        <c:lblAlgn val="ctr"/>
        <c:lblOffset val="100"/>
        <c:noMultiLvlLbl val="0"/>
      </c:catAx>
      <c:valAx>
        <c:axId val="-1568002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crossAx val="-1882178320"/>
        <c:crosses val="autoZero"/>
        <c:crossBetween val="between"/>
      </c:valAx>
      <c:spPr>
        <a:noFill/>
        <a:ln>
          <a:noFill/>
        </a:ln>
        <a:effectLst/>
      </c:spPr>
    </c:plotArea>
    <c:legend>
      <c:legendPos val="b"/>
      <c:layout>
        <c:manualLayout>
          <c:xMode val="edge"/>
          <c:yMode val="edge"/>
          <c:x val="0.1042769564786932"/>
          <c:y val="0.76852942030341254"/>
          <c:w val="0.79144608704261366"/>
          <c:h val="0.1864070811304260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0">
          <a:solidFill>
            <a:schemeClr val="tx1"/>
          </a:solidFill>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WYKRESY!$A$121</c:f>
              <c:strCache>
                <c:ptCount val="1"/>
                <c:pt idx="0">
                  <c:v>Samorząd województwa posiada za dużo dokumentów strategicznych</c:v>
                </c:pt>
              </c:strCache>
            </c:strRef>
          </c:tx>
          <c:spPr>
            <a:solidFill>
              <a:srgbClr val="002060"/>
            </a:solidFill>
            <a:ln>
              <a:noFill/>
            </a:ln>
            <a:effectLst/>
          </c:spPr>
          <c:invertIfNegative val="0"/>
          <c:cat>
            <c:strRef>
              <c:f>WYKRESY!$B$120:$F$120</c:f>
              <c:strCache>
                <c:ptCount val="5"/>
                <c:pt idx="0">
                  <c:v>tak</c:v>
                </c:pt>
                <c:pt idx="1">
                  <c:v>raczej tak</c:v>
                </c:pt>
                <c:pt idx="2">
                  <c:v>raczej nie</c:v>
                </c:pt>
                <c:pt idx="3">
                  <c:v>nie</c:v>
                </c:pt>
                <c:pt idx="4">
                  <c:v>nie wiem</c:v>
                </c:pt>
              </c:strCache>
            </c:strRef>
          </c:cat>
          <c:val>
            <c:numRef>
              <c:f>WYKRESY!$B$121:$F$121</c:f>
              <c:numCache>
                <c:formatCode>General</c:formatCode>
                <c:ptCount val="5"/>
                <c:pt idx="0">
                  <c:v>6</c:v>
                </c:pt>
                <c:pt idx="1">
                  <c:v>3</c:v>
                </c:pt>
                <c:pt idx="2">
                  <c:v>15</c:v>
                </c:pt>
                <c:pt idx="3">
                  <c:v>2</c:v>
                </c:pt>
                <c:pt idx="4">
                  <c:v>2</c:v>
                </c:pt>
              </c:numCache>
            </c:numRef>
          </c:val>
          <c:extLst xmlns:c16r2="http://schemas.microsoft.com/office/drawing/2015/06/chart">
            <c:ext xmlns:c16="http://schemas.microsoft.com/office/drawing/2014/chart" uri="{C3380CC4-5D6E-409C-BE32-E72D297353CC}">
              <c16:uniqueId val="{00000000-8200-4417-A16B-99DC8DB8D506}"/>
            </c:ext>
          </c:extLst>
        </c:ser>
        <c:ser>
          <c:idx val="1"/>
          <c:order val="1"/>
          <c:tx>
            <c:strRef>
              <c:f>WYKRESY!$A$122</c:f>
              <c:strCache>
                <c:ptCount val="1"/>
                <c:pt idx="0">
                  <c:v>Samorząd województwa posiada za dużo dokumentów programowych</c:v>
                </c:pt>
              </c:strCache>
            </c:strRef>
          </c:tx>
          <c:spPr>
            <a:solidFill>
              <a:srgbClr val="5D93FF"/>
            </a:solidFill>
            <a:ln>
              <a:noFill/>
            </a:ln>
            <a:effectLst/>
          </c:spPr>
          <c:invertIfNegative val="0"/>
          <c:cat>
            <c:strRef>
              <c:f>WYKRESY!$B$120:$F$120</c:f>
              <c:strCache>
                <c:ptCount val="5"/>
                <c:pt idx="0">
                  <c:v>tak</c:v>
                </c:pt>
                <c:pt idx="1">
                  <c:v>raczej tak</c:v>
                </c:pt>
                <c:pt idx="2">
                  <c:v>raczej nie</c:v>
                </c:pt>
                <c:pt idx="3">
                  <c:v>nie</c:v>
                </c:pt>
                <c:pt idx="4">
                  <c:v>nie wiem</c:v>
                </c:pt>
              </c:strCache>
            </c:strRef>
          </c:cat>
          <c:val>
            <c:numRef>
              <c:f>WYKRESY!$B$122:$F$122</c:f>
              <c:numCache>
                <c:formatCode>General</c:formatCode>
                <c:ptCount val="5"/>
                <c:pt idx="0">
                  <c:v>3</c:v>
                </c:pt>
                <c:pt idx="1">
                  <c:v>3</c:v>
                </c:pt>
                <c:pt idx="2">
                  <c:v>11</c:v>
                </c:pt>
                <c:pt idx="3">
                  <c:v>4</c:v>
                </c:pt>
                <c:pt idx="4">
                  <c:v>7</c:v>
                </c:pt>
              </c:numCache>
            </c:numRef>
          </c:val>
          <c:extLst xmlns:c16r2="http://schemas.microsoft.com/office/drawing/2015/06/chart">
            <c:ext xmlns:c16="http://schemas.microsoft.com/office/drawing/2014/chart" uri="{C3380CC4-5D6E-409C-BE32-E72D297353CC}">
              <c16:uniqueId val="{00000001-8200-4417-A16B-99DC8DB8D506}"/>
            </c:ext>
          </c:extLst>
        </c:ser>
        <c:dLbls>
          <c:showLegendKey val="0"/>
          <c:showVal val="0"/>
          <c:showCatName val="0"/>
          <c:showSerName val="0"/>
          <c:showPercent val="0"/>
          <c:showBubbleSize val="0"/>
        </c:dLbls>
        <c:gapWidth val="219"/>
        <c:overlap val="-27"/>
        <c:axId val="-1568005216"/>
        <c:axId val="-1568000320"/>
      </c:barChart>
      <c:catAx>
        <c:axId val="-156800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1568000320"/>
        <c:crosses val="autoZero"/>
        <c:auto val="1"/>
        <c:lblAlgn val="ctr"/>
        <c:lblOffset val="100"/>
        <c:noMultiLvlLbl val="0"/>
      </c:catAx>
      <c:valAx>
        <c:axId val="-1568000320"/>
        <c:scaling>
          <c:orientation val="minMax"/>
          <c:max val="1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156800521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a:solidFill>
            <a:srgbClr val="002060"/>
          </a:solidFill>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Arkusz1!$A$43</c:f>
              <c:strCache>
                <c:ptCount val="1"/>
                <c:pt idx="0">
                  <c:v>W naszym urzędzie jest zbyt dużo dokumentów strategicznych</c:v>
                </c:pt>
              </c:strCache>
            </c:strRef>
          </c:tx>
          <c:spPr>
            <a:solidFill>
              <a:srgbClr val="002060"/>
            </a:solidFill>
            <a:ln>
              <a:noFill/>
            </a:ln>
            <a:effectLst/>
          </c:spPr>
          <c:invertIfNegative val="0"/>
          <c:cat>
            <c:strRef>
              <c:f>Arkusz1!$B$42:$G$42</c:f>
              <c:strCache>
                <c:ptCount val="6"/>
                <c:pt idx="0">
                  <c:v>Zdecydowanie tak</c:v>
                </c:pt>
                <c:pt idx="1">
                  <c:v>Tak</c:v>
                </c:pt>
                <c:pt idx="2">
                  <c:v>Raczej tak</c:v>
                </c:pt>
                <c:pt idx="3">
                  <c:v>Raczej nie</c:v>
                </c:pt>
                <c:pt idx="4">
                  <c:v>Nie</c:v>
                </c:pt>
                <c:pt idx="5">
                  <c:v>Zdecydowanie  nie</c:v>
                </c:pt>
              </c:strCache>
            </c:strRef>
          </c:cat>
          <c:val>
            <c:numRef>
              <c:f>Arkusz1!$B$43:$G$43</c:f>
              <c:numCache>
                <c:formatCode>General</c:formatCode>
                <c:ptCount val="6"/>
                <c:pt idx="0">
                  <c:v>1</c:v>
                </c:pt>
                <c:pt idx="1">
                  <c:v>1</c:v>
                </c:pt>
                <c:pt idx="2">
                  <c:v>2</c:v>
                </c:pt>
                <c:pt idx="3">
                  <c:v>3</c:v>
                </c:pt>
                <c:pt idx="4">
                  <c:v>3</c:v>
                </c:pt>
                <c:pt idx="5">
                  <c:v>0</c:v>
                </c:pt>
              </c:numCache>
            </c:numRef>
          </c:val>
          <c:extLst xmlns:c16r2="http://schemas.microsoft.com/office/drawing/2015/06/chart">
            <c:ext xmlns:c16="http://schemas.microsoft.com/office/drawing/2014/chart" uri="{C3380CC4-5D6E-409C-BE32-E72D297353CC}">
              <c16:uniqueId val="{00000000-29B9-4A1A-852D-7ED503502C58}"/>
            </c:ext>
          </c:extLst>
        </c:ser>
        <c:ser>
          <c:idx val="1"/>
          <c:order val="1"/>
          <c:tx>
            <c:strRef>
              <c:f>Arkusz1!$A$44</c:f>
              <c:strCache>
                <c:ptCount val="1"/>
                <c:pt idx="0">
                  <c:v>Na poziomie województwa powinna być tylko jedna strategia rozwoju</c:v>
                </c:pt>
              </c:strCache>
            </c:strRef>
          </c:tx>
          <c:spPr>
            <a:solidFill>
              <a:srgbClr val="00B0F0"/>
            </a:solidFill>
            <a:ln>
              <a:noFill/>
            </a:ln>
            <a:effectLst/>
          </c:spPr>
          <c:invertIfNegative val="0"/>
          <c:cat>
            <c:strRef>
              <c:f>Arkusz1!$B$42:$G$42</c:f>
              <c:strCache>
                <c:ptCount val="6"/>
                <c:pt idx="0">
                  <c:v>Zdecydowanie tak</c:v>
                </c:pt>
                <c:pt idx="1">
                  <c:v>Tak</c:v>
                </c:pt>
                <c:pt idx="2">
                  <c:v>Raczej tak</c:v>
                </c:pt>
                <c:pt idx="3">
                  <c:v>Raczej nie</c:v>
                </c:pt>
                <c:pt idx="4">
                  <c:v>Nie</c:v>
                </c:pt>
                <c:pt idx="5">
                  <c:v>Zdecydowanie  nie</c:v>
                </c:pt>
              </c:strCache>
            </c:strRef>
          </c:cat>
          <c:val>
            <c:numRef>
              <c:f>Arkusz1!$B$44:$G$44</c:f>
              <c:numCache>
                <c:formatCode>General</c:formatCode>
                <c:ptCount val="6"/>
                <c:pt idx="0">
                  <c:v>5</c:v>
                </c:pt>
                <c:pt idx="1">
                  <c:v>3</c:v>
                </c:pt>
                <c:pt idx="2">
                  <c:v>2</c:v>
                </c:pt>
                <c:pt idx="3">
                  <c:v>0</c:v>
                </c:pt>
                <c:pt idx="4">
                  <c:v>0</c:v>
                </c:pt>
                <c:pt idx="5">
                  <c:v>0</c:v>
                </c:pt>
              </c:numCache>
            </c:numRef>
          </c:val>
          <c:extLst xmlns:c16r2="http://schemas.microsoft.com/office/drawing/2015/06/chart">
            <c:ext xmlns:c16="http://schemas.microsoft.com/office/drawing/2014/chart" uri="{C3380CC4-5D6E-409C-BE32-E72D297353CC}">
              <c16:uniqueId val="{00000001-29B9-4A1A-852D-7ED503502C58}"/>
            </c:ext>
          </c:extLst>
        </c:ser>
        <c:dLbls>
          <c:showLegendKey val="0"/>
          <c:showVal val="0"/>
          <c:showCatName val="0"/>
          <c:showSerName val="0"/>
          <c:showPercent val="0"/>
          <c:showBubbleSize val="0"/>
        </c:dLbls>
        <c:gapWidth val="219"/>
        <c:overlap val="-27"/>
        <c:axId val="-1568004128"/>
        <c:axId val="-1568003584"/>
      </c:barChart>
      <c:catAx>
        <c:axId val="-156800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rgbClr val="002060"/>
                </a:solidFill>
                <a:latin typeface="+mn-lt"/>
                <a:ea typeface="+mn-ea"/>
                <a:cs typeface="+mn-cs"/>
              </a:defRPr>
            </a:pPr>
            <a:endParaRPr lang="pl-PL"/>
          </a:p>
        </c:txPr>
        <c:crossAx val="-1568003584"/>
        <c:crosses val="autoZero"/>
        <c:auto val="1"/>
        <c:lblAlgn val="ctr"/>
        <c:lblOffset val="100"/>
        <c:noMultiLvlLbl val="0"/>
      </c:catAx>
      <c:valAx>
        <c:axId val="-1568003584"/>
        <c:scaling>
          <c:orientation val="minMax"/>
          <c:max val="7"/>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rgbClr val="002060"/>
                </a:solidFill>
                <a:latin typeface="+mn-lt"/>
                <a:ea typeface="+mn-ea"/>
                <a:cs typeface="+mn-cs"/>
              </a:defRPr>
            </a:pPr>
            <a:endParaRPr lang="pl-PL"/>
          </a:p>
        </c:txPr>
        <c:crossAx val="-15680041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700">
          <a:solidFill>
            <a:srgbClr val="002060"/>
          </a:solidFill>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Arkusz1!$A$23</c:f>
              <c:strCache>
                <c:ptCount val="1"/>
                <c:pt idx="0">
                  <c:v>System planów, strategii i programów na poziomie rządowym wymaga dalszego porządkowania</c:v>
                </c:pt>
              </c:strCache>
            </c:strRef>
          </c:tx>
          <c:spPr>
            <a:solidFill>
              <a:srgbClr val="002060"/>
            </a:solidFill>
            <a:ln>
              <a:noFill/>
            </a:ln>
            <a:effectLst/>
          </c:spPr>
          <c:invertIfNegative val="0"/>
          <c:cat>
            <c:strRef>
              <c:f>Arkusz1!$B$22:$G$22</c:f>
              <c:strCache>
                <c:ptCount val="6"/>
                <c:pt idx="0">
                  <c:v>Zdecydowanie tak</c:v>
                </c:pt>
                <c:pt idx="1">
                  <c:v>Tak</c:v>
                </c:pt>
                <c:pt idx="2">
                  <c:v>Raczej tak</c:v>
                </c:pt>
                <c:pt idx="3">
                  <c:v>Raczej nie</c:v>
                </c:pt>
                <c:pt idx="4">
                  <c:v>Nie</c:v>
                </c:pt>
                <c:pt idx="5">
                  <c:v>Zdecydowanie  nie</c:v>
                </c:pt>
              </c:strCache>
            </c:strRef>
          </c:cat>
          <c:val>
            <c:numRef>
              <c:f>Arkusz1!$B$23:$G$23</c:f>
              <c:numCache>
                <c:formatCode>General</c:formatCode>
                <c:ptCount val="6"/>
                <c:pt idx="0">
                  <c:v>5</c:v>
                </c:pt>
                <c:pt idx="1">
                  <c:v>4</c:v>
                </c:pt>
                <c:pt idx="2">
                  <c:v>1</c:v>
                </c:pt>
                <c:pt idx="3">
                  <c:v>0</c:v>
                </c:pt>
                <c:pt idx="4">
                  <c:v>0</c:v>
                </c:pt>
                <c:pt idx="5">
                  <c:v>0</c:v>
                </c:pt>
              </c:numCache>
            </c:numRef>
          </c:val>
          <c:extLst xmlns:c16r2="http://schemas.microsoft.com/office/drawing/2015/06/chart">
            <c:ext xmlns:c16="http://schemas.microsoft.com/office/drawing/2014/chart" uri="{C3380CC4-5D6E-409C-BE32-E72D297353CC}">
              <c16:uniqueId val="{00000000-9366-4698-B526-0C8ADB2C45FF}"/>
            </c:ext>
          </c:extLst>
        </c:ser>
        <c:ser>
          <c:idx val="1"/>
          <c:order val="1"/>
          <c:tx>
            <c:strRef>
              <c:f>Arkusz1!$A$24</c:f>
              <c:strCache>
                <c:ptCount val="1"/>
                <c:pt idx="0">
                  <c:v>Na poziomie rządowym powinna być tylko jedna strategia rozwoju</c:v>
                </c:pt>
              </c:strCache>
            </c:strRef>
          </c:tx>
          <c:spPr>
            <a:solidFill>
              <a:srgbClr val="00B0F0"/>
            </a:solidFill>
            <a:ln>
              <a:noFill/>
            </a:ln>
            <a:effectLst/>
          </c:spPr>
          <c:invertIfNegative val="0"/>
          <c:cat>
            <c:strRef>
              <c:f>Arkusz1!$B$22:$G$22</c:f>
              <c:strCache>
                <c:ptCount val="6"/>
                <c:pt idx="0">
                  <c:v>Zdecydowanie tak</c:v>
                </c:pt>
                <c:pt idx="1">
                  <c:v>Tak</c:v>
                </c:pt>
                <c:pt idx="2">
                  <c:v>Raczej tak</c:v>
                </c:pt>
                <c:pt idx="3">
                  <c:v>Raczej nie</c:v>
                </c:pt>
                <c:pt idx="4">
                  <c:v>Nie</c:v>
                </c:pt>
                <c:pt idx="5">
                  <c:v>Zdecydowanie  nie</c:v>
                </c:pt>
              </c:strCache>
            </c:strRef>
          </c:cat>
          <c:val>
            <c:numRef>
              <c:f>Arkusz1!$B$24:$G$24</c:f>
              <c:numCache>
                <c:formatCode>General</c:formatCode>
                <c:ptCount val="6"/>
                <c:pt idx="0">
                  <c:v>1</c:v>
                </c:pt>
                <c:pt idx="1">
                  <c:v>3</c:v>
                </c:pt>
                <c:pt idx="2">
                  <c:v>2</c:v>
                </c:pt>
                <c:pt idx="3">
                  <c:v>1</c:v>
                </c:pt>
                <c:pt idx="4">
                  <c:v>3</c:v>
                </c:pt>
                <c:pt idx="5">
                  <c:v>0</c:v>
                </c:pt>
              </c:numCache>
            </c:numRef>
          </c:val>
          <c:extLst xmlns:c16r2="http://schemas.microsoft.com/office/drawing/2015/06/chart">
            <c:ext xmlns:c16="http://schemas.microsoft.com/office/drawing/2014/chart" uri="{C3380CC4-5D6E-409C-BE32-E72D297353CC}">
              <c16:uniqueId val="{00000001-9366-4698-B526-0C8ADB2C45FF}"/>
            </c:ext>
          </c:extLst>
        </c:ser>
        <c:dLbls>
          <c:showLegendKey val="0"/>
          <c:showVal val="0"/>
          <c:showCatName val="0"/>
          <c:showSerName val="0"/>
          <c:showPercent val="0"/>
          <c:showBubbleSize val="0"/>
        </c:dLbls>
        <c:gapWidth val="219"/>
        <c:overlap val="-27"/>
        <c:axId val="-1568001952"/>
        <c:axId val="-1568003040"/>
      </c:barChart>
      <c:catAx>
        <c:axId val="-156800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rgbClr val="002060"/>
                </a:solidFill>
                <a:latin typeface="+mn-lt"/>
                <a:ea typeface="+mn-ea"/>
                <a:cs typeface="+mn-cs"/>
              </a:defRPr>
            </a:pPr>
            <a:endParaRPr lang="pl-PL"/>
          </a:p>
        </c:txPr>
        <c:crossAx val="-1568003040"/>
        <c:crosses val="autoZero"/>
        <c:auto val="1"/>
        <c:lblAlgn val="ctr"/>
        <c:lblOffset val="100"/>
        <c:noMultiLvlLbl val="0"/>
      </c:catAx>
      <c:valAx>
        <c:axId val="-1568003040"/>
        <c:scaling>
          <c:orientation val="minMax"/>
          <c:max val="7"/>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rgbClr val="002060"/>
                </a:solidFill>
                <a:latin typeface="+mn-lt"/>
                <a:ea typeface="+mn-ea"/>
                <a:cs typeface="+mn-cs"/>
              </a:defRPr>
            </a:pPr>
            <a:endParaRPr lang="pl-PL"/>
          </a:p>
        </c:txPr>
        <c:crossAx val="-156800195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700">
          <a:solidFill>
            <a:srgbClr val="002060"/>
          </a:solidFill>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WYKRESY!$A$34</c:f>
              <c:strCache>
                <c:ptCount val="1"/>
                <c:pt idx="0">
                  <c:v>Tworząc programy łatwo „wpisujemy się” nimi w Strategię województwa</c:v>
                </c:pt>
              </c:strCache>
            </c:strRef>
          </c:tx>
          <c:spPr>
            <a:solidFill>
              <a:srgbClr val="002060"/>
            </a:solidFill>
            <a:ln>
              <a:noFill/>
            </a:ln>
            <a:effectLst/>
          </c:spPr>
          <c:invertIfNegative val="0"/>
          <c:cat>
            <c:strRef>
              <c:f>WYKRESY!$B$33:$G$33</c:f>
              <c:strCache>
                <c:ptCount val="6"/>
                <c:pt idx="0">
                  <c:v>tak</c:v>
                </c:pt>
                <c:pt idx="1">
                  <c:v>raczej tak</c:v>
                </c:pt>
                <c:pt idx="2">
                  <c:v>raczej nie</c:v>
                </c:pt>
                <c:pt idx="3">
                  <c:v>nie</c:v>
                </c:pt>
                <c:pt idx="4">
                  <c:v>nie wiem</c:v>
                </c:pt>
                <c:pt idx="5">
                  <c:v>nie ma takiej potrzeby</c:v>
                </c:pt>
              </c:strCache>
            </c:strRef>
          </c:cat>
          <c:val>
            <c:numRef>
              <c:f>WYKRESY!$B$34:$G$34</c:f>
              <c:numCache>
                <c:formatCode>General</c:formatCode>
                <c:ptCount val="6"/>
                <c:pt idx="0">
                  <c:v>3</c:v>
                </c:pt>
                <c:pt idx="1">
                  <c:v>19</c:v>
                </c:pt>
                <c:pt idx="2">
                  <c:v>1</c:v>
                </c:pt>
                <c:pt idx="3">
                  <c:v>0</c:v>
                </c:pt>
                <c:pt idx="4">
                  <c:v>4</c:v>
                </c:pt>
                <c:pt idx="5">
                  <c:v>1</c:v>
                </c:pt>
              </c:numCache>
            </c:numRef>
          </c:val>
          <c:extLst xmlns:c16r2="http://schemas.microsoft.com/office/drawing/2015/06/chart">
            <c:ext xmlns:c16="http://schemas.microsoft.com/office/drawing/2014/chart" uri="{C3380CC4-5D6E-409C-BE32-E72D297353CC}">
              <c16:uniqueId val="{00000000-6675-414C-BF69-41A2D91B42A7}"/>
            </c:ext>
          </c:extLst>
        </c:ser>
        <c:ser>
          <c:idx val="1"/>
          <c:order val="1"/>
          <c:tx>
            <c:strRef>
              <c:f>WYKRESY!$A$35</c:f>
              <c:strCache>
                <c:ptCount val="1"/>
                <c:pt idx="0">
                  <c:v>Tworząc programy musimy uzupełniać naszą wiedzę na temat Strategii województwa</c:v>
                </c:pt>
              </c:strCache>
            </c:strRef>
          </c:tx>
          <c:spPr>
            <a:solidFill>
              <a:srgbClr val="0070C0"/>
            </a:solidFill>
            <a:ln>
              <a:noFill/>
            </a:ln>
            <a:effectLst/>
          </c:spPr>
          <c:invertIfNegative val="0"/>
          <c:cat>
            <c:strRef>
              <c:f>WYKRESY!$B$33:$G$33</c:f>
              <c:strCache>
                <c:ptCount val="6"/>
                <c:pt idx="0">
                  <c:v>tak</c:v>
                </c:pt>
                <c:pt idx="1">
                  <c:v>raczej tak</c:v>
                </c:pt>
                <c:pt idx="2">
                  <c:v>raczej nie</c:v>
                </c:pt>
                <c:pt idx="3">
                  <c:v>nie</c:v>
                </c:pt>
                <c:pt idx="4">
                  <c:v>nie wiem</c:v>
                </c:pt>
                <c:pt idx="5">
                  <c:v>nie ma takiej potrzeby</c:v>
                </c:pt>
              </c:strCache>
            </c:strRef>
          </c:cat>
          <c:val>
            <c:numRef>
              <c:f>WYKRESY!$B$35:$G$35</c:f>
              <c:numCache>
                <c:formatCode>General</c:formatCode>
                <c:ptCount val="6"/>
                <c:pt idx="0">
                  <c:v>10</c:v>
                </c:pt>
                <c:pt idx="1">
                  <c:v>15</c:v>
                </c:pt>
                <c:pt idx="2">
                  <c:v>1</c:v>
                </c:pt>
                <c:pt idx="3">
                  <c:v>1</c:v>
                </c:pt>
                <c:pt idx="4">
                  <c:v>0</c:v>
                </c:pt>
                <c:pt idx="5">
                  <c:v>1</c:v>
                </c:pt>
              </c:numCache>
            </c:numRef>
          </c:val>
          <c:extLst xmlns:c16r2="http://schemas.microsoft.com/office/drawing/2015/06/chart">
            <c:ext xmlns:c16="http://schemas.microsoft.com/office/drawing/2014/chart" uri="{C3380CC4-5D6E-409C-BE32-E72D297353CC}">
              <c16:uniqueId val="{00000001-6675-414C-BF69-41A2D91B42A7}"/>
            </c:ext>
          </c:extLst>
        </c:ser>
        <c:ser>
          <c:idx val="2"/>
          <c:order val="2"/>
          <c:tx>
            <c:strRef>
              <c:f>WYKRESY!$A$36</c:f>
              <c:strCache>
                <c:ptCount val="1"/>
                <c:pt idx="0">
                  <c:v>Tworząc programy wymagane ustawami i tak sprawdzamy zgodność ich zapisów ze Strategią województwa</c:v>
                </c:pt>
              </c:strCache>
            </c:strRef>
          </c:tx>
          <c:spPr>
            <a:solidFill>
              <a:srgbClr val="00B0F0"/>
            </a:solidFill>
            <a:ln>
              <a:noFill/>
            </a:ln>
            <a:effectLst/>
          </c:spPr>
          <c:invertIfNegative val="0"/>
          <c:cat>
            <c:strRef>
              <c:f>WYKRESY!$B$33:$G$33</c:f>
              <c:strCache>
                <c:ptCount val="6"/>
                <c:pt idx="0">
                  <c:v>tak</c:v>
                </c:pt>
                <c:pt idx="1">
                  <c:v>raczej tak</c:v>
                </c:pt>
                <c:pt idx="2">
                  <c:v>raczej nie</c:v>
                </c:pt>
                <c:pt idx="3">
                  <c:v>nie</c:v>
                </c:pt>
                <c:pt idx="4">
                  <c:v>nie wiem</c:v>
                </c:pt>
                <c:pt idx="5">
                  <c:v>nie ma takiej potrzeby</c:v>
                </c:pt>
              </c:strCache>
            </c:strRef>
          </c:cat>
          <c:val>
            <c:numRef>
              <c:f>WYKRESY!$B$36:$G$36</c:f>
              <c:numCache>
                <c:formatCode>General</c:formatCode>
                <c:ptCount val="6"/>
                <c:pt idx="0">
                  <c:v>15</c:v>
                </c:pt>
                <c:pt idx="1">
                  <c:v>10</c:v>
                </c:pt>
                <c:pt idx="2">
                  <c:v>1</c:v>
                </c:pt>
                <c:pt idx="3">
                  <c:v>0</c:v>
                </c:pt>
                <c:pt idx="4">
                  <c:v>1</c:v>
                </c:pt>
                <c:pt idx="5">
                  <c:v>1</c:v>
                </c:pt>
              </c:numCache>
            </c:numRef>
          </c:val>
          <c:extLst xmlns:c16r2="http://schemas.microsoft.com/office/drawing/2015/06/chart">
            <c:ext xmlns:c16="http://schemas.microsoft.com/office/drawing/2014/chart" uri="{C3380CC4-5D6E-409C-BE32-E72D297353CC}">
              <c16:uniqueId val="{00000002-6675-414C-BF69-41A2D91B42A7}"/>
            </c:ext>
          </c:extLst>
        </c:ser>
        <c:dLbls>
          <c:showLegendKey val="0"/>
          <c:showVal val="0"/>
          <c:showCatName val="0"/>
          <c:showSerName val="0"/>
          <c:showPercent val="0"/>
          <c:showBubbleSize val="0"/>
        </c:dLbls>
        <c:gapWidth val="219"/>
        <c:overlap val="-27"/>
        <c:axId val="-1830541056"/>
        <c:axId val="-1830542144"/>
      </c:barChart>
      <c:catAx>
        <c:axId val="-183054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rgbClr val="002060"/>
                </a:solidFill>
                <a:latin typeface="+mn-lt"/>
                <a:ea typeface="+mn-ea"/>
                <a:cs typeface="+mn-cs"/>
              </a:defRPr>
            </a:pPr>
            <a:endParaRPr lang="pl-PL"/>
          </a:p>
        </c:txPr>
        <c:crossAx val="-1830542144"/>
        <c:crosses val="autoZero"/>
        <c:auto val="1"/>
        <c:lblAlgn val="ctr"/>
        <c:lblOffset val="100"/>
        <c:noMultiLvlLbl val="0"/>
      </c:catAx>
      <c:valAx>
        <c:axId val="-1830542144"/>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1830541056"/>
        <c:crosses val="autoZero"/>
        <c:crossBetween val="between"/>
        <c:majorUnit val="1"/>
      </c:valAx>
      <c:spPr>
        <a:noFill/>
        <a:ln>
          <a:noFill/>
        </a:ln>
        <a:effectLst/>
      </c:spPr>
    </c:plotArea>
    <c:legend>
      <c:legendPos val="b"/>
      <c:layout>
        <c:manualLayout>
          <c:xMode val="edge"/>
          <c:yMode val="edge"/>
          <c:x val="2.3964804041713032E-2"/>
          <c:y val="0.72661525969384544"/>
          <c:w val="0.96399621558933035"/>
          <c:h val="0.24594977098450926"/>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a:solidFill>
            <a:srgbClr val="002060"/>
          </a:solidFill>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WYKRESY!$A$76</c:f>
              <c:strCache>
                <c:ptCount val="1"/>
                <c:pt idx="0">
                  <c:v>Trudno jest przełożyć wskaźniki celów Strategii na wskaźniki programów</c:v>
                </c:pt>
              </c:strCache>
            </c:strRef>
          </c:tx>
          <c:spPr>
            <a:solidFill>
              <a:srgbClr val="002060"/>
            </a:solidFill>
            <a:ln>
              <a:noFill/>
            </a:ln>
            <a:effectLst/>
          </c:spPr>
          <c:invertIfNegative val="0"/>
          <c:cat>
            <c:strRef>
              <c:f>WYKRESY!$B$75:$F$75</c:f>
              <c:strCache>
                <c:ptCount val="5"/>
                <c:pt idx="0">
                  <c:v>tak</c:v>
                </c:pt>
                <c:pt idx="1">
                  <c:v>raczej tak</c:v>
                </c:pt>
                <c:pt idx="2">
                  <c:v>raczej nie</c:v>
                </c:pt>
                <c:pt idx="3">
                  <c:v>nie</c:v>
                </c:pt>
                <c:pt idx="4">
                  <c:v>nie wiem</c:v>
                </c:pt>
              </c:strCache>
            </c:strRef>
          </c:cat>
          <c:val>
            <c:numRef>
              <c:f>WYKRESY!$B$76:$F$76</c:f>
              <c:numCache>
                <c:formatCode>General</c:formatCode>
                <c:ptCount val="5"/>
                <c:pt idx="0">
                  <c:v>1</c:v>
                </c:pt>
                <c:pt idx="1">
                  <c:v>6</c:v>
                </c:pt>
                <c:pt idx="2">
                  <c:v>11</c:v>
                </c:pt>
                <c:pt idx="3">
                  <c:v>1</c:v>
                </c:pt>
                <c:pt idx="4">
                  <c:v>8</c:v>
                </c:pt>
              </c:numCache>
            </c:numRef>
          </c:val>
          <c:extLst xmlns:c16r2="http://schemas.microsoft.com/office/drawing/2015/06/chart">
            <c:ext xmlns:c16="http://schemas.microsoft.com/office/drawing/2014/chart" uri="{C3380CC4-5D6E-409C-BE32-E72D297353CC}">
              <c16:uniqueId val="{00000000-F33B-4638-A8B2-45F9CD852DD4}"/>
            </c:ext>
          </c:extLst>
        </c:ser>
        <c:dLbls>
          <c:showLegendKey val="0"/>
          <c:showVal val="0"/>
          <c:showCatName val="0"/>
          <c:showSerName val="0"/>
          <c:showPercent val="0"/>
          <c:showBubbleSize val="0"/>
        </c:dLbls>
        <c:gapWidth val="219"/>
        <c:overlap val="-27"/>
        <c:axId val="-1830539968"/>
        <c:axId val="-1830542688"/>
      </c:barChart>
      <c:catAx>
        <c:axId val="-183053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pl-PL"/>
          </a:p>
        </c:txPr>
        <c:crossAx val="-1830542688"/>
        <c:crosses val="autoZero"/>
        <c:auto val="1"/>
        <c:lblAlgn val="ctr"/>
        <c:lblOffset val="100"/>
        <c:noMultiLvlLbl val="0"/>
      </c:catAx>
      <c:valAx>
        <c:axId val="-1830542688"/>
        <c:scaling>
          <c:orientation val="minMax"/>
          <c:max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pl-PL"/>
          </a:p>
        </c:txPr>
        <c:crossAx val="-1830539968"/>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rgbClr val="002060"/>
          </a:solidFill>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715315370734903E-2"/>
          <c:y val="4.5605306799336651E-2"/>
          <c:w val="0.89247739296259843"/>
          <c:h val="0.71140654992752772"/>
        </c:manualLayout>
      </c:layout>
      <c:barChart>
        <c:barDir val="col"/>
        <c:grouping val="clustered"/>
        <c:varyColors val="0"/>
        <c:ser>
          <c:idx val="0"/>
          <c:order val="0"/>
          <c:tx>
            <c:strRef>
              <c:f>WYKRESY!$A$53</c:f>
              <c:strCache>
                <c:ptCount val="1"/>
                <c:pt idx="0">
                  <c:v>innych departamentów UMWW</c:v>
                </c:pt>
              </c:strCache>
            </c:strRef>
          </c:tx>
          <c:spPr>
            <a:solidFill>
              <a:srgbClr val="002060"/>
            </a:solidFill>
            <a:ln>
              <a:noFill/>
            </a:ln>
            <a:effectLst/>
          </c:spPr>
          <c:invertIfNegative val="0"/>
          <c:cat>
            <c:strRef>
              <c:f>WYKRESY!$B$52:$G$52</c:f>
              <c:strCache>
                <c:ptCount val="6"/>
                <c:pt idx="0">
                  <c:v>tak</c:v>
                </c:pt>
                <c:pt idx="1">
                  <c:v>raczej tak</c:v>
                </c:pt>
                <c:pt idx="2">
                  <c:v>raczej nie</c:v>
                </c:pt>
                <c:pt idx="3">
                  <c:v>nie</c:v>
                </c:pt>
                <c:pt idx="4">
                  <c:v>nie wiem</c:v>
                </c:pt>
                <c:pt idx="5">
                  <c:v>nie ma takiej potrzeby</c:v>
                </c:pt>
              </c:strCache>
            </c:strRef>
          </c:cat>
          <c:val>
            <c:numRef>
              <c:f>WYKRESY!$B$53:$G$53</c:f>
              <c:numCache>
                <c:formatCode>General</c:formatCode>
                <c:ptCount val="6"/>
                <c:pt idx="0">
                  <c:v>8</c:v>
                </c:pt>
                <c:pt idx="1">
                  <c:v>17</c:v>
                </c:pt>
                <c:pt idx="2">
                  <c:v>0</c:v>
                </c:pt>
                <c:pt idx="3">
                  <c:v>1</c:v>
                </c:pt>
                <c:pt idx="4">
                  <c:v>0</c:v>
                </c:pt>
                <c:pt idx="5">
                  <c:v>1</c:v>
                </c:pt>
              </c:numCache>
            </c:numRef>
          </c:val>
          <c:extLst xmlns:c16r2="http://schemas.microsoft.com/office/drawing/2015/06/chart">
            <c:ext xmlns:c16="http://schemas.microsoft.com/office/drawing/2014/chart" uri="{C3380CC4-5D6E-409C-BE32-E72D297353CC}">
              <c16:uniqueId val="{00000000-DE5E-4071-A6C8-BD4CA227B305}"/>
            </c:ext>
          </c:extLst>
        </c:ser>
        <c:ser>
          <c:idx val="1"/>
          <c:order val="1"/>
          <c:tx>
            <c:strRef>
              <c:f>WYKRESY!$A$54</c:f>
              <c:strCache>
                <c:ptCount val="1"/>
                <c:pt idx="0">
                  <c:v>administracji centralnej</c:v>
                </c:pt>
              </c:strCache>
            </c:strRef>
          </c:tx>
          <c:spPr>
            <a:solidFill>
              <a:srgbClr val="0041C4"/>
            </a:solidFill>
            <a:ln>
              <a:noFill/>
            </a:ln>
            <a:effectLst/>
          </c:spPr>
          <c:invertIfNegative val="0"/>
          <c:cat>
            <c:strRef>
              <c:f>WYKRESY!$B$52:$G$52</c:f>
              <c:strCache>
                <c:ptCount val="6"/>
                <c:pt idx="0">
                  <c:v>tak</c:v>
                </c:pt>
                <c:pt idx="1">
                  <c:v>raczej tak</c:v>
                </c:pt>
                <c:pt idx="2">
                  <c:v>raczej nie</c:v>
                </c:pt>
                <c:pt idx="3">
                  <c:v>nie</c:v>
                </c:pt>
                <c:pt idx="4">
                  <c:v>nie wiem</c:v>
                </c:pt>
                <c:pt idx="5">
                  <c:v>nie ma takiej potrzeby</c:v>
                </c:pt>
              </c:strCache>
            </c:strRef>
          </c:cat>
          <c:val>
            <c:numRef>
              <c:f>WYKRESY!$B$54:$G$54</c:f>
              <c:numCache>
                <c:formatCode>General</c:formatCode>
                <c:ptCount val="6"/>
                <c:pt idx="0">
                  <c:v>1</c:v>
                </c:pt>
                <c:pt idx="1">
                  <c:v>8</c:v>
                </c:pt>
                <c:pt idx="2">
                  <c:v>8</c:v>
                </c:pt>
                <c:pt idx="3">
                  <c:v>2</c:v>
                </c:pt>
                <c:pt idx="4">
                  <c:v>6</c:v>
                </c:pt>
                <c:pt idx="5">
                  <c:v>3</c:v>
                </c:pt>
              </c:numCache>
            </c:numRef>
          </c:val>
          <c:extLst xmlns:c16r2="http://schemas.microsoft.com/office/drawing/2015/06/chart">
            <c:ext xmlns:c16="http://schemas.microsoft.com/office/drawing/2014/chart" uri="{C3380CC4-5D6E-409C-BE32-E72D297353CC}">
              <c16:uniqueId val="{00000001-DE5E-4071-A6C8-BD4CA227B305}"/>
            </c:ext>
          </c:extLst>
        </c:ser>
        <c:ser>
          <c:idx val="2"/>
          <c:order val="2"/>
          <c:tx>
            <c:strRef>
              <c:f>WYKRESY!$A$55</c:f>
              <c:strCache>
                <c:ptCount val="1"/>
                <c:pt idx="0">
                  <c:v>administracji lokalnej</c:v>
                </c:pt>
              </c:strCache>
            </c:strRef>
          </c:tx>
          <c:spPr>
            <a:solidFill>
              <a:srgbClr val="5D93FF"/>
            </a:solidFill>
            <a:ln>
              <a:noFill/>
            </a:ln>
            <a:effectLst/>
          </c:spPr>
          <c:invertIfNegative val="0"/>
          <c:cat>
            <c:strRef>
              <c:f>WYKRESY!$B$52:$G$52</c:f>
              <c:strCache>
                <c:ptCount val="6"/>
                <c:pt idx="0">
                  <c:v>tak</c:v>
                </c:pt>
                <c:pt idx="1">
                  <c:v>raczej tak</c:v>
                </c:pt>
                <c:pt idx="2">
                  <c:v>raczej nie</c:v>
                </c:pt>
                <c:pt idx="3">
                  <c:v>nie</c:v>
                </c:pt>
                <c:pt idx="4">
                  <c:v>nie wiem</c:v>
                </c:pt>
                <c:pt idx="5">
                  <c:v>nie ma takiej potrzeby</c:v>
                </c:pt>
              </c:strCache>
            </c:strRef>
          </c:cat>
          <c:val>
            <c:numRef>
              <c:f>WYKRESY!$B$55:$G$55</c:f>
              <c:numCache>
                <c:formatCode>General</c:formatCode>
                <c:ptCount val="6"/>
                <c:pt idx="0">
                  <c:v>8</c:v>
                </c:pt>
                <c:pt idx="1">
                  <c:v>17</c:v>
                </c:pt>
                <c:pt idx="2">
                  <c:v>1</c:v>
                </c:pt>
                <c:pt idx="3">
                  <c:v>0</c:v>
                </c:pt>
                <c:pt idx="4">
                  <c:v>0</c:v>
                </c:pt>
                <c:pt idx="5">
                  <c:v>1</c:v>
                </c:pt>
              </c:numCache>
            </c:numRef>
          </c:val>
          <c:extLst xmlns:c16r2="http://schemas.microsoft.com/office/drawing/2015/06/chart">
            <c:ext xmlns:c16="http://schemas.microsoft.com/office/drawing/2014/chart" uri="{C3380CC4-5D6E-409C-BE32-E72D297353CC}">
              <c16:uniqueId val="{00000002-DE5E-4071-A6C8-BD4CA227B305}"/>
            </c:ext>
          </c:extLst>
        </c:ser>
        <c:ser>
          <c:idx val="3"/>
          <c:order val="3"/>
          <c:tx>
            <c:strRef>
              <c:f>WYKRESY!$A$56</c:f>
              <c:strCache>
                <c:ptCount val="1"/>
                <c:pt idx="0">
                  <c:v>przedsiębiorców</c:v>
                </c:pt>
              </c:strCache>
            </c:strRef>
          </c:tx>
          <c:spPr>
            <a:solidFill>
              <a:srgbClr val="FF0000"/>
            </a:solidFill>
            <a:ln>
              <a:noFill/>
            </a:ln>
            <a:effectLst/>
          </c:spPr>
          <c:invertIfNegative val="0"/>
          <c:cat>
            <c:strRef>
              <c:f>WYKRESY!$B$52:$G$52</c:f>
              <c:strCache>
                <c:ptCount val="6"/>
                <c:pt idx="0">
                  <c:v>tak</c:v>
                </c:pt>
                <c:pt idx="1">
                  <c:v>raczej tak</c:v>
                </c:pt>
                <c:pt idx="2">
                  <c:v>raczej nie</c:v>
                </c:pt>
                <c:pt idx="3">
                  <c:v>nie</c:v>
                </c:pt>
                <c:pt idx="4">
                  <c:v>nie wiem</c:v>
                </c:pt>
                <c:pt idx="5">
                  <c:v>nie ma takiej potrzeby</c:v>
                </c:pt>
              </c:strCache>
            </c:strRef>
          </c:cat>
          <c:val>
            <c:numRef>
              <c:f>WYKRESY!$B$56:$G$56</c:f>
              <c:numCache>
                <c:formatCode>General</c:formatCode>
                <c:ptCount val="6"/>
                <c:pt idx="0">
                  <c:v>2</c:v>
                </c:pt>
                <c:pt idx="1">
                  <c:v>11</c:v>
                </c:pt>
                <c:pt idx="2">
                  <c:v>5</c:v>
                </c:pt>
                <c:pt idx="3">
                  <c:v>0</c:v>
                </c:pt>
                <c:pt idx="4">
                  <c:v>7</c:v>
                </c:pt>
                <c:pt idx="5">
                  <c:v>2</c:v>
                </c:pt>
              </c:numCache>
            </c:numRef>
          </c:val>
          <c:extLst xmlns:c16r2="http://schemas.microsoft.com/office/drawing/2015/06/chart">
            <c:ext xmlns:c16="http://schemas.microsoft.com/office/drawing/2014/chart" uri="{C3380CC4-5D6E-409C-BE32-E72D297353CC}">
              <c16:uniqueId val="{00000003-DE5E-4071-A6C8-BD4CA227B305}"/>
            </c:ext>
          </c:extLst>
        </c:ser>
        <c:ser>
          <c:idx val="4"/>
          <c:order val="4"/>
          <c:tx>
            <c:strRef>
              <c:f>WYKRESY!$A$57</c:f>
              <c:strCache>
                <c:ptCount val="1"/>
                <c:pt idx="0">
                  <c:v>sektora nauki</c:v>
                </c:pt>
              </c:strCache>
            </c:strRef>
          </c:tx>
          <c:spPr>
            <a:solidFill>
              <a:srgbClr val="00B050"/>
            </a:solidFill>
            <a:ln>
              <a:noFill/>
            </a:ln>
            <a:effectLst/>
          </c:spPr>
          <c:invertIfNegative val="0"/>
          <c:cat>
            <c:strRef>
              <c:f>WYKRESY!$B$52:$G$52</c:f>
              <c:strCache>
                <c:ptCount val="6"/>
                <c:pt idx="0">
                  <c:v>tak</c:v>
                </c:pt>
                <c:pt idx="1">
                  <c:v>raczej tak</c:v>
                </c:pt>
                <c:pt idx="2">
                  <c:v>raczej nie</c:v>
                </c:pt>
                <c:pt idx="3">
                  <c:v>nie</c:v>
                </c:pt>
                <c:pt idx="4">
                  <c:v>nie wiem</c:v>
                </c:pt>
                <c:pt idx="5">
                  <c:v>nie ma takiej potrzeby</c:v>
                </c:pt>
              </c:strCache>
            </c:strRef>
          </c:cat>
          <c:val>
            <c:numRef>
              <c:f>WYKRESY!$B$57:$G$57</c:f>
              <c:numCache>
                <c:formatCode>General</c:formatCode>
                <c:ptCount val="6"/>
                <c:pt idx="0">
                  <c:v>9</c:v>
                </c:pt>
                <c:pt idx="1">
                  <c:v>14</c:v>
                </c:pt>
                <c:pt idx="2">
                  <c:v>0</c:v>
                </c:pt>
                <c:pt idx="3">
                  <c:v>0</c:v>
                </c:pt>
                <c:pt idx="4">
                  <c:v>4</c:v>
                </c:pt>
                <c:pt idx="5">
                  <c:v>1</c:v>
                </c:pt>
              </c:numCache>
            </c:numRef>
          </c:val>
          <c:extLst xmlns:c16r2="http://schemas.microsoft.com/office/drawing/2015/06/chart">
            <c:ext xmlns:c16="http://schemas.microsoft.com/office/drawing/2014/chart" uri="{C3380CC4-5D6E-409C-BE32-E72D297353CC}">
              <c16:uniqueId val="{00000004-DE5E-4071-A6C8-BD4CA227B305}"/>
            </c:ext>
          </c:extLst>
        </c:ser>
        <c:ser>
          <c:idx val="5"/>
          <c:order val="5"/>
          <c:tx>
            <c:strRef>
              <c:f>WYKRESY!$A$58</c:f>
              <c:strCache>
                <c:ptCount val="1"/>
                <c:pt idx="0">
                  <c:v>organizacji pozarządowych</c:v>
                </c:pt>
              </c:strCache>
            </c:strRef>
          </c:tx>
          <c:spPr>
            <a:solidFill>
              <a:srgbClr val="FFC000"/>
            </a:solidFill>
            <a:ln>
              <a:noFill/>
            </a:ln>
            <a:effectLst/>
          </c:spPr>
          <c:invertIfNegative val="0"/>
          <c:cat>
            <c:strRef>
              <c:f>WYKRESY!$B$52:$G$52</c:f>
              <c:strCache>
                <c:ptCount val="6"/>
                <c:pt idx="0">
                  <c:v>tak</c:v>
                </c:pt>
                <c:pt idx="1">
                  <c:v>raczej tak</c:v>
                </c:pt>
                <c:pt idx="2">
                  <c:v>raczej nie</c:v>
                </c:pt>
                <c:pt idx="3">
                  <c:v>nie</c:v>
                </c:pt>
                <c:pt idx="4">
                  <c:v>nie wiem</c:v>
                </c:pt>
                <c:pt idx="5">
                  <c:v>nie ma takiej potrzeby</c:v>
                </c:pt>
              </c:strCache>
            </c:strRef>
          </c:cat>
          <c:val>
            <c:numRef>
              <c:f>WYKRESY!$B$58:$G$58</c:f>
              <c:numCache>
                <c:formatCode>General</c:formatCode>
                <c:ptCount val="6"/>
                <c:pt idx="0">
                  <c:v>5</c:v>
                </c:pt>
                <c:pt idx="1">
                  <c:v>15</c:v>
                </c:pt>
                <c:pt idx="2">
                  <c:v>1</c:v>
                </c:pt>
                <c:pt idx="3">
                  <c:v>1</c:v>
                </c:pt>
                <c:pt idx="4">
                  <c:v>3</c:v>
                </c:pt>
                <c:pt idx="5">
                  <c:v>2</c:v>
                </c:pt>
              </c:numCache>
            </c:numRef>
          </c:val>
          <c:extLst xmlns:c16r2="http://schemas.microsoft.com/office/drawing/2015/06/chart">
            <c:ext xmlns:c16="http://schemas.microsoft.com/office/drawing/2014/chart" uri="{C3380CC4-5D6E-409C-BE32-E72D297353CC}">
              <c16:uniqueId val="{00000005-DE5E-4071-A6C8-BD4CA227B305}"/>
            </c:ext>
          </c:extLst>
        </c:ser>
        <c:dLbls>
          <c:showLegendKey val="0"/>
          <c:showVal val="0"/>
          <c:showCatName val="0"/>
          <c:showSerName val="0"/>
          <c:showPercent val="0"/>
          <c:showBubbleSize val="0"/>
        </c:dLbls>
        <c:gapWidth val="219"/>
        <c:overlap val="-27"/>
        <c:axId val="-1113287008"/>
        <c:axId val="-1113285920"/>
      </c:barChart>
      <c:catAx>
        <c:axId val="-111328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1113285920"/>
        <c:crosses val="autoZero"/>
        <c:auto val="1"/>
        <c:lblAlgn val="ctr"/>
        <c:lblOffset val="100"/>
        <c:noMultiLvlLbl val="0"/>
      </c:catAx>
      <c:valAx>
        <c:axId val="-1113285920"/>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1113287008"/>
        <c:crosses val="autoZero"/>
        <c:crossBetween val="between"/>
        <c:majorUnit val="1"/>
      </c:valAx>
      <c:spPr>
        <a:noFill/>
        <a:ln>
          <a:noFill/>
        </a:ln>
        <a:effectLst/>
      </c:spPr>
    </c:plotArea>
    <c:legend>
      <c:legendPos val="b"/>
      <c:layout>
        <c:manualLayout>
          <c:xMode val="edge"/>
          <c:yMode val="edge"/>
          <c:x val="1.7859815862860891E-2"/>
          <c:y val="0.84643351484049567"/>
          <c:w val="0.97730134126934898"/>
          <c:h val="0.11404681066242867"/>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a:solidFill>
            <a:srgbClr val="002060"/>
          </a:solidFill>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'Cele strateg'!$C$326</c:f>
              <c:strCache>
                <c:ptCount val="1"/>
                <c:pt idx="0">
                  <c:v>Biznes</c:v>
                </c:pt>
              </c:strCache>
            </c:strRef>
          </c:tx>
          <c:spPr>
            <a:ln w="28575" cap="rnd">
              <a:noFill/>
              <a:round/>
            </a:ln>
            <a:effectLst/>
          </c:spPr>
          <c:marker>
            <c:symbol val="diamond"/>
            <c:size val="12"/>
            <c:spPr>
              <a:solidFill>
                <a:srgbClr val="FFC000">
                  <a:alpha val="50000"/>
                </a:srgbClr>
              </a:solidFill>
              <a:ln w="9525">
                <a:noFill/>
              </a:ln>
              <a:effectLst/>
            </c:spPr>
          </c:marker>
          <c:xVal>
            <c:strRef>
              <c:f>'Cele strateg'!$D$325:$L$325</c:f>
              <c:strCache>
                <c:ptCount val="9"/>
                <c:pt idx="0">
                  <c:v>Cel strategiczny 1. Poprawa dostępności komunikacyjnej regionu</c:v>
                </c:pt>
                <c:pt idx="1">
                  <c:v>Cel strategiczny 2. Poprawa stanu środowiska i racjonalne gospodarowanie jego zasobami</c:v>
                </c:pt>
                <c:pt idx="2">
                  <c:v>Cel strategiczny 3. Lepsze zarządzanie energią</c:v>
                </c:pt>
                <c:pt idx="3">
                  <c:v>Cel strategiczny 4. Zwiększanie konkurencyjności metropolii poznańskiej i innych ośrodków wzrostu w województwie</c:v>
                </c:pt>
                <c:pt idx="4">
                  <c:v>Cel strategiczny 5. Zwiększenie spójności województwa</c:v>
                </c:pt>
                <c:pt idx="5">
                  <c:v>Cel strategiczny 6. Wzmocnienie potencjału gospodarczego regionu</c:v>
                </c:pt>
                <c:pt idx="6">
                  <c:v>Cel strategiczny 7. Wzrost kompetencji mieszkańców i zatrudnienia</c:v>
                </c:pt>
                <c:pt idx="7">
                  <c:v>Cel strategiczny 8. Zwiększanie zasobów oraz wyrównywanie potencjałów społecznych województwa</c:v>
                </c:pt>
                <c:pt idx="8">
                  <c:v>Cel strategiczny 9. Wzrost bezpieczeństwa i sprawności zarządzania regionem</c:v>
                </c:pt>
              </c:strCache>
            </c:strRef>
          </c:xVal>
          <c:yVal>
            <c:numRef>
              <c:f>'Cele strateg'!$D$326:$L$326</c:f>
              <c:numCache>
                <c:formatCode>General</c:formatCode>
                <c:ptCount val="9"/>
                <c:pt idx="0">
                  <c:v>4</c:v>
                </c:pt>
                <c:pt idx="1">
                  <c:v>3</c:v>
                </c:pt>
                <c:pt idx="2">
                  <c:v>1</c:v>
                </c:pt>
                <c:pt idx="3">
                  <c:v>1</c:v>
                </c:pt>
                <c:pt idx="4">
                  <c:v>6</c:v>
                </c:pt>
                <c:pt idx="5">
                  <c:v>11</c:v>
                </c:pt>
                <c:pt idx="6">
                  <c:v>6</c:v>
                </c:pt>
                <c:pt idx="7">
                  <c:v>6</c:v>
                </c:pt>
                <c:pt idx="8">
                  <c:v>5</c:v>
                </c:pt>
              </c:numCache>
            </c:numRef>
          </c:yVal>
          <c:smooth val="0"/>
          <c:extLst xmlns:c16r2="http://schemas.microsoft.com/office/drawing/2015/06/chart">
            <c:ext xmlns:c16="http://schemas.microsoft.com/office/drawing/2014/chart" uri="{C3380CC4-5D6E-409C-BE32-E72D297353CC}">
              <c16:uniqueId val="{00000000-F3B4-442E-8A84-154326360044}"/>
            </c:ext>
          </c:extLst>
        </c:ser>
        <c:ser>
          <c:idx val="1"/>
          <c:order val="1"/>
          <c:tx>
            <c:strRef>
              <c:f>'Cele strateg'!$C$327</c:f>
              <c:strCache>
                <c:ptCount val="1"/>
                <c:pt idx="0">
                  <c:v>Nauka</c:v>
                </c:pt>
              </c:strCache>
            </c:strRef>
          </c:tx>
          <c:spPr>
            <a:ln w="28575" cap="rnd">
              <a:noFill/>
              <a:round/>
            </a:ln>
            <a:effectLst/>
          </c:spPr>
          <c:marker>
            <c:symbol val="square"/>
            <c:size val="12"/>
            <c:spPr>
              <a:solidFill>
                <a:srgbClr val="5D93FF">
                  <a:alpha val="49804"/>
                </a:srgbClr>
              </a:solidFill>
              <a:ln w="9525">
                <a:noFill/>
              </a:ln>
              <a:effectLst/>
            </c:spPr>
          </c:marker>
          <c:xVal>
            <c:strRef>
              <c:f>'Cele strateg'!$D$325:$L$325</c:f>
              <c:strCache>
                <c:ptCount val="9"/>
                <c:pt idx="0">
                  <c:v>Cel strategiczny 1. Poprawa dostępności komunikacyjnej regionu</c:v>
                </c:pt>
                <c:pt idx="1">
                  <c:v>Cel strategiczny 2. Poprawa stanu środowiska i racjonalne gospodarowanie jego zasobami</c:v>
                </c:pt>
                <c:pt idx="2">
                  <c:v>Cel strategiczny 3. Lepsze zarządzanie energią</c:v>
                </c:pt>
                <c:pt idx="3">
                  <c:v>Cel strategiczny 4. Zwiększanie konkurencyjności metropolii poznańskiej i innych ośrodków wzrostu w województwie</c:v>
                </c:pt>
                <c:pt idx="4">
                  <c:v>Cel strategiczny 5. Zwiększenie spójności województwa</c:v>
                </c:pt>
                <c:pt idx="5">
                  <c:v>Cel strategiczny 6. Wzmocnienie potencjału gospodarczego regionu</c:v>
                </c:pt>
                <c:pt idx="6">
                  <c:v>Cel strategiczny 7. Wzrost kompetencji mieszkańców i zatrudnienia</c:v>
                </c:pt>
                <c:pt idx="7">
                  <c:v>Cel strategiczny 8. Zwiększanie zasobów oraz wyrównywanie potencjałów społecznych województwa</c:v>
                </c:pt>
                <c:pt idx="8">
                  <c:v>Cel strategiczny 9. Wzrost bezpieczeństwa i sprawności zarządzania regionem</c:v>
                </c:pt>
              </c:strCache>
            </c:strRef>
          </c:xVal>
          <c:yVal>
            <c:numRef>
              <c:f>'Cele strateg'!$D$327:$L$327</c:f>
              <c:numCache>
                <c:formatCode>General</c:formatCode>
                <c:ptCount val="9"/>
                <c:pt idx="0">
                  <c:v>8</c:v>
                </c:pt>
                <c:pt idx="1">
                  <c:v>8</c:v>
                </c:pt>
                <c:pt idx="2">
                  <c:v>9</c:v>
                </c:pt>
                <c:pt idx="3">
                  <c:v>18</c:v>
                </c:pt>
                <c:pt idx="4">
                  <c:v>9</c:v>
                </c:pt>
                <c:pt idx="5">
                  <c:v>12</c:v>
                </c:pt>
                <c:pt idx="6">
                  <c:v>15</c:v>
                </c:pt>
                <c:pt idx="7">
                  <c:v>9</c:v>
                </c:pt>
                <c:pt idx="8">
                  <c:v>9</c:v>
                </c:pt>
              </c:numCache>
            </c:numRef>
          </c:yVal>
          <c:smooth val="0"/>
          <c:extLst xmlns:c16r2="http://schemas.microsoft.com/office/drawing/2015/06/chart">
            <c:ext xmlns:c16="http://schemas.microsoft.com/office/drawing/2014/chart" uri="{C3380CC4-5D6E-409C-BE32-E72D297353CC}">
              <c16:uniqueId val="{00000001-F3B4-442E-8A84-154326360044}"/>
            </c:ext>
          </c:extLst>
        </c:ser>
        <c:ser>
          <c:idx val="2"/>
          <c:order val="2"/>
          <c:tx>
            <c:strRef>
              <c:f>'Cele strateg'!$C$328</c:f>
              <c:strCache>
                <c:ptCount val="1"/>
                <c:pt idx="0">
                  <c:v>Administracja</c:v>
                </c:pt>
              </c:strCache>
            </c:strRef>
          </c:tx>
          <c:spPr>
            <a:ln w="28575" cap="rnd">
              <a:noFill/>
              <a:round/>
            </a:ln>
            <a:effectLst/>
          </c:spPr>
          <c:marker>
            <c:symbol val="circle"/>
            <c:size val="12"/>
            <c:spPr>
              <a:solidFill>
                <a:srgbClr val="FF0000">
                  <a:alpha val="50000"/>
                </a:srgbClr>
              </a:solidFill>
              <a:ln w="9525">
                <a:noFill/>
              </a:ln>
              <a:effectLst/>
            </c:spPr>
          </c:marker>
          <c:xVal>
            <c:strRef>
              <c:f>'Cele strateg'!$D$325:$L$325</c:f>
              <c:strCache>
                <c:ptCount val="9"/>
                <c:pt idx="0">
                  <c:v>Cel strategiczny 1. Poprawa dostępności komunikacyjnej regionu</c:v>
                </c:pt>
                <c:pt idx="1">
                  <c:v>Cel strategiczny 2. Poprawa stanu środowiska i racjonalne gospodarowanie jego zasobami</c:v>
                </c:pt>
                <c:pt idx="2">
                  <c:v>Cel strategiczny 3. Lepsze zarządzanie energią</c:v>
                </c:pt>
                <c:pt idx="3">
                  <c:v>Cel strategiczny 4. Zwiększanie konkurencyjności metropolii poznańskiej i innych ośrodków wzrostu w województwie</c:v>
                </c:pt>
                <c:pt idx="4">
                  <c:v>Cel strategiczny 5. Zwiększenie spójności województwa</c:v>
                </c:pt>
                <c:pt idx="5">
                  <c:v>Cel strategiczny 6. Wzmocnienie potencjału gospodarczego regionu</c:v>
                </c:pt>
                <c:pt idx="6">
                  <c:v>Cel strategiczny 7. Wzrost kompetencji mieszkańców i zatrudnienia</c:v>
                </c:pt>
                <c:pt idx="7">
                  <c:v>Cel strategiczny 8. Zwiększanie zasobów oraz wyrównywanie potencjałów społecznych województwa</c:v>
                </c:pt>
                <c:pt idx="8">
                  <c:v>Cel strategiczny 9. Wzrost bezpieczeństwa i sprawności zarządzania regionem</c:v>
                </c:pt>
              </c:strCache>
            </c:strRef>
          </c:xVal>
          <c:yVal>
            <c:numRef>
              <c:f>'Cele strateg'!$D$328:$L$328</c:f>
              <c:numCache>
                <c:formatCode>General</c:formatCode>
                <c:ptCount val="9"/>
                <c:pt idx="0">
                  <c:v>10</c:v>
                </c:pt>
                <c:pt idx="1">
                  <c:v>12</c:v>
                </c:pt>
                <c:pt idx="2">
                  <c:v>2</c:v>
                </c:pt>
                <c:pt idx="3">
                  <c:v>16</c:v>
                </c:pt>
                <c:pt idx="4">
                  <c:v>21</c:v>
                </c:pt>
                <c:pt idx="5">
                  <c:v>7</c:v>
                </c:pt>
                <c:pt idx="6">
                  <c:v>9</c:v>
                </c:pt>
                <c:pt idx="7">
                  <c:v>14</c:v>
                </c:pt>
                <c:pt idx="8">
                  <c:v>6</c:v>
                </c:pt>
              </c:numCache>
            </c:numRef>
          </c:yVal>
          <c:smooth val="0"/>
          <c:extLst xmlns:c16r2="http://schemas.microsoft.com/office/drawing/2015/06/chart">
            <c:ext xmlns:c16="http://schemas.microsoft.com/office/drawing/2014/chart" uri="{C3380CC4-5D6E-409C-BE32-E72D297353CC}">
              <c16:uniqueId val="{00000002-F3B4-442E-8A84-154326360044}"/>
            </c:ext>
          </c:extLst>
        </c:ser>
        <c:ser>
          <c:idx val="3"/>
          <c:order val="3"/>
          <c:tx>
            <c:strRef>
              <c:f>'Cele strateg'!$C$329</c:f>
              <c:strCache>
                <c:ptCount val="1"/>
                <c:pt idx="0">
                  <c:v>NGO's</c:v>
                </c:pt>
              </c:strCache>
            </c:strRef>
          </c:tx>
          <c:spPr>
            <a:ln w="28575" cap="rnd">
              <a:noFill/>
              <a:round/>
            </a:ln>
            <a:effectLst/>
          </c:spPr>
          <c:marker>
            <c:symbol val="triangle"/>
            <c:size val="12"/>
            <c:spPr>
              <a:solidFill>
                <a:srgbClr val="00B050">
                  <a:alpha val="50000"/>
                </a:srgbClr>
              </a:solidFill>
              <a:ln w="9525">
                <a:noFill/>
              </a:ln>
              <a:effectLst/>
            </c:spPr>
          </c:marker>
          <c:xVal>
            <c:strRef>
              <c:f>'Cele strateg'!$D$325:$L$325</c:f>
              <c:strCache>
                <c:ptCount val="9"/>
                <c:pt idx="0">
                  <c:v>Cel strategiczny 1. Poprawa dostępności komunikacyjnej regionu</c:v>
                </c:pt>
                <c:pt idx="1">
                  <c:v>Cel strategiczny 2. Poprawa stanu środowiska i racjonalne gospodarowanie jego zasobami</c:v>
                </c:pt>
                <c:pt idx="2">
                  <c:v>Cel strategiczny 3. Lepsze zarządzanie energią</c:v>
                </c:pt>
                <c:pt idx="3">
                  <c:v>Cel strategiczny 4. Zwiększanie konkurencyjności metropolii poznańskiej i innych ośrodków wzrostu w województwie</c:v>
                </c:pt>
                <c:pt idx="4">
                  <c:v>Cel strategiczny 5. Zwiększenie spójności województwa</c:v>
                </c:pt>
                <c:pt idx="5">
                  <c:v>Cel strategiczny 6. Wzmocnienie potencjału gospodarczego regionu</c:v>
                </c:pt>
                <c:pt idx="6">
                  <c:v>Cel strategiczny 7. Wzrost kompetencji mieszkańców i zatrudnienia</c:v>
                </c:pt>
                <c:pt idx="7">
                  <c:v>Cel strategiczny 8. Zwiększanie zasobów oraz wyrównywanie potencjałów społecznych województwa</c:v>
                </c:pt>
                <c:pt idx="8">
                  <c:v>Cel strategiczny 9. Wzrost bezpieczeństwa i sprawności zarządzania regionem</c:v>
                </c:pt>
              </c:strCache>
            </c:strRef>
          </c:xVal>
          <c:yVal>
            <c:numRef>
              <c:f>'Cele strateg'!$D$329:$L$329</c:f>
              <c:numCache>
                <c:formatCode>General</c:formatCode>
                <c:ptCount val="9"/>
                <c:pt idx="0">
                  <c:v>3</c:v>
                </c:pt>
                <c:pt idx="1">
                  <c:v>5</c:v>
                </c:pt>
                <c:pt idx="2">
                  <c:v>2</c:v>
                </c:pt>
                <c:pt idx="3">
                  <c:v>4</c:v>
                </c:pt>
                <c:pt idx="4">
                  <c:v>14</c:v>
                </c:pt>
                <c:pt idx="5">
                  <c:v>12</c:v>
                </c:pt>
                <c:pt idx="6">
                  <c:v>8</c:v>
                </c:pt>
                <c:pt idx="7">
                  <c:v>10</c:v>
                </c:pt>
                <c:pt idx="8">
                  <c:v>7</c:v>
                </c:pt>
              </c:numCache>
            </c:numRef>
          </c:yVal>
          <c:smooth val="0"/>
          <c:extLst xmlns:c16r2="http://schemas.microsoft.com/office/drawing/2015/06/chart">
            <c:ext xmlns:c16="http://schemas.microsoft.com/office/drawing/2014/chart" uri="{C3380CC4-5D6E-409C-BE32-E72D297353CC}">
              <c16:uniqueId val="{00000003-F3B4-442E-8A84-154326360044}"/>
            </c:ext>
          </c:extLst>
        </c:ser>
        <c:dLbls>
          <c:showLegendKey val="0"/>
          <c:showVal val="0"/>
          <c:showCatName val="0"/>
          <c:showSerName val="0"/>
          <c:showPercent val="0"/>
          <c:showBubbleSize val="0"/>
        </c:dLbls>
        <c:axId val="-1113285376"/>
        <c:axId val="-1358823200"/>
      </c:scatterChart>
      <c:valAx>
        <c:axId val="-1113285376"/>
        <c:scaling>
          <c:orientation val="minMax"/>
          <c:max val="9"/>
          <c:min val="1"/>
        </c:scaling>
        <c:delete val="0"/>
        <c:axPos val="b"/>
        <c:majorGridlines>
          <c:spPr>
            <a:ln w="9525" cap="flat" cmpd="sng" algn="ctr">
              <a:no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1358823200"/>
        <c:crosses val="autoZero"/>
        <c:crossBetween val="midCat"/>
        <c:majorUnit val="1"/>
      </c:valAx>
      <c:valAx>
        <c:axId val="-1358823200"/>
        <c:scaling>
          <c:orientation val="minMax"/>
        </c:scaling>
        <c:delete val="0"/>
        <c:axPos val="l"/>
        <c:majorGridlines>
          <c:spPr>
            <a:ln w="1651" cap="flat" cmpd="sng" algn="ctr">
              <a:solidFill>
                <a:schemeClr val="bg1">
                  <a:lumMod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11132853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a:solidFill>
            <a:srgbClr val="002060"/>
          </a:solidFill>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606647801837269"/>
          <c:y val="0.14267185473411154"/>
          <c:w val="0.50858349737532815"/>
          <c:h val="0.59535320730823049"/>
        </c:manualLayout>
      </c:layout>
      <c:barChart>
        <c:barDir val="bar"/>
        <c:grouping val="percentStacked"/>
        <c:varyColors val="0"/>
        <c:ser>
          <c:idx val="0"/>
          <c:order val="0"/>
          <c:tx>
            <c:strRef>
              <c:f>Arkusz4!$A$14</c:f>
              <c:strCache>
                <c:ptCount val="1"/>
                <c:pt idx="0">
                  <c:v>czynniki wewnętrzne (S+W)</c:v>
                </c:pt>
              </c:strCache>
            </c:strRef>
          </c:tx>
          <c:spPr>
            <a:solidFill>
              <a:srgbClr val="FF0000"/>
            </a:solidFill>
            <a:ln>
              <a:noFill/>
            </a:ln>
            <a:effectLst/>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729-40E7-9927-2E28196003A4}"/>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729-40E7-9927-2E28196003A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Arkusz4!$B$13:$C$13</c:f>
              <c:strCache>
                <c:ptCount val="2"/>
                <c:pt idx="0">
                  <c:v>nowa propozycja </c:v>
                </c:pt>
                <c:pt idx="1">
                  <c:v>SRWW 2020 </c:v>
                </c:pt>
              </c:strCache>
            </c:strRef>
          </c:cat>
          <c:val>
            <c:numRef>
              <c:f>Arkusz4!$B$14:$C$14</c:f>
              <c:numCache>
                <c:formatCode>0%</c:formatCode>
                <c:ptCount val="2"/>
                <c:pt idx="0">
                  <c:v>0.5625</c:v>
                </c:pt>
                <c:pt idx="1">
                  <c:v>0.59595959595959591</c:v>
                </c:pt>
              </c:numCache>
            </c:numRef>
          </c:val>
          <c:extLst xmlns:c16r2="http://schemas.microsoft.com/office/drawing/2015/06/chart">
            <c:ext xmlns:c16="http://schemas.microsoft.com/office/drawing/2014/chart" uri="{C3380CC4-5D6E-409C-BE32-E72D297353CC}">
              <c16:uniqueId val="{00000002-F729-40E7-9927-2E28196003A4}"/>
            </c:ext>
          </c:extLst>
        </c:ser>
        <c:ser>
          <c:idx val="1"/>
          <c:order val="1"/>
          <c:tx>
            <c:strRef>
              <c:f>Arkusz4!$A$15</c:f>
              <c:strCache>
                <c:ptCount val="1"/>
                <c:pt idx="0">
                  <c:v>czynniki zewnętrzne (O+T)</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Arkusz4!$B$13:$C$13</c:f>
              <c:strCache>
                <c:ptCount val="2"/>
                <c:pt idx="0">
                  <c:v>nowa propozycja </c:v>
                </c:pt>
                <c:pt idx="1">
                  <c:v>SRWW 2020 </c:v>
                </c:pt>
              </c:strCache>
            </c:strRef>
          </c:cat>
          <c:val>
            <c:numRef>
              <c:f>Arkusz4!$B$15:$C$15</c:f>
              <c:numCache>
                <c:formatCode>0%</c:formatCode>
                <c:ptCount val="2"/>
                <c:pt idx="0">
                  <c:v>0.4375</c:v>
                </c:pt>
                <c:pt idx="1">
                  <c:v>0.40404040404040403</c:v>
                </c:pt>
              </c:numCache>
            </c:numRef>
          </c:val>
          <c:extLst xmlns:c16r2="http://schemas.microsoft.com/office/drawing/2015/06/chart">
            <c:ext xmlns:c16="http://schemas.microsoft.com/office/drawing/2014/chart" uri="{C3380CC4-5D6E-409C-BE32-E72D297353CC}">
              <c16:uniqueId val="{00000003-F729-40E7-9927-2E28196003A4}"/>
            </c:ext>
          </c:extLst>
        </c:ser>
        <c:dLbls>
          <c:showLegendKey val="0"/>
          <c:showVal val="0"/>
          <c:showCatName val="0"/>
          <c:showSerName val="0"/>
          <c:showPercent val="0"/>
          <c:showBubbleSize val="0"/>
        </c:dLbls>
        <c:gapWidth val="48"/>
        <c:overlap val="100"/>
        <c:axId val="-1115330672"/>
        <c:axId val="-1115330128"/>
      </c:barChart>
      <c:catAx>
        <c:axId val="-1115330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15330128"/>
        <c:crosses val="autoZero"/>
        <c:auto val="1"/>
        <c:lblAlgn val="ctr"/>
        <c:lblOffset val="100"/>
        <c:noMultiLvlLbl val="0"/>
      </c:catAx>
      <c:valAx>
        <c:axId val="-11153301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15330672"/>
        <c:crosses val="autoZero"/>
        <c:crossBetween val="between"/>
      </c:valAx>
      <c:spPr>
        <a:noFill/>
        <a:ln>
          <a:noFill/>
        </a:ln>
        <a:effectLst/>
      </c:spPr>
    </c:plotArea>
    <c:legend>
      <c:legendPos val="r"/>
      <c:layout>
        <c:manualLayout>
          <c:xMode val="edge"/>
          <c:yMode val="edge"/>
          <c:x val="0.72748433945756774"/>
          <c:y val="0.15766638325138937"/>
          <c:w val="0.25918232720909884"/>
          <c:h val="0.528172710805515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'Cele strateg'!$M$326</c:f>
              <c:strCache>
                <c:ptCount val="1"/>
                <c:pt idx="0">
                  <c:v>Biznes</c:v>
                </c:pt>
              </c:strCache>
            </c:strRef>
          </c:tx>
          <c:spPr>
            <a:ln w="28575" cap="rnd">
              <a:noFill/>
              <a:round/>
            </a:ln>
            <a:effectLst/>
          </c:spPr>
          <c:marker>
            <c:symbol val="diamond"/>
            <c:size val="12"/>
            <c:spPr>
              <a:solidFill>
                <a:srgbClr val="FFC000">
                  <a:alpha val="50000"/>
                </a:srgbClr>
              </a:solidFill>
              <a:ln w="9525">
                <a:noFill/>
              </a:ln>
              <a:effectLst/>
            </c:spPr>
          </c:marker>
          <c:xVal>
            <c:strRef>
              <c:f>'Cele strateg'!$N$325:$Q$325</c:f>
              <c:strCache>
                <c:ptCount val="4"/>
                <c:pt idx="0">
                  <c:v>wzmacnianie zasobów wewnętrznych województwa</c:v>
                </c:pt>
                <c:pt idx="1">
                  <c:v>eksport towarów i usług na zewnątrz regionu (kraj i zagranica)</c:v>
                </c:pt>
                <c:pt idx="2">
                  <c:v>wzmacnianie pozycji konkurencyjnej województwa (krajowej i międzynarodowej)</c:v>
                </c:pt>
                <c:pt idx="3">
                  <c:v>wzmacnianie współpracy w regionie i /lub na zewnątrz</c:v>
                </c:pt>
              </c:strCache>
            </c:strRef>
          </c:xVal>
          <c:yVal>
            <c:numRef>
              <c:f>'Cele strateg'!$N$326:$Q$326</c:f>
              <c:numCache>
                <c:formatCode>General</c:formatCode>
                <c:ptCount val="4"/>
                <c:pt idx="0">
                  <c:v>17</c:v>
                </c:pt>
                <c:pt idx="1">
                  <c:v>5</c:v>
                </c:pt>
                <c:pt idx="2">
                  <c:v>13</c:v>
                </c:pt>
                <c:pt idx="3">
                  <c:v>18</c:v>
                </c:pt>
              </c:numCache>
            </c:numRef>
          </c:yVal>
          <c:smooth val="0"/>
          <c:extLst xmlns:c16r2="http://schemas.microsoft.com/office/drawing/2015/06/chart">
            <c:ext xmlns:c16="http://schemas.microsoft.com/office/drawing/2014/chart" uri="{C3380CC4-5D6E-409C-BE32-E72D297353CC}">
              <c16:uniqueId val="{00000000-C90C-45EA-923A-C6B2478F65DD}"/>
            </c:ext>
          </c:extLst>
        </c:ser>
        <c:ser>
          <c:idx val="1"/>
          <c:order val="1"/>
          <c:tx>
            <c:strRef>
              <c:f>'Cele strateg'!$M$327</c:f>
              <c:strCache>
                <c:ptCount val="1"/>
                <c:pt idx="0">
                  <c:v>Nauka</c:v>
                </c:pt>
              </c:strCache>
            </c:strRef>
          </c:tx>
          <c:spPr>
            <a:ln w="28575" cap="rnd">
              <a:noFill/>
              <a:round/>
            </a:ln>
            <a:effectLst/>
          </c:spPr>
          <c:marker>
            <c:symbol val="square"/>
            <c:size val="12"/>
            <c:spPr>
              <a:solidFill>
                <a:srgbClr val="5D93FF">
                  <a:alpha val="50000"/>
                </a:srgbClr>
              </a:solidFill>
              <a:ln w="9525">
                <a:noFill/>
              </a:ln>
              <a:effectLst/>
            </c:spPr>
          </c:marker>
          <c:xVal>
            <c:strRef>
              <c:f>'Cele strateg'!$N$325:$Q$325</c:f>
              <c:strCache>
                <c:ptCount val="4"/>
                <c:pt idx="0">
                  <c:v>wzmacnianie zasobów wewnętrznych województwa</c:v>
                </c:pt>
                <c:pt idx="1">
                  <c:v>eksport towarów i usług na zewnątrz regionu (kraj i zagranica)</c:v>
                </c:pt>
                <c:pt idx="2">
                  <c:v>wzmacnianie pozycji konkurencyjnej województwa (krajowej i międzynarodowej)</c:v>
                </c:pt>
                <c:pt idx="3">
                  <c:v>wzmacnianie współpracy w regionie i /lub na zewnątrz</c:v>
                </c:pt>
              </c:strCache>
            </c:strRef>
          </c:xVal>
          <c:yVal>
            <c:numRef>
              <c:f>'Cele strateg'!$N$327:$Q$327</c:f>
              <c:numCache>
                <c:formatCode>General</c:formatCode>
                <c:ptCount val="4"/>
                <c:pt idx="0">
                  <c:v>30</c:v>
                </c:pt>
                <c:pt idx="1">
                  <c:v>3</c:v>
                </c:pt>
                <c:pt idx="2">
                  <c:v>22</c:v>
                </c:pt>
                <c:pt idx="3">
                  <c:v>31</c:v>
                </c:pt>
              </c:numCache>
            </c:numRef>
          </c:yVal>
          <c:smooth val="0"/>
          <c:extLst xmlns:c16r2="http://schemas.microsoft.com/office/drawing/2015/06/chart">
            <c:ext xmlns:c16="http://schemas.microsoft.com/office/drawing/2014/chart" uri="{C3380CC4-5D6E-409C-BE32-E72D297353CC}">
              <c16:uniqueId val="{00000001-C90C-45EA-923A-C6B2478F65DD}"/>
            </c:ext>
          </c:extLst>
        </c:ser>
        <c:ser>
          <c:idx val="2"/>
          <c:order val="2"/>
          <c:tx>
            <c:strRef>
              <c:f>'Cele strateg'!$M$328</c:f>
              <c:strCache>
                <c:ptCount val="1"/>
                <c:pt idx="0">
                  <c:v>Administracja</c:v>
                </c:pt>
              </c:strCache>
            </c:strRef>
          </c:tx>
          <c:spPr>
            <a:ln w="28575" cap="rnd">
              <a:noFill/>
              <a:round/>
            </a:ln>
            <a:effectLst/>
          </c:spPr>
          <c:marker>
            <c:symbol val="circle"/>
            <c:size val="12"/>
            <c:spPr>
              <a:solidFill>
                <a:srgbClr val="FF0000">
                  <a:alpha val="50000"/>
                </a:srgbClr>
              </a:solidFill>
              <a:ln w="9525">
                <a:noFill/>
              </a:ln>
              <a:effectLst/>
            </c:spPr>
          </c:marker>
          <c:xVal>
            <c:strRef>
              <c:f>'Cele strateg'!$N$325:$Q$325</c:f>
              <c:strCache>
                <c:ptCount val="4"/>
                <c:pt idx="0">
                  <c:v>wzmacnianie zasobów wewnętrznych województwa</c:v>
                </c:pt>
                <c:pt idx="1">
                  <c:v>eksport towarów i usług na zewnątrz regionu (kraj i zagranica)</c:v>
                </c:pt>
                <c:pt idx="2">
                  <c:v>wzmacnianie pozycji konkurencyjnej województwa (krajowej i międzynarodowej)</c:v>
                </c:pt>
                <c:pt idx="3">
                  <c:v>wzmacnianie współpracy w regionie i /lub na zewnątrz</c:v>
                </c:pt>
              </c:strCache>
            </c:strRef>
          </c:xVal>
          <c:yVal>
            <c:numRef>
              <c:f>'Cele strateg'!$N$328:$Q$328</c:f>
              <c:numCache>
                <c:formatCode>General</c:formatCode>
                <c:ptCount val="4"/>
                <c:pt idx="0">
                  <c:v>38</c:v>
                </c:pt>
                <c:pt idx="1">
                  <c:v>7</c:v>
                </c:pt>
                <c:pt idx="2">
                  <c:v>20</c:v>
                </c:pt>
                <c:pt idx="3">
                  <c:v>27</c:v>
                </c:pt>
              </c:numCache>
            </c:numRef>
          </c:yVal>
          <c:smooth val="0"/>
          <c:extLst xmlns:c16r2="http://schemas.microsoft.com/office/drawing/2015/06/chart">
            <c:ext xmlns:c16="http://schemas.microsoft.com/office/drawing/2014/chart" uri="{C3380CC4-5D6E-409C-BE32-E72D297353CC}">
              <c16:uniqueId val="{00000002-C90C-45EA-923A-C6B2478F65DD}"/>
            </c:ext>
          </c:extLst>
        </c:ser>
        <c:ser>
          <c:idx val="3"/>
          <c:order val="3"/>
          <c:tx>
            <c:strRef>
              <c:f>'Cele strateg'!$M$329</c:f>
              <c:strCache>
                <c:ptCount val="1"/>
                <c:pt idx="0">
                  <c:v>NGO's</c:v>
                </c:pt>
              </c:strCache>
            </c:strRef>
          </c:tx>
          <c:spPr>
            <a:ln w="28575" cap="rnd">
              <a:noFill/>
              <a:round/>
            </a:ln>
            <a:effectLst/>
          </c:spPr>
          <c:marker>
            <c:symbol val="triangle"/>
            <c:size val="12"/>
            <c:spPr>
              <a:solidFill>
                <a:srgbClr val="00B050">
                  <a:alpha val="50000"/>
                </a:srgbClr>
              </a:solidFill>
              <a:ln w="9525">
                <a:noFill/>
              </a:ln>
              <a:effectLst/>
            </c:spPr>
          </c:marker>
          <c:xVal>
            <c:strRef>
              <c:f>'Cele strateg'!$N$325:$Q$325</c:f>
              <c:strCache>
                <c:ptCount val="4"/>
                <c:pt idx="0">
                  <c:v>wzmacnianie zasobów wewnętrznych województwa</c:v>
                </c:pt>
                <c:pt idx="1">
                  <c:v>eksport towarów i usług na zewnątrz regionu (kraj i zagranica)</c:v>
                </c:pt>
                <c:pt idx="2">
                  <c:v>wzmacnianie pozycji konkurencyjnej województwa (krajowej i międzynarodowej)</c:v>
                </c:pt>
                <c:pt idx="3">
                  <c:v>wzmacnianie współpracy w regionie i /lub na zewnątrz</c:v>
                </c:pt>
              </c:strCache>
            </c:strRef>
          </c:xVal>
          <c:yVal>
            <c:numRef>
              <c:f>'Cele strateg'!$N$329:$Q$329</c:f>
              <c:numCache>
                <c:formatCode>General</c:formatCode>
                <c:ptCount val="4"/>
                <c:pt idx="0">
                  <c:v>24</c:v>
                </c:pt>
                <c:pt idx="1">
                  <c:v>7</c:v>
                </c:pt>
                <c:pt idx="2">
                  <c:v>16</c:v>
                </c:pt>
                <c:pt idx="3">
                  <c:v>25</c:v>
                </c:pt>
              </c:numCache>
            </c:numRef>
          </c:yVal>
          <c:smooth val="0"/>
          <c:extLst xmlns:c16r2="http://schemas.microsoft.com/office/drawing/2015/06/chart">
            <c:ext xmlns:c16="http://schemas.microsoft.com/office/drawing/2014/chart" uri="{C3380CC4-5D6E-409C-BE32-E72D297353CC}">
              <c16:uniqueId val="{00000003-C90C-45EA-923A-C6B2478F65DD}"/>
            </c:ext>
          </c:extLst>
        </c:ser>
        <c:dLbls>
          <c:showLegendKey val="0"/>
          <c:showVal val="0"/>
          <c:showCatName val="0"/>
          <c:showSerName val="0"/>
          <c:showPercent val="0"/>
          <c:showBubbleSize val="0"/>
        </c:dLbls>
        <c:axId val="-1358821568"/>
        <c:axId val="-1358819936"/>
      </c:scatterChart>
      <c:valAx>
        <c:axId val="-1358821568"/>
        <c:scaling>
          <c:orientation val="minMax"/>
          <c:max val="4"/>
          <c:min val="1"/>
        </c:scaling>
        <c:delete val="0"/>
        <c:axPos val="b"/>
        <c:majorGridlines>
          <c:spPr>
            <a:ln w="9525" cap="flat" cmpd="sng" algn="ctr">
              <a:no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1358819936"/>
        <c:crosses val="autoZero"/>
        <c:crossBetween val="midCat"/>
        <c:majorUnit val="1"/>
      </c:valAx>
      <c:valAx>
        <c:axId val="-1358819936"/>
        <c:scaling>
          <c:orientation val="minMax"/>
        </c:scaling>
        <c:delete val="0"/>
        <c:axPos val="l"/>
        <c:majorGridlines>
          <c:spPr>
            <a:ln w="0" cap="flat" cmpd="sng" algn="ctr">
              <a:solidFill>
                <a:schemeClr val="bg1">
                  <a:lumMod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13588215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a:solidFill>
            <a:srgbClr val="002060"/>
          </a:solidFill>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869313210848645"/>
          <c:y val="8.8247091857200158E-2"/>
          <c:w val="0.51059164479440067"/>
          <c:h val="0.63135955997852089"/>
        </c:manualLayout>
      </c:layout>
      <c:barChart>
        <c:barDir val="bar"/>
        <c:grouping val="percentStacked"/>
        <c:varyColors val="0"/>
        <c:ser>
          <c:idx val="0"/>
          <c:order val="0"/>
          <c:tx>
            <c:strRef>
              <c:f>Arkusz4!$A$24</c:f>
              <c:strCache>
                <c:ptCount val="1"/>
                <c:pt idx="0">
                  <c:v>czynniki pozytywne (S+O)</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Arkusz4!$B$21:$C$21</c:f>
              <c:strCache>
                <c:ptCount val="2"/>
                <c:pt idx="0">
                  <c:v>nowa propozycja </c:v>
                </c:pt>
                <c:pt idx="1">
                  <c:v>SRWW 2020 </c:v>
                </c:pt>
              </c:strCache>
            </c:strRef>
          </c:cat>
          <c:val>
            <c:numRef>
              <c:f>Arkusz4!$B$24:$C$24</c:f>
              <c:numCache>
                <c:formatCode>0%</c:formatCode>
                <c:ptCount val="2"/>
                <c:pt idx="0">
                  <c:v>0.53125</c:v>
                </c:pt>
                <c:pt idx="1">
                  <c:v>0.46969696969696972</c:v>
                </c:pt>
              </c:numCache>
            </c:numRef>
          </c:val>
          <c:extLst xmlns:c16r2="http://schemas.microsoft.com/office/drawing/2015/06/chart">
            <c:ext xmlns:c16="http://schemas.microsoft.com/office/drawing/2014/chart" uri="{C3380CC4-5D6E-409C-BE32-E72D297353CC}">
              <c16:uniqueId val="{00000000-5FDF-4CFB-929B-25013CB82080}"/>
            </c:ext>
          </c:extLst>
        </c:ser>
        <c:ser>
          <c:idx val="1"/>
          <c:order val="1"/>
          <c:tx>
            <c:strRef>
              <c:f>Arkusz4!$A$25</c:f>
              <c:strCache>
                <c:ptCount val="1"/>
                <c:pt idx="0">
                  <c:v>czynniki negatwyne (W+T)</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Arkusz4!$B$21:$C$21</c:f>
              <c:strCache>
                <c:ptCount val="2"/>
                <c:pt idx="0">
                  <c:v>nowa propozycja </c:v>
                </c:pt>
                <c:pt idx="1">
                  <c:v>SRWW 2020 </c:v>
                </c:pt>
              </c:strCache>
            </c:strRef>
          </c:cat>
          <c:val>
            <c:numRef>
              <c:f>Arkusz4!$B$25:$C$25</c:f>
              <c:numCache>
                <c:formatCode>0%</c:formatCode>
                <c:ptCount val="2"/>
                <c:pt idx="0">
                  <c:v>0.46875</c:v>
                </c:pt>
                <c:pt idx="1">
                  <c:v>0.53030303030303028</c:v>
                </c:pt>
              </c:numCache>
            </c:numRef>
          </c:val>
          <c:extLst xmlns:c16r2="http://schemas.microsoft.com/office/drawing/2015/06/chart">
            <c:ext xmlns:c16="http://schemas.microsoft.com/office/drawing/2014/chart" uri="{C3380CC4-5D6E-409C-BE32-E72D297353CC}">
              <c16:uniqueId val="{00000001-5FDF-4CFB-929B-25013CB82080}"/>
            </c:ext>
          </c:extLst>
        </c:ser>
        <c:dLbls>
          <c:showLegendKey val="0"/>
          <c:showVal val="0"/>
          <c:showCatName val="0"/>
          <c:showSerName val="0"/>
          <c:showPercent val="0"/>
          <c:showBubbleSize val="0"/>
        </c:dLbls>
        <c:gapWidth val="38"/>
        <c:overlap val="100"/>
        <c:axId val="-1115327408"/>
        <c:axId val="-1115326320"/>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Arkusz4!$B$21</c15:sqref>
                        </c15:formulaRef>
                      </c:ext>
                    </c:extLst>
                    <c:strCache>
                      <c:ptCount val="1"/>
                      <c:pt idx="0">
                        <c:v>nowa propozycja </c:v>
                      </c:pt>
                    </c:strCache>
                  </c:strRef>
                </c:tx>
                <c:spPr>
                  <a:solidFill>
                    <a:schemeClr val="accent3"/>
                  </a:solidFill>
                  <a:ln>
                    <a:noFill/>
                  </a:ln>
                  <a:effectLst/>
                </c:spPr>
                <c:invertIfNegative val="0"/>
                <c:cat>
                  <c:strRef>
                    <c:extLst xmlns:c16r2="http://schemas.microsoft.com/office/drawing/2015/06/chart">
                      <c:ext uri="{02D57815-91ED-43cb-92C2-25804820EDAC}">
                        <c15:formulaRef>
                          <c15:sqref>Arkusz4!$B$21:$C$21</c15:sqref>
                        </c15:formulaRef>
                      </c:ext>
                    </c:extLst>
                    <c:strCache>
                      <c:ptCount val="2"/>
                      <c:pt idx="0">
                        <c:v>nowa propozycja </c:v>
                      </c:pt>
                      <c:pt idx="1">
                        <c:v>SRWW 2020 </c:v>
                      </c:pt>
                    </c:strCache>
                  </c:strRef>
                </c:cat>
                <c:val>
                  <c:numRef>
                    <c:extLst xmlns:c16r2="http://schemas.microsoft.com/office/drawing/2015/06/chart">
                      <c:ext uri="{02D57815-91ED-43cb-92C2-25804820EDAC}">
                        <c15:formulaRef>
                          <c15:sqref>Arkusz4!$C$21</c15:sqref>
                        </c15:formulaRef>
                      </c:ext>
                    </c:extLst>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5FDF-4CFB-929B-25013CB82080}"/>
                  </c:ext>
                </c:extLst>
              </c15:ser>
            </c15:filteredBarSeries>
          </c:ext>
        </c:extLst>
      </c:barChart>
      <c:catAx>
        <c:axId val="-1115327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15326320"/>
        <c:crosses val="autoZero"/>
        <c:auto val="1"/>
        <c:lblAlgn val="ctr"/>
        <c:lblOffset val="100"/>
        <c:noMultiLvlLbl val="0"/>
      </c:catAx>
      <c:valAx>
        <c:axId val="-11153263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15327408"/>
        <c:crosses val="autoZero"/>
        <c:crossBetween val="between"/>
      </c:valAx>
      <c:spPr>
        <a:noFill/>
        <a:ln>
          <a:noFill/>
        </a:ln>
        <a:effectLst/>
      </c:spPr>
    </c:plotArea>
    <c:legend>
      <c:legendPos val="r"/>
      <c:layout>
        <c:manualLayout>
          <c:xMode val="edge"/>
          <c:yMode val="edge"/>
          <c:x val="0.74139666682341565"/>
          <c:y val="0.1443595540656428"/>
          <c:w val="0.24129739257045424"/>
          <c:h val="0.55263766534133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38888888888889"/>
          <c:y val="0.13194444444444445"/>
          <c:w val="0.81388888888888888"/>
          <c:h val="0.77314814814814814"/>
        </c:manualLayout>
      </c:layout>
      <c:pie3DChart>
        <c:varyColors val="1"/>
        <c:ser>
          <c:idx val="0"/>
          <c:order val="0"/>
          <c:dPt>
            <c:idx val="0"/>
            <c:bubble3D val="0"/>
            <c:spPr>
              <a:solidFill>
                <a:srgbClr val="001236"/>
              </a:solidFill>
              <a:ln w="25400">
                <a:solidFill>
                  <a:srgbClr val="001E50"/>
                </a:solidFill>
              </a:ln>
              <a:effectLst/>
              <a:sp3d contourW="25400">
                <a:contourClr>
                  <a:srgbClr val="001E50"/>
                </a:contourClr>
              </a:sp3d>
            </c:spPr>
            <c:extLst xmlns:c16r2="http://schemas.microsoft.com/office/drawing/2015/06/chart">
              <c:ext xmlns:c16="http://schemas.microsoft.com/office/drawing/2014/chart" uri="{C3380CC4-5D6E-409C-BE32-E72D297353CC}">
                <c16:uniqueId val="{00000001-15AC-4206-AAB6-CE6F4D06C85F}"/>
              </c:ext>
            </c:extLst>
          </c:dPt>
          <c:dPt>
            <c:idx val="1"/>
            <c:bubble3D val="0"/>
            <c:spPr>
              <a:solidFill>
                <a:srgbClr val="0039AC"/>
              </a:solidFill>
              <a:ln w="25400">
                <a:solidFill>
                  <a:srgbClr val="0039AC"/>
                </a:solidFill>
              </a:ln>
              <a:effectLst/>
              <a:sp3d contourW="25400">
                <a:contourClr>
                  <a:srgbClr val="0039AC"/>
                </a:contourClr>
              </a:sp3d>
            </c:spPr>
            <c:extLst xmlns:c16r2="http://schemas.microsoft.com/office/drawing/2015/06/chart">
              <c:ext xmlns:c16="http://schemas.microsoft.com/office/drawing/2014/chart" uri="{C3380CC4-5D6E-409C-BE32-E72D297353CC}">
                <c16:uniqueId val="{00000003-15AC-4206-AAB6-CE6F4D06C85F}"/>
              </c:ext>
            </c:extLst>
          </c:dPt>
          <c:dPt>
            <c:idx val="2"/>
            <c:bubble3D val="0"/>
            <c:spPr>
              <a:solidFill>
                <a:srgbClr val="AFCAFF"/>
              </a:solidFill>
              <a:ln w="25400">
                <a:solidFill>
                  <a:srgbClr val="AFCAFF"/>
                </a:solidFill>
              </a:ln>
              <a:effectLst/>
              <a:sp3d contourW="25400">
                <a:contourClr>
                  <a:srgbClr val="AFCAFF"/>
                </a:contourClr>
              </a:sp3d>
            </c:spPr>
            <c:extLst xmlns:c16r2="http://schemas.microsoft.com/office/drawing/2015/06/chart">
              <c:ext xmlns:c16="http://schemas.microsoft.com/office/drawing/2014/chart" uri="{C3380CC4-5D6E-409C-BE32-E72D297353CC}">
                <c16:uniqueId val="{00000005-15AC-4206-AAB6-CE6F4D06C85F}"/>
              </c:ext>
            </c:extLst>
          </c:dPt>
          <c:dPt>
            <c:idx val="3"/>
            <c:bubble3D val="0"/>
            <c:spPr>
              <a:solidFill>
                <a:srgbClr val="FF0000"/>
              </a:solidFill>
              <a:ln w="25400">
                <a:solidFill>
                  <a:srgbClr val="FF0000"/>
                </a:solidFill>
              </a:ln>
              <a:effectLst/>
              <a:sp3d contourW="25400">
                <a:contourClr>
                  <a:srgbClr val="FF0000"/>
                </a:contourClr>
              </a:sp3d>
            </c:spPr>
            <c:extLst xmlns:c16r2="http://schemas.microsoft.com/office/drawing/2015/06/chart">
              <c:ext xmlns:c16="http://schemas.microsoft.com/office/drawing/2014/chart" uri="{C3380CC4-5D6E-409C-BE32-E72D297353CC}">
                <c16:uniqueId val="{00000007-15AC-4206-AAB6-CE6F4D06C85F}"/>
              </c:ext>
            </c:extLst>
          </c:dPt>
          <c:dPt>
            <c:idx val="4"/>
            <c:bubble3D val="0"/>
            <c:spPr>
              <a:solidFill>
                <a:schemeClr val="accent6">
                  <a:lumMod val="75000"/>
                </a:schemeClr>
              </a:solidFill>
              <a:ln w="25400">
                <a:solidFill>
                  <a:schemeClr val="accent6">
                    <a:lumMod val="75000"/>
                  </a:schemeClr>
                </a:solidFill>
              </a:ln>
              <a:effectLst/>
              <a:sp3d contourW="25400">
                <a:contourClr>
                  <a:schemeClr val="accent6">
                    <a:lumMod val="75000"/>
                  </a:schemeClr>
                </a:contourClr>
              </a:sp3d>
            </c:spPr>
            <c:extLst xmlns:c16r2="http://schemas.microsoft.com/office/drawing/2015/06/chart">
              <c:ext xmlns:c16="http://schemas.microsoft.com/office/drawing/2014/chart" uri="{C3380CC4-5D6E-409C-BE32-E72D297353CC}">
                <c16:uniqueId val="{00000009-15AC-4206-AAB6-CE6F4D06C85F}"/>
              </c:ext>
            </c:extLst>
          </c:dPt>
          <c:dLbls>
            <c:dLbl>
              <c:idx val="0"/>
              <c:layout>
                <c:manualLayout>
                  <c:x val="-3.1787401574803149E-2"/>
                  <c:y val="0.11411235053951581"/>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15AC-4206-AAB6-CE6F4D06C85F}"/>
                </c:ext>
                <c:ext xmlns:c15="http://schemas.microsoft.com/office/drawing/2012/chart" uri="{CE6537A1-D6FC-4f65-9D91-7224C49458BB}"/>
              </c:extLst>
            </c:dLbl>
            <c:dLbl>
              <c:idx val="1"/>
              <c:layout>
                <c:manualLayout>
                  <c:x val="-9.0826323247179527E-2"/>
                  <c:y val="0.19423487448684298"/>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5AC-4206-AAB6-CE6F4D06C85F}"/>
                </c:ext>
                <c:ext xmlns:c15="http://schemas.microsoft.com/office/drawing/2012/chart" uri="{CE6537A1-D6FC-4f65-9D91-7224C49458BB}"/>
              </c:extLst>
            </c:dLbl>
            <c:dLbl>
              <c:idx val="2"/>
              <c:layout>
                <c:manualLayout>
                  <c:x val="9.1912761953519453E-2"/>
                  <c:y val="-8.5009616707099056E-8"/>
                </c:manualLayout>
              </c:layout>
              <c:tx>
                <c:rich>
                  <a:bodyPr/>
                  <a:lstStyle/>
                  <a:p>
                    <a:fld id="{B904EC4C-C964-4C6D-A8FF-5AF714AEA0C6}" type="CATEGORYNAME">
                      <a:rPr lang="en-US"/>
                      <a:pPr/>
                      <a:t>[NAZWA KATEGORII]</a:t>
                    </a:fld>
                    <a:r>
                      <a:rPr lang="en-US" baseline="0"/>
                      <a:t>  </a:t>
                    </a:r>
                    <a:fld id="{2431875A-808D-468C-9145-4DF1A3C02D7B}" type="PERCENTAGE">
                      <a:rPr lang="en-US" baseline="0"/>
                      <a:pPr/>
                      <a:t>[PROCENTOWE]</a:t>
                    </a:fld>
                    <a:endParaRPr lang="en-US" baseline="0"/>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15AC-4206-AAB6-CE6F4D06C85F}"/>
                </c:ext>
                <c:ext xmlns:c15="http://schemas.microsoft.com/office/drawing/2012/chart" uri="{CE6537A1-D6FC-4f65-9D91-7224C49458BB}">
                  <c15:layout>
                    <c:manualLayout>
                      <c:w val="0.29127445042220401"/>
                      <c:h val="0.15405111203204863"/>
                    </c:manualLayout>
                  </c15:layout>
                  <c15:dlblFieldTable/>
                  <c15:showDataLabelsRange val="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5">
                        <a:lumMod val="50000"/>
                      </a:schemeClr>
                    </a:solidFill>
                    <a:latin typeface="+mn-lt"/>
                    <a:ea typeface="+mn-ea"/>
                    <a:cs typeface="+mn-cs"/>
                  </a:defRPr>
                </a:pPr>
                <a:endParaRPr lang="pl-PL"/>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wyd_rozwojowe!$L$30:$N$30</c:f>
              <c:strCache>
                <c:ptCount val="3"/>
                <c:pt idx="0">
                  <c:v>grupa II</c:v>
                </c:pt>
                <c:pt idx="1">
                  <c:v>grupa III</c:v>
                </c:pt>
                <c:pt idx="2">
                  <c:v>grupa IV</c:v>
                </c:pt>
              </c:strCache>
            </c:strRef>
          </c:cat>
          <c:val>
            <c:numRef>
              <c:f>wyd_rozwojowe!$L$31:$N$31</c:f>
              <c:numCache>
                <c:formatCode>#,##0</c:formatCode>
                <c:ptCount val="3"/>
                <c:pt idx="0">
                  <c:v>2431268939.0099998</c:v>
                </c:pt>
                <c:pt idx="1">
                  <c:v>1350716604.1900001</c:v>
                </c:pt>
                <c:pt idx="2">
                  <c:v>18226353.099999998</c:v>
                </c:pt>
              </c:numCache>
            </c:numRef>
          </c:val>
          <c:extLst xmlns:c16r2="http://schemas.microsoft.com/office/drawing/2015/06/chart">
            <c:ext xmlns:c16="http://schemas.microsoft.com/office/drawing/2014/chart" uri="{C3380CC4-5D6E-409C-BE32-E72D297353CC}">
              <c16:uniqueId val="{0000000A-15AC-4206-AAB6-CE6F4D06C85F}"/>
            </c:ext>
          </c:extLst>
        </c:ser>
        <c:dLbls>
          <c:showLegendKey val="0"/>
          <c:showVal val="0"/>
          <c:showCatName val="1"/>
          <c:showSerName val="0"/>
          <c:showPercent val="1"/>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132358455193101"/>
          <c:y val="0.15832074091616907"/>
          <c:w val="0.82107843137254899"/>
          <c:h val="0.75788606674365333"/>
        </c:manualLayout>
      </c:layout>
      <c:pie3DChart>
        <c:varyColors val="1"/>
        <c:ser>
          <c:idx val="0"/>
          <c:order val="0"/>
          <c:dPt>
            <c:idx val="0"/>
            <c:bubble3D val="0"/>
            <c:spPr>
              <a:solidFill>
                <a:srgbClr val="001236"/>
              </a:solidFill>
              <a:ln w="25400">
                <a:solidFill>
                  <a:srgbClr val="002060"/>
                </a:solidFill>
              </a:ln>
              <a:effectLst/>
              <a:sp3d contourW="25400">
                <a:contourClr>
                  <a:srgbClr val="002060"/>
                </a:contourClr>
              </a:sp3d>
            </c:spPr>
            <c:extLst xmlns:c16r2="http://schemas.microsoft.com/office/drawing/2015/06/chart">
              <c:ext xmlns:c16="http://schemas.microsoft.com/office/drawing/2014/chart" uri="{C3380CC4-5D6E-409C-BE32-E72D297353CC}">
                <c16:uniqueId val="{00000001-DE01-4E1E-B9B9-AD9FC9F63E44}"/>
              </c:ext>
            </c:extLst>
          </c:dPt>
          <c:dPt>
            <c:idx val="1"/>
            <c:bubble3D val="0"/>
            <c:spPr>
              <a:solidFill>
                <a:srgbClr val="002060"/>
              </a:solidFill>
              <a:ln w="25400">
                <a:solidFill>
                  <a:srgbClr val="002060"/>
                </a:solidFill>
              </a:ln>
              <a:effectLst/>
              <a:sp3d contourW="25400">
                <a:contourClr>
                  <a:srgbClr val="002060"/>
                </a:contourClr>
              </a:sp3d>
            </c:spPr>
            <c:extLst xmlns:c16r2="http://schemas.microsoft.com/office/drawing/2015/06/chart">
              <c:ext xmlns:c16="http://schemas.microsoft.com/office/drawing/2014/chart" uri="{C3380CC4-5D6E-409C-BE32-E72D297353CC}">
                <c16:uniqueId val="{00000003-DE01-4E1E-B9B9-AD9FC9F63E44}"/>
              </c:ext>
            </c:extLst>
          </c:dPt>
          <c:dPt>
            <c:idx val="2"/>
            <c:bubble3D val="0"/>
            <c:spPr>
              <a:solidFill>
                <a:srgbClr val="0039AC"/>
              </a:solidFill>
              <a:ln w="25400">
                <a:solidFill>
                  <a:srgbClr val="0039AC"/>
                </a:solidFill>
              </a:ln>
              <a:effectLst/>
              <a:sp3d contourW="25400">
                <a:contourClr>
                  <a:srgbClr val="0039AC"/>
                </a:contourClr>
              </a:sp3d>
            </c:spPr>
            <c:extLst xmlns:c16r2="http://schemas.microsoft.com/office/drawing/2015/06/chart">
              <c:ext xmlns:c16="http://schemas.microsoft.com/office/drawing/2014/chart" uri="{C3380CC4-5D6E-409C-BE32-E72D297353CC}">
                <c16:uniqueId val="{00000005-DE01-4E1E-B9B9-AD9FC9F63E44}"/>
              </c:ext>
            </c:extLst>
          </c:dPt>
          <c:dPt>
            <c:idx val="3"/>
            <c:bubble3D val="0"/>
            <c:spPr>
              <a:solidFill>
                <a:srgbClr val="004ADE"/>
              </a:solidFill>
              <a:ln w="25400">
                <a:solidFill>
                  <a:srgbClr val="004ADE"/>
                </a:solidFill>
              </a:ln>
              <a:effectLst/>
              <a:sp3d contourW="25400">
                <a:contourClr>
                  <a:srgbClr val="004ADE"/>
                </a:contourClr>
              </a:sp3d>
            </c:spPr>
            <c:extLst xmlns:c16r2="http://schemas.microsoft.com/office/drawing/2015/06/chart">
              <c:ext xmlns:c16="http://schemas.microsoft.com/office/drawing/2014/chart" uri="{C3380CC4-5D6E-409C-BE32-E72D297353CC}">
                <c16:uniqueId val="{00000007-DE01-4E1E-B9B9-AD9FC9F63E44}"/>
              </c:ext>
            </c:extLst>
          </c:dPt>
          <c:dPt>
            <c:idx val="4"/>
            <c:bubble3D val="0"/>
            <c:spPr>
              <a:solidFill>
                <a:srgbClr val="4B87FF"/>
              </a:solidFill>
              <a:ln w="25400">
                <a:solidFill>
                  <a:srgbClr val="4B87FF"/>
                </a:solidFill>
              </a:ln>
              <a:effectLst/>
              <a:sp3d contourW="25400">
                <a:contourClr>
                  <a:srgbClr val="4B87FF"/>
                </a:contourClr>
              </a:sp3d>
            </c:spPr>
            <c:extLst xmlns:c16r2="http://schemas.microsoft.com/office/drawing/2015/06/chart">
              <c:ext xmlns:c16="http://schemas.microsoft.com/office/drawing/2014/chart" uri="{C3380CC4-5D6E-409C-BE32-E72D297353CC}">
                <c16:uniqueId val="{00000009-DE01-4E1E-B9B9-AD9FC9F63E44}"/>
              </c:ext>
            </c:extLst>
          </c:dPt>
          <c:dPt>
            <c:idx val="5"/>
            <c:bubble3D val="0"/>
            <c:spPr>
              <a:solidFill>
                <a:srgbClr val="AFCAFF"/>
              </a:solidFill>
              <a:ln w="25400">
                <a:solidFill>
                  <a:srgbClr val="AFCAFF"/>
                </a:solidFill>
              </a:ln>
              <a:effectLst/>
              <a:sp3d contourW="25400">
                <a:contourClr>
                  <a:srgbClr val="AFCAFF"/>
                </a:contourClr>
              </a:sp3d>
            </c:spPr>
            <c:extLst xmlns:c16r2="http://schemas.microsoft.com/office/drawing/2015/06/chart">
              <c:ext xmlns:c16="http://schemas.microsoft.com/office/drawing/2014/chart" uri="{C3380CC4-5D6E-409C-BE32-E72D297353CC}">
                <c16:uniqueId val="{0000000B-DE01-4E1E-B9B9-AD9FC9F63E44}"/>
              </c:ext>
            </c:extLst>
          </c:dPt>
          <c:dLbls>
            <c:dLbl>
              <c:idx val="0"/>
              <c:layout>
                <c:manualLayout>
                  <c:x val="-2.1307693681146999E-2"/>
                  <c:y val="-0.10578845996659257"/>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E01-4E1E-B9B9-AD9FC9F63E44}"/>
                </c:ext>
                <c:ext xmlns:c15="http://schemas.microsoft.com/office/drawing/2012/chart" uri="{CE6537A1-D6FC-4f65-9D91-7224C49458BB}"/>
              </c:extLst>
            </c:dLbl>
            <c:dLbl>
              <c:idx val="1"/>
              <c:layout>
                <c:manualLayout>
                  <c:x val="9.8816040852036352E-2"/>
                  <c:y val="-2.480073940717484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E01-4E1E-B9B9-AD9FC9F63E44}"/>
                </c:ext>
                <c:ext xmlns:c15="http://schemas.microsoft.com/office/drawing/2012/chart" uri="{CE6537A1-D6FC-4f65-9D91-7224C49458BB}"/>
              </c:extLst>
            </c:dLbl>
            <c:dLbl>
              <c:idx val="2"/>
              <c:layout>
                <c:manualLayout>
                  <c:x val="-4.639304461942257E-2"/>
                  <c:y val="-5.288130650335366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E01-4E1E-B9B9-AD9FC9F63E44}"/>
                </c:ext>
                <c:ext xmlns:c15="http://schemas.microsoft.com/office/drawing/2012/chart" uri="{CE6537A1-D6FC-4f65-9D91-7224C49458BB}"/>
              </c:extLst>
            </c:dLbl>
            <c:dLbl>
              <c:idx val="3"/>
              <c:layout>
                <c:manualLayout>
                  <c:x val="1.0972222222222223E-3"/>
                  <c:y val="-6.5139253426655004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DE01-4E1E-B9B9-AD9FC9F63E44}"/>
                </c:ext>
                <c:ext xmlns:c15="http://schemas.microsoft.com/office/drawing/2012/chart" uri="{CE6537A1-D6FC-4f65-9D91-7224C49458BB}"/>
              </c:extLst>
            </c:dLbl>
            <c:dLbl>
              <c:idx val="5"/>
              <c:layout>
                <c:manualLayout>
                  <c:x val="0.12299996180405111"/>
                  <c:y val="-2.2624434389140271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accent5">
                          <a:lumMod val="50000"/>
                        </a:schemeClr>
                      </a:solidFill>
                      <a:latin typeface="+mn-lt"/>
                      <a:ea typeface="+mn-ea"/>
                      <a:cs typeface="+mn-cs"/>
                    </a:defRPr>
                  </a:pPr>
                  <a:endParaRPr lang="pl-PL"/>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DE01-4E1E-B9B9-AD9FC9F63E44}"/>
                </c:ext>
                <c:ext xmlns:c15="http://schemas.microsoft.com/office/drawing/2012/chart" uri="{CE6537A1-D6FC-4f65-9D91-7224C49458BB}">
                  <c15:layout>
                    <c:manualLayout>
                      <c:w val="0.21701822986412408"/>
                      <c:h val="0.16297598812924535"/>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5">
                        <a:lumMod val="50000"/>
                      </a:schemeClr>
                    </a:solidFill>
                    <a:latin typeface="+mn-lt"/>
                    <a:ea typeface="+mn-ea"/>
                    <a:cs typeface="+mn-cs"/>
                  </a:defRPr>
                </a:pPr>
                <a:endParaRPr lang="pl-PL"/>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dochody!$N$2:$N$7</c:f>
              <c:strCache>
                <c:ptCount val="6"/>
                <c:pt idx="0">
                  <c:v>udział w CIT</c:v>
                </c:pt>
                <c:pt idx="1">
                  <c:v>udział w PIT</c:v>
                </c:pt>
                <c:pt idx="2">
                  <c:v>dotacje na inwestycje</c:v>
                </c:pt>
                <c:pt idx="3">
                  <c:v>dotacje celowe bieżące</c:v>
                </c:pt>
                <c:pt idx="4">
                  <c:v>subwencja ogólna</c:v>
                </c:pt>
                <c:pt idx="5">
                  <c:v>pozostałe dochody</c:v>
                </c:pt>
              </c:strCache>
            </c:strRef>
          </c:cat>
          <c:val>
            <c:numRef>
              <c:f>dochody!$O$2:$O$7</c:f>
              <c:numCache>
                <c:formatCode>0.0</c:formatCode>
                <c:ptCount val="6"/>
                <c:pt idx="0">
                  <c:v>41.701140517218299</c:v>
                </c:pt>
                <c:pt idx="1">
                  <c:v>9.8368578485633495</c:v>
                </c:pt>
                <c:pt idx="2">
                  <c:v>15.562913387942499</c:v>
                </c:pt>
                <c:pt idx="3">
                  <c:v>17.825899623712647</c:v>
                </c:pt>
                <c:pt idx="4">
                  <c:v>6.5296966594125188</c:v>
                </c:pt>
                <c:pt idx="5">
                  <c:v>8.5434919631506858</c:v>
                </c:pt>
              </c:numCache>
            </c:numRef>
          </c:val>
          <c:extLst xmlns:c16r2="http://schemas.microsoft.com/office/drawing/2015/06/chart">
            <c:ext xmlns:c16="http://schemas.microsoft.com/office/drawing/2014/chart" uri="{C3380CC4-5D6E-409C-BE32-E72D297353CC}">
              <c16:uniqueId val="{0000000C-DE01-4E1E-B9B9-AD9FC9F63E44}"/>
            </c:ext>
          </c:extLst>
        </c:ser>
        <c:dLbls>
          <c:showLegendKey val="0"/>
          <c:showVal val="0"/>
          <c:showCatName val="1"/>
          <c:showSerName val="0"/>
          <c:showPercent val="1"/>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274257384493613E-2"/>
          <c:y val="5.0925925925925923E-2"/>
          <c:w val="0.87392808537821665"/>
          <c:h val="0.49464532393977068"/>
        </c:manualLayout>
      </c:layout>
      <c:barChart>
        <c:barDir val="bar"/>
        <c:grouping val="percentStacked"/>
        <c:varyColors val="0"/>
        <c:ser>
          <c:idx val="0"/>
          <c:order val="0"/>
          <c:tx>
            <c:strRef>
              <c:f>PO!$A$89</c:f>
              <c:strCache>
                <c:ptCount val="1"/>
                <c:pt idx="0">
                  <c:v>DOLNOŚLĄSKIE</c:v>
                </c:pt>
              </c:strCache>
            </c:strRef>
          </c:tx>
          <c:spPr>
            <a:solidFill>
              <a:schemeClr val="accent1">
                <a:lumMod val="20000"/>
                <a:lumOff val="80000"/>
              </a:schemeClr>
            </a:solidFill>
            <a:ln>
              <a:solidFill>
                <a:schemeClr val="accent1">
                  <a:lumMod val="20000"/>
                  <a:lumOff val="80000"/>
                </a:schemeClr>
              </a:solidFill>
            </a:ln>
            <a:effectLst/>
          </c:spPr>
          <c:invertIfNegative val="0"/>
          <c:cat>
            <c:strRef>
              <c:f>PO!$B$88:$E$88</c:f>
              <c:strCache>
                <c:ptCount val="4"/>
                <c:pt idx="0">
                  <c:v>PO IiŚ</c:v>
                </c:pt>
                <c:pt idx="1">
                  <c:v>PO IR</c:v>
                </c:pt>
                <c:pt idx="2">
                  <c:v>PO PC</c:v>
                </c:pt>
                <c:pt idx="3">
                  <c:v>PO WER</c:v>
                </c:pt>
              </c:strCache>
            </c:strRef>
          </c:cat>
          <c:val>
            <c:numRef>
              <c:f>PO!$B$89:$E$89</c:f>
              <c:numCache>
                <c:formatCode>0.0%</c:formatCode>
                <c:ptCount val="4"/>
                <c:pt idx="0">
                  <c:v>9.5871205980418858E-2</c:v>
                </c:pt>
                <c:pt idx="1">
                  <c:v>6.6675471967608507E-2</c:v>
                </c:pt>
                <c:pt idx="2">
                  <c:v>7.4061275511326866E-2</c:v>
                </c:pt>
                <c:pt idx="3">
                  <c:v>6.6549583024603315E-2</c:v>
                </c:pt>
              </c:numCache>
            </c:numRef>
          </c:val>
          <c:extLst xmlns:c16r2="http://schemas.microsoft.com/office/drawing/2015/06/chart">
            <c:ext xmlns:c16="http://schemas.microsoft.com/office/drawing/2014/chart" uri="{C3380CC4-5D6E-409C-BE32-E72D297353CC}">
              <c16:uniqueId val="{00000000-57D1-4AB0-ADB6-D13520270CF4}"/>
            </c:ext>
          </c:extLst>
        </c:ser>
        <c:ser>
          <c:idx val="1"/>
          <c:order val="1"/>
          <c:tx>
            <c:strRef>
              <c:f>PO!$A$90</c:f>
              <c:strCache>
                <c:ptCount val="1"/>
                <c:pt idx="0">
                  <c:v>KUJAWSKO-POMORSKIE</c:v>
                </c:pt>
              </c:strCache>
            </c:strRef>
          </c:tx>
          <c:spPr>
            <a:solidFill>
              <a:schemeClr val="accent1">
                <a:lumMod val="40000"/>
                <a:lumOff val="60000"/>
              </a:schemeClr>
            </a:solidFill>
            <a:ln>
              <a:solidFill>
                <a:schemeClr val="accent1">
                  <a:lumMod val="40000"/>
                  <a:lumOff val="60000"/>
                </a:schemeClr>
              </a:solidFill>
            </a:ln>
            <a:effectLst/>
          </c:spPr>
          <c:invertIfNegative val="0"/>
          <c:cat>
            <c:strRef>
              <c:f>PO!$B$88:$E$88</c:f>
              <c:strCache>
                <c:ptCount val="4"/>
                <c:pt idx="0">
                  <c:v>PO IiŚ</c:v>
                </c:pt>
                <c:pt idx="1">
                  <c:v>PO IR</c:v>
                </c:pt>
                <c:pt idx="2">
                  <c:v>PO PC</c:v>
                </c:pt>
                <c:pt idx="3">
                  <c:v>PO WER</c:v>
                </c:pt>
              </c:strCache>
            </c:strRef>
          </c:cat>
          <c:val>
            <c:numRef>
              <c:f>PO!$B$90:$E$90</c:f>
              <c:numCache>
                <c:formatCode>0.0%</c:formatCode>
                <c:ptCount val="4"/>
                <c:pt idx="0">
                  <c:v>4.5889869367453255E-2</c:v>
                </c:pt>
                <c:pt idx="1">
                  <c:v>5.2894789078536064E-2</c:v>
                </c:pt>
                <c:pt idx="2">
                  <c:v>6.9161412275427644E-2</c:v>
                </c:pt>
                <c:pt idx="3">
                  <c:v>6.285693034648733E-2</c:v>
                </c:pt>
              </c:numCache>
            </c:numRef>
          </c:val>
          <c:extLst xmlns:c16r2="http://schemas.microsoft.com/office/drawing/2015/06/chart">
            <c:ext xmlns:c16="http://schemas.microsoft.com/office/drawing/2014/chart" uri="{C3380CC4-5D6E-409C-BE32-E72D297353CC}">
              <c16:uniqueId val="{00000001-57D1-4AB0-ADB6-D13520270CF4}"/>
            </c:ext>
          </c:extLst>
        </c:ser>
        <c:ser>
          <c:idx val="2"/>
          <c:order val="2"/>
          <c:tx>
            <c:strRef>
              <c:f>PO!$A$91</c:f>
              <c:strCache>
                <c:ptCount val="1"/>
                <c:pt idx="0">
                  <c:v>LUBELSKIE</c:v>
                </c:pt>
              </c:strCache>
            </c:strRef>
          </c:tx>
          <c:spPr>
            <a:solidFill>
              <a:schemeClr val="accent1">
                <a:lumMod val="60000"/>
                <a:lumOff val="40000"/>
              </a:schemeClr>
            </a:solidFill>
            <a:ln>
              <a:solidFill>
                <a:schemeClr val="accent1">
                  <a:lumMod val="60000"/>
                  <a:lumOff val="40000"/>
                </a:schemeClr>
              </a:solidFill>
            </a:ln>
            <a:effectLst/>
          </c:spPr>
          <c:invertIfNegative val="0"/>
          <c:cat>
            <c:strRef>
              <c:f>PO!$B$88:$E$88</c:f>
              <c:strCache>
                <c:ptCount val="4"/>
                <c:pt idx="0">
                  <c:v>PO IiŚ</c:v>
                </c:pt>
                <c:pt idx="1">
                  <c:v>PO IR</c:v>
                </c:pt>
                <c:pt idx="2">
                  <c:v>PO PC</c:v>
                </c:pt>
                <c:pt idx="3">
                  <c:v>PO WER</c:v>
                </c:pt>
              </c:strCache>
            </c:strRef>
          </c:cat>
          <c:val>
            <c:numRef>
              <c:f>PO!$B$91:$E$91</c:f>
              <c:numCache>
                <c:formatCode>0.0%</c:formatCode>
                <c:ptCount val="4"/>
                <c:pt idx="0">
                  <c:v>3.4870982024345638E-2</c:v>
                </c:pt>
                <c:pt idx="1">
                  <c:v>6.2633841314177305E-2</c:v>
                </c:pt>
                <c:pt idx="2">
                  <c:v>0.16099746477896179</c:v>
                </c:pt>
                <c:pt idx="3">
                  <c:v>6.6322336306860588E-2</c:v>
                </c:pt>
              </c:numCache>
            </c:numRef>
          </c:val>
          <c:extLst xmlns:c16r2="http://schemas.microsoft.com/office/drawing/2015/06/chart">
            <c:ext xmlns:c16="http://schemas.microsoft.com/office/drawing/2014/chart" uri="{C3380CC4-5D6E-409C-BE32-E72D297353CC}">
              <c16:uniqueId val="{00000002-57D1-4AB0-ADB6-D13520270CF4}"/>
            </c:ext>
          </c:extLst>
        </c:ser>
        <c:ser>
          <c:idx val="3"/>
          <c:order val="3"/>
          <c:tx>
            <c:strRef>
              <c:f>PO!$A$92</c:f>
              <c:strCache>
                <c:ptCount val="1"/>
                <c:pt idx="0">
                  <c:v>LUBUSKIE</c:v>
                </c:pt>
              </c:strCache>
            </c:strRef>
          </c:tx>
          <c:spPr>
            <a:solidFill>
              <a:schemeClr val="accent1">
                <a:lumMod val="75000"/>
              </a:schemeClr>
            </a:solidFill>
            <a:ln>
              <a:solidFill>
                <a:schemeClr val="accent1">
                  <a:lumMod val="75000"/>
                </a:schemeClr>
              </a:solidFill>
            </a:ln>
            <a:effectLst/>
          </c:spPr>
          <c:invertIfNegative val="0"/>
          <c:cat>
            <c:strRef>
              <c:f>PO!$B$88:$E$88</c:f>
              <c:strCache>
                <c:ptCount val="4"/>
                <c:pt idx="0">
                  <c:v>PO IiŚ</c:v>
                </c:pt>
                <c:pt idx="1">
                  <c:v>PO IR</c:v>
                </c:pt>
                <c:pt idx="2">
                  <c:v>PO PC</c:v>
                </c:pt>
                <c:pt idx="3">
                  <c:v>PO WER</c:v>
                </c:pt>
              </c:strCache>
            </c:strRef>
          </c:cat>
          <c:val>
            <c:numRef>
              <c:f>PO!$B$92:$E$92</c:f>
              <c:numCache>
                <c:formatCode>0.0%</c:formatCode>
                <c:ptCount val="4"/>
                <c:pt idx="0">
                  <c:v>2.7042359914419341E-2</c:v>
                </c:pt>
                <c:pt idx="1">
                  <c:v>1.5010170943522607E-2</c:v>
                </c:pt>
                <c:pt idx="2">
                  <c:v>2.8256506003873437E-2</c:v>
                </c:pt>
                <c:pt idx="3">
                  <c:v>2.918742982600284E-2</c:v>
                </c:pt>
              </c:numCache>
            </c:numRef>
          </c:val>
          <c:extLst xmlns:c16r2="http://schemas.microsoft.com/office/drawing/2015/06/chart">
            <c:ext xmlns:c16="http://schemas.microsoft.com/office/drawing/2014/chart" uri="{C3380CC4-5D6E-409C-BE32-E72D297353CC}">
              <c16:uniqueId val="{00000003-57D1-4AB0-ADB6-D13520270CF4}"/>
            </c:ext>
          </c:extLst>
        </c:ser>
        <c:ser>
          <c:idx val="4"/>
          <c:order val="4"/>
          <c:tx>
            <c:strRef>
              <c:f>PO!$A$93</c:f>
              <c:strCache>
                <c:ptCount val="1"/>
                <c:pt idx="0">
                  <c:v>ŁÓDZKIE</c:v>
                </c:pt>
              </c:strCache>
            </c:strRef>
          </c:tx>
          <c:spPr>
            <a:solidFill>
              <a:schemeClr val="accent1">
                <a:lumMod val="50000"/>
              </a:schemeClr>
            </a:solidFill>
            <a:ln>
              <a:solidFill>
                <a:schemeClr val="accent1">
                  <a:lumMod val="50000"/>
                </a:schemeClr>
              </a:solidFill>
            </a:ln>
            <a:effectLst/>
          </c:spPr>
          <c:invertIfNegative val="0"/>
          <c:cat>
            <c:strRef>
              <c:f>PO!$B$88:$E$88</c:f>
              <c:strCache>
                <c:ptCount val="4"/>
                <c:pt idx="0">
                  <c:v>PO IiŚ</c:v>
                </c:pt>
                <c:pt idx="1">
                  <c:v>PO IR</c:v>
                </c:pt>
                <c:pt idx="2">
                  <c:v>PO PC</c:v>
                </c:pt>
                <c:pt idx="3">
                  <c:v>PO WER</c:v>
                </c:pt>
              </c:strCache>
            </c:strRef>
          </c:cat>
          <c:val>
            <c:numRef>
              <c:f>PO!$B$93:$E$93</c:f>
              <c:numCache>
                <c:formatCode>0.0%</c:formatCode>
                <c:ptCount val="4"/>
                <c:pt idx="0">
                  <c:v>4.8447844333139839E-2</c:v>
                </c:pt>
                <c:pt idx="1">
                  <c:v>7.5567474227735285E-2</c:v>
                </c:pt>
                <c:pt idx="2">
                  <c:v>7.0413787347932896E-2</c:v>
                </c:pt>
                <c:pt idx="3">
                  <c:v>6.8507193507892541E-2</c:v>
                </c:pt>
              </c:numCache>
            </c:numRef>
          </c:val>
          <c:extLst xmlns:c16r2="http://schemas.microsoft.com/office/drawing/2015/06/chart">
            <c:ext xmlns:c16="http://schemas.microsoft.com/office/drawing/2014/chart" uri="{C3380CC4-5D6E-409C-BE32-E72D297353CC}">
              <c16:uniqueId val="{00000004-57D1-4AB0-ADB6-D13520270CF4}"/>
            </c:ext>
          </c:extLst>
        </c:ser>
        <c:ser>
          <c:idx val="5"/>
          <c:order val="5"/>
          <c:tx>
            <c:strRef>
              <c:f>PO!$A$94</c:f>
              <c:strCache>
                <c:ptCount val="1"/>
                <c:pt idx="0">
                  <c:v>MAŁOPOLSKIE</c:v>
                </c:pt>
              </c:strCache>
            </c:strRef>
          </c:tx>
          <c:spPr>
            <a:solidFill>
              <a:schemeClr val="bg1">
                <a:lumMod val="95000"/>
              </a:schemeClr>
            </a:solidFill>
            <a:ln>
              <a:solidFill>
                <a:schemeClr val="bg1">
                  <a:lumMod val="95000"/>
                </a:schemeClr>
              </a:solidFill>
            </a:ln>
            <a:effectLst/>
          </c:spPr>
          <c:invertIfNegative val="0"/>
          <c:cat>
            <c:strRef>
              <c:f>PO!$B$88:$E$88</c:f>
              <c:strCache>
                <c:ptCount val="4"/>
                <c:pt idx="0">
                  <c:v>PO IiŚ</c:v>
                </c:pt>
                <c:pt idx="1">
                  <c:v>PO IR</c:v>
                </c:pt>
                <c:pt idx="2">
                  <c:v>PO PC</c:v>
                </c:pt>
                <c:pt idx="3">
                  <c:v>PO WER</c:v>
                </c:pt>
              </c:strCache>
            </c:strRef>
          </c:cat>
          <c:val>
            <c:numRef>
              <c:f>PO!$B$94:$E$94</c:f>
              <c:numCache>
                <c:formatCode>0.0%</c:formatCode>
                <c:ptCount val="4"/>
                <c:pt idx="0">
                  <c:v>5.8165903350069652E-2</c:v>
                </c:pt>
                <c:pt idx="1">
                  <c:v>0.13564018279292028</c:v>
                </c:pt>
                <c:pt idx="2">
                  <c:v>6.4015282813879137E-2</c:v>
                </c:pt>
                <c:pt idx="3">
                  <c:v>9.8986451767086731E-2</c:v>
                </c:pt>
              </c:numCache>
            </c:numRef>
          </c:val>
          <c:extLst xmlns:c16r2="http://schemas.microsoft.com/office/drawing/2015/06/chart">
            <c:ext xmlns:c16="http://schemas.microsoft.com/office/drawing/2014/chart" uri="{C3380CC4-5D6E-409C-BE32-E72D297353CC}">
              <c16:uniqueId val="{00000005-57D1-4AB0-ADB6-D13520270CF4}"/>
            </c:ext>
          </c:extLst>
        </c:ser>
        <c:ser>
          <c:idx val="6"/>
          <c:order val="6"/>
          <c:tx>
            <c:strRef>
              <c:f>PO!$A$95</c:f>
              <c:strCache>
                <c:ptCount val="1"/>
                <c:pt idx="0">
                  <c:v>MAZOWIECKIE</c:v>
                </c:pt>
              </c:strCache>
            </c:strRef>
          </c:tx>
          <c:spPr>
            <a:solidFill>
              <a:schemeClr val="bg1">
                <a:lumMod val="85000"/>
              </a:schemeClr>
            </a:solidFill>
            <a:ln>
              <a:solidFill>
                <a:schemeClr val="bg1">
                  <a:lumMod val="85000"/>
                </a:schemeClr>
              </a:solidFill>
            </a:ln>
            <a:effectLst/>
          </c:spPr>
          <c:invertIfNegative val="0"/>
          <c:cat>
            <c:strRef>
              <c:f>PO!$B$88:$E$88</c:f>
              <c:strCache>
                <c:ptCount val="4"/>
                <c:pt idx="0">
                  <c:v>PO IiŚ</c:v>
                </c:pt>
                <c:pt idx="1">
                  <c:v>PO IR</c:v>
                </c:pt>
                <c:pt idx="2">
                  <c:v>PO PC</c:v>
                </c:pt>
                <c:pt idx="3">
                  <c:v>PO WER</c:v>
                </c:pt>
              </c:strCache>
            </c:strRef>
          </c:cat>
          <c:val>
            <c:numRef>
              <c:f>PO!$B$95:$E$95</c:f>
              <c:numCache>
                <c:formatCode>0.0%</c:formatCode>
                <c:ptCount val="4"/>
                <c:pt idx="0">
                  <c:v>0.24671127835122039</c:v>
                </c:pt>
                <c:pt idx="1">
                  <c:v>0.11846373443859808</c:v>
                </c:pt>
                <c:pt idx="2">
                  <c:v>9.9185611560194342E-2</c:v>
                </c:pt>
                <c:pt idx="3">
                  <c:v>9.8377050430390703E-2</c:v>
                </c:pt>
              </c:numCache>
            </c:numRef>
          </c:val>
          <c:extLst xmlns:c16r2="http://schemas.microsoft.com/office/drawing/2015/06/chart">
            <c:ext xmlns:c16="http://schemas.microsoft.com/office/drawing/2014/chart" uri="{C3380CC4-5D6E-409C-BE32-E72D297353CC}">
              <c16:uniqueId val="{00000006-57D1-4AB0-ADB6-D13520270CF4}"/>
            </c:ext>
          </c:extLst>
        </c:ser>
        <c:ser>
          <c:idx val="7"/>
          <c:order val="7"/>
          <c:tx>
            <c:strRef>
              <c:f>PO!$A$96</c:f>
              <c:strCache>
                <c:ptCount val="1"/>
                <c:pt idx="0">
                  <c:v>OPOLSKIE</c:v>
                </c:pt>
              </c:strCache>
            </c:strRef>
          </c:tx>
          <c:spPr>
            <a:solidFill>
              <a:schemeClr val="bg1">
                <a:lumMod val="75000"/>
              </a:schemeClr>
            </a:solidFill>
            <a:ln>
              <a:solidFill>
                <a:schemeClr val="bg1">
                  <a:lumMod val="75000"/>
                </a:schemeClr>
              </a:solidFill>
            </a:ln>
            <a:effectLst/>
          </c:spPr>
          <c:invertIfNegative val="0"/>
          <c:cat>
            <c:strRef>
              <c:f>PO!$B$88:$E$88</c:f>
              <c:strCache>
                <c:ptCount val="4"/>
                <c:pt idx="0">
                  <c:v>PO IiŚ</c:v>
                </c:pt>
                <c:pt idx="1">
                  <c:v>PO IR</c:v>
                </c:pt>
                <c:pt idx="2">
                  <c:v>PO PC</c:v>
                </c:pt>
                <c:pt idx="3">
                  <c:v>PO WER</c:v>
                </c:pt>
              </c:strCache>
            </c:strRef>
          </c:cat>
          <c:val>
            <c:numRef>
              <c:f>PO!$B$96:$E$96</c:f>
              <c:numCache>
                <c:formatCode>0.0%</c:formatCode>
                <c:ptCount val="4"/>
                <c:pt idx="0">
                  <c:v>1.717940284180209E-2</c:v>
                </c:pt>
                <c:pt idx="1">
                  <c:v>2.9184897070202574E-2</c:v>
                </c:pt>
                <c:pt idx="2">
                  <c:v>2.3792481005846405E-3</c:v>
                </c:pt>
                <c:pt idx="3">
                  <c:v>2.3247229775647364E-2</c:v>
                </c:pt>
              </c:numCache>
            </c:numRef>
          </c:val>
          <c:extLst xmlns:c16r2="http://schemas.microsoft.com/office/drawing/2015/06/chart">
            <c:ext xmlns:c16="http://schemas.microsoft.com/office/drawing/2014/chart" uri="{C3380CC4-5D6E-409C-BE32-E72D297353CC}">
              <c16:uniqueId val="{00000007-57D1-4AB0-ADB6-D13520270CF4}"/>
            </c:ext>
          </c:extLst>
        </c:ser>
        <c:ser>
          <c:idx val="8"/>
          <c:order val="8"/>
          <c:tx>
            <c:strRef>
              <c:f>PO!$A$97</c:f>
              <c:strCache>
                <c:ptCount val="1"/>
                <c:pt idx="0">
                  <c:v>PODKARPACKIE</c:v>
                </c:pt>
              </c:strCache>
            </c:strRef>
          </c:tx>
          <c:spPr>
            <a:solidFill>
              <a:schemeClr val="bg1">
                <a:lumMod val="65000"/>
              </a:schemeClr>
            </a:solidFill>
            <a:ln>
              <a:solidFill>
                <a:schemeClr val="bg1">
                  <a:lumMod val="65000"/>
                </a:schemeClr>
              </a:solidFill>
            </a:ln>
            <a:effectLst/>
          </c:spPr>
          <c:invertIfNegative val="0"/>
          <c:cat>
            <c:strRef>
              <c:f>PO!$B$88:$E$88</c:f>
              <c:strCache>
                <c:ptCount val="4"/>
                <c:pt idx="0">
                  <c:v>PO IiŚ</c:v>
                </c:pt>
                <c:pt idx="1">
                  <c:v>PO IR</c:v>
                </c:pt>
                <c:pt idx="2">
                  <c:v>PO PC</c:v>
                </c:pt>
                <c:pt idx="3">
                  <c:v>PO WER</c:v>
                </c:pt>
              </c:strCache>
            </c:strRef>
          </c:cat>
          <c:val>
            <c:numRef>
              <c:f>PO!$B$97:$E$97</c:f>
              <c:numCache>
                <c:formatCode>0.0%</c:formatCode>
                <c:ptCount val="4"/>
                <c:pt idx="0">
                  <c:v>2.8145272952146461E-2</c:v>
                </c:pt>
                <c:pt idx="1">
                  <c:v>8.3939177556163883E-2</c:v>
                </c:pt>
                <c:pt idx="2">
                  <c:v>6.2548105149775934E-2</c:v>
                </c:pt>
                <c:pt idx="3">
                  <c:v>6.9289375335419442E-2</c:v>
                </c:pt>
              </c:numCache>
            </c:numRef>
          </c:val>
          <c:extLst xmlns:c16r2="http://schemas.microsoft.com/office/drawing/2015/06/chart">
            <c:ext xmlns:c16="http://schemas.microsoft.com/office/drawing/2014/chart" uri="{C3380CC4-5D6E-409C-BE32-E72D297353CC}">
              <c16:uniqueId val="{00000008-57D1-4AB0-ADB6-D13520270CF4}"/>
            </c:ext>
          </c:extLst>
        </c:ser>
        <c:ser>
          <c:idx val="9"/>
          <c:order val="9"/>
          <c:tx>
            <c:strRef>
              <c:f>PO!$A$98</c:f>
              <c:strCache>
                <c:ptCount val="1"/>
                <c:pt idx="0">
                  <c:v>PODLASKIE</c:v>
                </c:pt>
              </c:strCache>
            </c:strRef>
          </c:tx>
          <c:spPr>
            <a:solidFill>
              <a:schemeClr val="bg1">
                <a:lumMod val="50000"/>
              </a:schemeClr>
            </a:solidFill>
            <a:ln>
              <a:solidFill>
                <a:schemeClr val="bg1">
                  <a:lumMod val="50000"/>
                </a:schemeClr>
              </a:solidFill>
            </a:ln>
            <a:effectLst/>
          </c:spPr>
          <c:invertIfNegative val="0"/>
          <c:cat>
            <c:strRef>
              <c:f>PO!$B$88:$E$88</c:f>
              <c:strCache>
                <c:ptCount val="4"/>
                <c:pt idx="0">
                  <c:v>PO IiŚ</c:v>
                </c:pt>
                <c:pt idx="1">
                  <c:v>PO IR</c:v>
                </c:pt>
                <c:pt idx="2">
                  <c:v>PO PC</c:v>
                </c:pt>
                <c:pt idx="3">
                  <c:v>PO WER</c:v>
                </c:pt>
              </c:strCache>
            </c:strRef>
          </c:cat>
          <c:val>
            <c:numRef>
              <c:f>PO!$B$98:$E$98</c:f>
              <c:numCache>
                <c:formatCode>0.0%</c:formatCode>
                <c:ptCount val="4"/>
                <c:pt idx="0">
                  <c:v>1.5347849196295352E-2</c:v>
                </c:pt>
                <c:pt idx="1">
                  <c:v>3.2277936860887452E-2</c:v>
                </c:pt>
                <c:pt idx="2">
                  <c:v>2.3335530115626953E-2</c:v>
                </c:pt>
                <c:pt idx="3">
                  <c:v>3.3372517559525222E-2</c:v>
                </c:pt>
              </c:numCache>
            </c:numRef>
          </c:val>
          <c:extLst xmlns:c16r2="http://schemas.microsoft.com/office/drawing/2015/06/chart">
            <c:ext xmlns:c16="http://schemas.microsoft.com/office/drawing/2014/chart" uri="{C3380CC4-5D6E-409C-BE32-E72D297353CC}">
              <c16:uniqueId val="{00000009-57D1-4AB0-ADB6-D13520270CF4}"/>
            </c:ext>
          </c:extLst>
        </c:ser>
        <c:ser>
          <c:idx val="10"/>
          <c:order val="10"/>
          <c:tx>
            <c:strRef>
              <c:f>PO!$A$99</c:f>
              <c:strCache>
                <c:ptCount val="1"/>
                <c:pt idx="0">
                  <c:v>POMORSKIE</c:v>
                </c:pt>
              </c:strCache>
            </c:strRef>
          </c:tx>
          <c:spPr>
            <a:solidFill>
              <a:schemeClr val="tx2">
                <a:lumMod val="20000"/>
                <a:lumOff val="80000"/>
              </a:schemeClr>
            </a:solidFill>
            <a:ln>
              <a:solidFill>
                <a:schemeClr val="tx2">
                  <a:lumMod val="20000"/>
                  <a:lumOff val="80000"/>
                </a:schemeClr>
              </a:solidFill>
            </a:ln>
            <a:effectLst/>
          </c:spPr>
          <c:invertIfNegative val="0"/>
          <c:cat>
            <c:strRef>
              <c:f>PO!$B$88:$E$88</c:f>
              <c:strCache>
                <c:ptCount val="4"/>
                <c:pt idx="0">
                  <c:v>PO IiŚ</c:v>
                </c:pt>
                <c:pt idx="1">
                  <c:v>PO IR</c:v>
                </c:pt>
                <c:pt idx="2">
                  <c:v>PO PC</c:v>
                </c:pt>
                <c:pt idx="3">
                  <c:v>PO WER</c:v>
                </c:pt>
              </c:strCache>
            </c:strRef>
          </c:cat>
          <c:val>
            <c:numRef>
              <c:f>PO!$B$99:$E$99</c:f>
              <c:numCache>
                <c:formatCode>0.0%</c:formatCode>
                <c:ptCount val="4"/>
                <c:pt idx="0">
                  <c:v>7.4487187376409747E-2</c:v>
                </c:pt>
                <c:pt idx="1">
                  <c:v>6.5089216447928838E-2</c:v>
                </c:pt>
                <c:pt idx="2">
                  <c:v>3.8434470200978926E-2</c:v>
                </c:pt>
                <c:pt idx="3">
                  <c:v>6.305034594070022E-2</c:v>
                </c:pt>
              </c:numCache>
            </c:numRef>
          </c:val>
          <c:extLst xmlns:c16r2="http://schemas.microsoft.com/office/drawing/2015/06/chart">
            <c:ext xmlns:c16="http://schemas.microsoft.com/office/drawing/2014/chart" uri="{C3380CC4-5D6E-409C-BE32-E72D297353CC}">
              <c16:uniqueId val="{0000000A-57D1-4AB0-ADB6-D13520270CF4}"/>
            </c:ext>
          </c:extLst>
        </c:ser>
        <c:ser>
          <c:idx val="11"/>
          <c:order val="11"/>
          <c:tx>
            <c:strRef>
              <c:f>PO!$A$100</c:f>
              <c:strCache>
                <c:ptCount val="1"/>
                <c:pt idx="0">
                  <c:v>ŚLĄSKIE</c:v>
                </c:pt>
              </c:strCache>
            </c:strRef>
          </c:tx>
          <c:spPr>
            <a:solidFill>
              <a:schemeClr val="tx2">
                <a:lumMod val="40000"/>
                <a:lumOff val="60000"/>
              </a:schemeClr>
            </a:solidFill>
            <a:ln>
              <a:solidFill>
                <a:schemeClr val="tx2">
                  <a:lumMod val="40000"/>
                  <a:lumOff val="60000"/>
                </a:schemeClr>
              </a:solidFill>
            </a:ln>
            <a:effectLst/>
          </c:spPr>
          <c:invertIfNegative val="0"/>
          <c:cat>
            <c:strRef>
              <c:f>PO!$B$88:$E$88</c:f>
              <c:strCache>
                <c:ptCount val="4"/>
                <c:pt idx="0">
                  <c:v>PO IiŚ</c:v>
                </c:pt>
                <c:pt idx="1">
                  <c:v>PO IR</c:v>
                </c:pt>
                <c:pt idx="2">
                  <c:v>PO PC</c:v>
                </c:pt>
                <c:pt idx="3">
                  <c:v>PO WER</c:v>
                </c:pt>
              </c:strCache>
            </c:strRef>
          </c:cat>
          <c:val>
            <c:numRef>
              <c:f>PO!$B$100:$E$100</c:f>
              <c:numCache>
                <c:formatCode>0.0%</c:formatCode>
                <c:ptCount val="4"/>
                <c:pt idx="0">
                  <c:v>0.10660643361872681</c:v>
                </c:pt>
                <c:pt idx="1">
                  <c:v>0.11053445595728405</c:v>
                </c:pt>
                <c:pt idx="2">
                  <c:v>5.4159552785622234E-2</c:v>
                </c:pt>
                <c:pt idx="3">
                  <c:v>0.11189871412663167</c:v>
                </c:pt>
              </c:numCache>
            </c:numRef>
          </c:val>
          <c:extLst xmlns:c16r2="http://schemas.microsoft.com/office/drawing/2015/06/chart">
            <c:ext xmlns:c16="http://schemas.microsoft.com/office/drawing/2014/chart" uri="{C3380CC4-5D6E-409C-BE32-E72D297353CC}">
              <c16:uniqueId val="{0000000B-57D1-4AB0-ADB6-D13520270CF4}"/>
            </c:ext>
          </c:extLst>
        </c:ser>
        <c:ser>
          <c:idx val="12"/>
          <c:order val="12"/>
          <c:tx>
            <c:strRef>
              <c:f>PO!$A$101</c:f>
              <c:strCache>
                <c:ptCount val="1"/>
                <c:pt idx="0">
                  <c:v>ŚWIĘTOKRZYSKIE</c:v>
                </c:pt>
              </c:strCache>
            </c:strRef>
          </c:tx>
          <c:spPr>
            <a:solidFill>
              <a:schemeClr val="tx2">
                <a:lumMod val="60000"/>
                <a:lumOff val="40000"/>
              </a:schemeClr>
            </a:solidFill>
            <a:ln>
              <a:solidFill>
                <a:schemeClr val="tx2">
                  <a:lumMod val="60000"/>
                  <a:lumOff val="40000"/>
                </a:schemeClr>
              </a:solidFill>
            </a:ln>
            <a:effectLst/>
          </c:spPr>
          <c:invertIfNegative val="0"/>
          <c:cat>
            <c:strRef>
              <c:f>PO!$B$88:$E$88</c:f>
              <c:strCache>
                <c:ptCount val="4"/>
                <c:pt idx="0">
                  <c:v>PO IiŚ</c:v>
                </c:pt>
                <c:pt idx="1">
                  <c:v>PO IR</c:v>
                </c:pt>
                <c:pt idx="2">
                  <c:v>PO PC</c:v>
                </c:pt>
                <c:pt idx="3">
                  <c:v>PO WER</c:v>
                </c:pt>
              </c:strCache>
            </c:strRef>
          </c:cat>
          <c:val>
            <c:numRef>
              <c:f>PO!$B$101:$E$101</c:f>
              <c:numCache>
                <c:formatCode>0.0%</c:formatCode>
                <c:ptCount val="4"/>
                <c:pt idx="0">
                  <c:v>1.9310648950170286E-2</c:v>
                </c:pt>
                <c:pt idx="1">
                  <c:v>2.989669589852299E-2</c:v>
                </c:pt>
                <c:pt idx="2">
                  <c:v>5.1582520592058395E-2</c:v>
                </c:pt>
                <c:pt idx="3">
                  <c:v>4.9080484598217705E-2</c:v>
                </c:pt>
              </c:numCache>
            </c:numRef>
          </c:val>
          <c:extLst xmlns:c16r2="http://schemas.microsoft.com/office/drawing/2015/06/chart">
            <c:ext xmlns:c16="http://schemas.microsoft.com/office/drawing/2014/chart" uri="{C3380CC4-5D6E-409C-BE32-E72D297353CC}">
              <c16:uniqueId val="{0000000C-57D1-4AB0-ADB6-D13520270CF4}"/>
            </c:ext>
          </c:extLst>
        </c:ser>
        <c:ser>
          <c:idx val="13"/>
          <c:order val="13"/>
          <c:tx>
            <c:strRef>
              <c:f>PO!$A$102</c:f>
              <c:strCache>
                <c:ptCount val="1"/>
                <c:pt idx="0">
                  <c:v>WARMIŃSKO-MAZURSKIE</c:v>
                </c:pt>
              </c:strCache>
            </c:strRef>
          </c:tx>
          <c:spPr>
            <a:solidFill>
              <a:schemeClr val="tx2">
                <a:lumMod val="75000"/>
              </a:schemeClr>
            </a:solidFill>
            <a:ln>
              <a:solidFill>
                <a:schemeClr val="tx2">
                  <a:lumMod val="75000"/>
                </a:schemeClr>
              </a:solidFill>
            </a:ln>
            <a:effectLst/>
          </c:spPr>
          <c:invertIfNegative val="0"/>
          <c:cat>
            <c:strRef>
              <c:f>PO!$B$88:$E$88</c:f>
              <c:strCache>
                <c:ptCount val="4"/>
                <c:pt idx="0">
                  <c:v>PO IiŚ</c:v>
                </c:pt>
                <c:pt idx="1">
                  <c:v>PO IR</c:v>
                </c:pt>
                <c:pt idx="2">
                  <c:v>PO PC</c:v>
                </c:pt>
                <c:pt idx="3">
                  <c:v>PO WER</c:v>
                </c:pt>
              </c:strCache>
            </c:strRef>
          </c:cat>
          <c:val>
            <c:numRef>
              <c:f>PO!$B$102:$E$102</c:f>
              <c:numCache>
                <c:formatCode>0.0%</c:formatCode>
                <c:ptCount val="4"/>
                <c:pt idx="0">
                  <c:v>5.0449058921885198E-2</c:v>
                </c:pt>
                <c:pt idx="1">
                  <c:v>4.0238820331224549E-2</c:v>
                </c:pt>
                <c:pt idx="2">
                  <c:v>3.7804212714896319E-2</c:v>
                </c:pt>
                <c:pt idx="3">
                  <c:v>3.7192911932223863E-2</c:v>
                </c:pt>
              </c:numCache>
            </c:numRef>
          </c:val>
          <c:extLst xmlns:c16r2="http://schemas.microsoft.com/office/drawing/2015/06/chart">
            <c:ext xmlns:c16="http://schemas.microsoft.com/office/drawing/2014/chart" uri="{C3380CC4-5D6E-409C-BE32-E72D297353CC}">
              <c16:uniqueId val="{0000000D-57D1-4AB0-ADB6-D13520270CF4}"/>
            </c:ext>
          </c:extLst>
        </c:ser>
        <c:ser>
          <c:idx val="14"/>
          <c:order val="14"/>
          <c:tx>
            <c:strRef>
              <c:f>PO!$A$103</c:f>
              <c:strCache>
                <c:ptCount val="1"/>
                <c:pt idx="0">
                  <c:v>WIELKOPOLSKIE</c:v>
                </c:pt>
              </c:strCache>
            </c:strRef>
          </c:tx>
          <c:spPr>
            <a:solidFill>
              <a:srgbClr val="FF0000"/>
            </a:solidFill>
            <a:ln>
              <a:solidFill>
                <a:srgbClr val="FF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PO!$B$88:$E$88</c:f>
              <c:strCache>
                <c:ptCount val="4"/>
                <c:pt idx="0">
                  <c:v>PO IiŚ</c:v>
                </c:pt>
                <c:pt idx="1">
                  <c:v>PO IR</c:v>
                </c:pt>
                <c:pt idx="2">
                  <c:v>PO PC</c:v>
                </c:pt>
                <c:pt idx="3">
                  <c:v>PO WER</c:v>
                </c:pt>
              </c:strCache>
            </c:strRef>
          </c:cat>
          <c:val>
            <c:numRef>
              <c:f>PO!$B$103:$E$103</c:f>
              <c:numCache>
                <c:formatCode>0.0%</c:formatCode>
                <c:ptCount val="4"/>
                <c:pt idx="0">
                  <c:v>6.3721777080538861E-2</c:v>
                </c:pt>
                <c:pt idx="1">
                  <c:v>6.848912657456635E-2</c:v>
                </c:pt>
                <c:pt idx="2">
                  <c:v>0.10194277204708595</c:v>
                </c:pt>
                <c:pt idx="3">
                  <c:v>8.0813845743767279E-2</c:v>
                </c:pt>
              </c:numCache>
            </c:numRef>
          </c:val>
          <c:extLst xmlns:c16r2="http://schemas.microsoft.com/office/drawing/2015/06/chart">
            <c:ext xmlns:c16="http://schemas.microsoft.com/office/drawing/2014/chart" uri="{C3380CC4-5D6E-409C-BE32-E72D297353CC}">
              <c16:uniqueId val="{0000000E-57D1-4AB0-ADB6-D13520270CF4}"/>
            </c:ext>
          </c:extLst>
        </c:ser>
        <c:ser>
          <c:idx val="15"/>
          <c:order val="15"/>
          <c:tx>
            <c:strRef>
              <c:f>PO!$A$104</c:f>
              <c:strCache>
                <c:ptCount val="1"/>
                <c:pt idx="0">
                  <c:v>ZACHODNIOPOMORSKIE</c:v>
                </c:pt>
              </c:strCache>
            </c:strRef>
          </c:tx>
          <c:spPr>
            <a:solidFill>
              <a:schemeClr val="accent5">
                <a:lumMod val="60000"/>
                <a:lumOff val="40000"/>
              </a:schemeClr>
            </a:solidFill>
            <a:ln>
              <a:solidFill>
                <a:srgbClr val="4E93D2"/>
              </a:solidFill>
            </a:ln>
            <a:effectLst/>
          </c:spPr>
          <c:invertIfNegative val="0"/>
          <c:cat>
            <c:strRef>
              <c:f>PO!$B$88:$E$88</c:f>
              <c:strCache>
                <c:ptCount val="4"/>
                <c:pt idx="0">
                  <c:v>PO IiŚ</c:v>
                </c:pt>
                <c:pt idx="1">
                  <c:v>PO IR</c:v>
                </c:pt>
                <c:pt idx="2">
                  <c:v>PO PC</c:v>
                </c:pt>
                <c:pt idx="3">
                  <c:v>PO WER</c:v>
                </c:pt>
              </c:strCache>
            </c:strRef>
          </c:cat>
          <c:val>
            <c:numRef>
              <c:f>PO!$B$104:$E$104</c:f>
              <c:numCache>
                <c:formatCode>0.0%</c:formatCode>
                <c:ptCount val="4"/>
                <c:pt idx="0">
                  <c:v>6.7752925740958245E-2</c:v>
                </c:pt>
                <c:pt idx="1">
                  <c:v>1.3464008540121395E-2</c:v>
                </c:pt>
                <c:pt idx="2">
                  <c:v>6.1722248001774477E-2</c:v>
                </c:pt>
                <c:pt idx="3">
                  <c:v>4.1267599778543357E-2</c:v>
                </c:pt>
              </c:numCache>
            </c:numRef>
          </c:val>
          <c:extLst xmlns:c16r2="http://schemas.microsoft.com/office/drawing/2015/06/chart">
            <c:ext xmlns:c16="http://schemas.microsoft.com/office/drawing/2014/chart" uri="{C3380CC4-5D6E-409C-BE32-E72D297353CC}">
              <c16:uniqueId val="{0000000F-57D1-4AB0-ADB6-D13520270CF4}"/>
            </c:ext>
          </c:extLst>
        </c:ser>
        <c:dLbls>
          <c:showLegendKey val="0"/>
          <c:showVal val="0"/>
          <c:showCatName val="0"/>
          <c:showSerName val="0"/>
          <c:showPercent val="0"/>
          <c:showBubbleSize val="0"/>
        </c:dLbls>
        <c:gapWidth val="150"/>
        <c:overlap val="100"/>
        <c:axId val="-1111607968"/>
        <c:axId val="-1111611232"/>
      </c:barChart>
      <c:catAx>
        <c:axId val="-1111607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11611232"/>
        <c:crosses val="autoZero"/>
        <c:auto val="1"/>
        <c:lblAlgn val="ctr"/>
        <c:lblOffset val="100"/>
        <c:noMultiLvlLbl val="0"/>
      </c:catAx>
      <c:valAx>
        <c:axId val="-11116112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11607968"/>
        <c:crosses val="autoZero"/>
        <c:crossBetween val="between"/>
      </c:valAx>
      <c:spPr>
        <a:noFill/>
        <a:ln>
          <a:noFill/>
        </a:ln>
        <a:effectLst/>
      </c:spPr>
    </c:plotArea>
    <c:legend>
      <c:legendPos val="b"/>
      <c:layout>
        <c:manualLayout>
          <c:xMode val="edge"/>
          <c:yMode val="edge"/>
          <c:x val="9.7488243065419755E-3"/>
          <c:y val="0.68905408205553265"/>
          <c:w val="0.95422518061530981"/>
          <c:h val="0.28793053828797716"/>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338985152127377E-2"/>
          <c:y val="4.1140726020434309E-2"/>
          <c:w val="0.93745650889411125"/>
          <c:h val="0.48010176477300959"/>
        </c:manualLayout>
      </c:layout>
      <c:barChart>
        <c:barDir val="bar"/>
        <c:grouping val="percentStacked"/>
        <c:varyColors val="0"/>
        <c:ser>
          <c:idx val="0"/>
          <c:order val="0"/>
          <c:tx>
            <c:strRef>
              <c:f>horyzont!$I$4</c:f>
              <c:strCache>
                <c:ptCount val="1"/>
                <c:pt idx="0">
                  <c:v>MAZOWIECKIE</c:v>
                </c:pt>
              </c:strCache>
            </c:strRef>
          </c:tx>
          <c:spPr>
            <a:solidFill>
              <a:schemeClr val="accent1">
                <a:lumMod val="20000"/>
                <a:lumOff val="80000"/>
              </a:schemeClr>
            </a:solidFill>
            <a:ln>
              <a:solidFill>
                <a:schemeClr val="accent1">
                  <a:lumMod val="20000"/>
                  <a:lumOff val="80000"/>
                </a:schemeClr>
              </a:solidFill>
            </a:ln>
            <a:effectLst/>
          </c:spPr>
          <c:invertIfNegative val="0"/>
          <c:cat>
            <c:strRef>
              <c:f>horyzont!$J$3</c:f>
              <c:strCache>
                <c:ptCount val="1"/>
                <c:pt idx="0">
                  <c:v>udział</c:v>
                </c:pt>
              </c:strCache>
            </c:strRef>
          </c:cat>
          <c:val>
            <c:numRef>
              <c:f>horyzont!$J$4</c:f>
              <c:numCache>
                <c:formatCode>0.00</c:formatCode>
                <c:ptCount val="1"/>
                <c:pt idx="0">
                  <c:v>49.180360792342945</c:v>
                </c:pt>
              </c:numCache>
            </c:numRef>
          </c:val>
          <c:extLst xmlns:c16r2="http://schemas.microsoft.com/office/drawing/2015/06/chart">
            <c:ext xmlns:c16="http://schemas.microsoft.com/office/drawing/2014/chart" uri="{C3380CC4-5D6E-409C-BE32-E72D297353CC}">
              <c16:uniqueId val="{00000000-51BD-4982-B09A-4E39C84713CE}"/>
            </c:ext>
          </c:extLst>
        </c:ser>
        <c:ser>
          <c:idx val="1"/>
          <c:order val="1"/>
          <c:tx>
            <c:strRef>
              <c:f>horyzont!$I$5</c:f>
              <c:strCache>
                <c:ptCount val="1"/>
                <c:pt idx="0">
                  <c:v>MAŁOPOLSKIE</c:v>
                </c:pt>
              </c:strCache>
            </c:strRef>
          </c:tx>
          <c:spPr>
            <a:solidFill>
              <a:schemeClr val="accent1">
                <a:lumMod val="40000"/>
                <a:lumOff val="60000"/>
              </a:schemeClr>
            </a:solidFill>
            <a:ln>
              <a:solidFill>
                <a:schemeClr val="accent1">
                  <a:lumMod val="40000"/>
                  <a:lumOff val="60000"/>
                </a:schemeClr>
              </a:solidFill>
            </a:ln>
            <a:effectLst/>
          </c:spPr>
          <c:invertIfNegative val="0"/>
          <c:cat>
            <c:strRef>
              <c:f>horyzont!$J$3</c:f>
              <c:strCache>
                <c:ptCount val="1"/>
                <c:pt idx="0">
                  <c:v>udział</c:v>
                </c:pt>
              </c:strCache>
            </c:strRef>
          </c:cat>
          <c:val>
            <c:numRef>
              <c:f>horyzont!$J$5</c:f>
              <c:numCache>
                <c:formatCode>0.00</c:formatCode>
                <c:ptCount val="1"/>
                <c:pt idx="0">
                  <c:v>12.28853142906428</c:v>
                </c:pt>
              </c:numCache>
            </c:numRef>
          </c:val>
          <c:extLst xmlns:c16r2="http://schemas.microsoft.com/office/drawing/2015/06/chart">
            <c:ext xmlns:c16="http://schemas.microsoft.com/office/drawing/2014/chart" uri="{C3380CC4-5D6E-409C-BE32-E72D297353CC}">
              <c16:uniqueId val="{00000001-51BD-4982-B09A-4E39C84713CE}"/>
            </c:ext>
          </c:extLst>
        </c:ser>
        <c:ser>
          <c:idx val="2"/>
          <c:order val="2"/>
          <c:tx>
            <c:strRef>
              <c:f>horyzont!$I$6</c:f>
              <c:strCache>
                <c:ptCount val="1"/>
                <c:pt idx="0">
                  <c:v>WIELKOPOLSKIE</c:v>
                </c:pt>
              </c:strCache>
            </c:strRef>
          </c:tx>
          <c:spPr>
            <a:solidFill>
              <a:srgbClr val="FF0000"/>
            </a:solidFill>
            <a:ln>
              <a:solidFill>
                <a:srgbClr val="FF0000"/>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horyzont!$J$3</c:f>
              <c:strCache>
                <c:ptCount val="1"/>
                <c:pt idx="0">
                  <c:v>udział</c:v>
                </c:pt>
              </c:strCache>
            </c:strRef>
          </c:cat>
          <c:val>
            <c:numRef>
              <c:f>horyzont!$J$6</c:f>
              <c:numCache>
                <c:formatCode>0.00</c:formatCode>
                <c:ptCount val="1"/>
                <c:pt idx="0">
                  <c:v>10.836240019638053</c:v>
                </c:pt>
              </c:numCache>
            </c:numRef>
          </c:val>
          <c:extLst xmlns:c16r2="http://schemas.microsoft.com/office/drawing/2015/06/chart">
            <c:ext xmlns:c16="http://schemas.microsoft.com/office/drawing/2014/chart" uri="{C3380CC4-5D6E-409C-BE32-E72D297353CC}">
              <c16:uniqueId val="{00000002-51BD-4982-B09A-4E39C84713CE}"/>
            </c:ext>
          </c:extLst>
        </c:ser>
        <c:ser>
          <c:idx val="3"/>
          <c:order val="3"/>
          <c:tx>
            <c:strRef>
              <c:f>horyzont!$I$7</c:f>
              <c:strCache>
                <c:ptCount val="1"/>
                <c:pt idx="0">
                  <c:v>POMORSKIE</c:v>
                </c:pt>
              </c:strCache>
            </c:strRef>
          </c:tx>
          <c:spPr>
            <a:solidFill>
              <a:schemeClr val="accent1">
                <a:lumMod val="60000"/>
                <a:lumOff val="40000"/>
              </a:schemeClr>
            </a:solidFill>
            <a:ln>
              <a:solidFill>
                <a:schemeClr val="accent1">
                  <a:lumMod val="60000"/>
                  <a:lumOff val="40000"/>
                </a:schemeClr>
              </a:solidFill>
            </a:ln>
            <a:effectLst/>
          </c:spPr>
          <c:invertIfNegative val="0"/>
          <c:cat>
            <c:strRef>
              <c:f>horyzont!$J$3</c:f>
              <c:strCache>
                <c:ptCount val="1"/>
                <c:pt idx="0">
                  <c:v>udział</c:v>
                </c:pt>
              </c:strCache>
            </c:strRef>
          </c:cat>
          <c:val>
            <c:numRef>
              <c:f>horyzont!$J$7</c:f>
              <c:numCache>
                <c:formatCode>0.00</c:formatCode>
                <c:ptCount val="1"/>
                <c:pt idx="0">
                  <c:v>6.5218634137911948</c:v>
                </c:pt>
              </c:numCache>
            </c:numRef>
          </c:val>
          <c:extLst xmlns:c16r2="http://schemas.microsoft.com/office/drawing/2015/06/chart">
            <c:ext xmlns:c16="http://schemas.microsoft.com/office/drawing/2014/chart" uri="{C3380CC4-5D6E-409C-BE32-E72D297353CC}">
              <c16:uniqueId val="{00000003-51BD-4982-B09A-4E39C84713CE}"/>
            </c:ext>
          </c:extLst>
        </c:ser>
        <c:ser>
          <c:idx val="4"/>
          <c:order val="4"/>
          <c:tx>
            <c:strRef>
              <c:f>horyzont!$I$8</c:f>
              <c:strCache>
                <c:ptCount val="1"/>
                <c:pt idx="0">
                  <c:v>DOLNOŚLĄSKIE</c:v>
                </c:pt>
              </c:strCache>
            </c:strRef>
          </c:tx>
          <c:spPr>
            <a:solidFill>
              <a:srgbClr val="5887C0"/>
            </a:solidFill>
            <a:ln>
              <a:solidFill>
                <a:srgbClr val="5887C0"/>
              </a:solidFill>
            </a:ln>
            <a:effectLst/>
          </c:spPr>
          <c:invertIfNegative val="0"/>
          <c:cat>
            <c:strRef>
              <c:f>horyzont!$J$3</c:f>
              <c:strCache>
                <c:ptCount val="1"/>
                <c:pt idx="0">
                  <c:v>udział</c:v>
                </c:pt>
              </c:strCache>
            </c:strRef>
          </c:cat>
          <c:val>
            <c:numRef>
              <c:f>horyzont!$J$8</c:f>
              <c:numCache>
                <c:formatCode>0.00</c:formatCode>
                <c:ptCount val="1"/>
                <c:pt idx="0">
                  <c:v>4.809592955127207</c:v>
                </c:pt>
              </c:numCache>
            </c:numRef>
          </c:val>
          <c:extLst xmlns:c16r2="http://schemas.microsoft.com/office/drawing/2015/06/chart">
            <c:ext xmlns:c16="http://schemas.microsoft.com/office/drawing/2014/chart" uri="{C3380CC4-5D6E-409C-BE32-E72D297353CC}">
              <c16:uniqueId val="{00000004-51BD-4982-B09A-4E39C84713CE}"/>
            </c:ext>
          </c:extLst>
        </c:ser>
        <c:ser>
          <c:idx val="5"/>
          <c:order val="5"/>
          <c:tx>
            <c:strRef>
              <c:f>horyzont!$I$9</c:f>
              <c:strCache>
                <c:ptCount val="1"/>
                <c:pt idx="0">
                  <c:v>ŚLĄSKIE</c:v>
                </c:pt>
              </c:strCache>
            </c:strRef>
          </c:tx>
          <c:spPr>
            <a:solidFill>
              <a:srgbClr val="3E6CA4"/>
            </a:solidFill>
            <a:ln>
              <a:solidFill>
                <a:srgbClr val="3E6CA4"/>
              </a:solidFill>
            </a:ln>
            <a:effectLst/>
          </c:spPr>
          <c:invertIfNegative val="0"/>
          <c:cat>
            <c:strRef>
              <c:f>horyzont!$J$3</c:f>
              <c:strCache>
                <c:ptCount val="1"/>
                <c:pt idx="0">
                  <c:v>udział</c:v>
                </c:pt>
              </c:strCache>
            </c:strRef>
          </c:cat>
          <c:val>
            <c:numRef>
              <c:f>horyzont!$J$9</c:f>
              <c:numCache>
                <c:formatCode>0.00</c:formatCode>
                <c:ptCount val="1"/>
                <c:pt idx="0">
                  <c:v>4.4842452265040844</c:v>
                </c:pt>
              </c:numCache>
            </c:numRef>
          </c:val>
          <c:extLst xmlns:c16r2="http://schemas.microsoft.com/office/drawing/2015/06/chart">
            <c:ext xmlns:c16="http://schemas.microsoft.com/office/drawing/2014/chart" uri="{C3380CC4-5D6E-409C-BE32-E72D297353CC}">
              <c16:uniqueId val="{00000005-51BD-4982-B09A-4E39C84713CE}"/>
            </c:ext>
          </c:extLst>
        </c:ser>
        <c:ser>
          <c:idx val="6"/>
          <c:order val="6"/>
          <c:tx>
            <c:strRef>
              <c:f>horyzont!$I$10</c:f>
              <c:strCache>
                <c:ptCount val="1"/>
                <c:pt idx="0">
                  <c:v>LUBELSKIE</c:v>
                </c:pt>
              </c:strCache>
            </c:strRef>
          </c:tx>
          <c:spPr>
            <a:solidFill>
              <a:srgbClr val="2E507A"/>
            </a:solidFill>
            <a:ln>
              <a:solidFill>
                <a:srgbClr val="2E507A"/>
              </a:solidFill>
            </a:ln>
            <a:effectLst/>
          </c:spPr>
          <c:invertIfNegative val="0"/>
          <c:cat>
            <c:strRef>
              <c:f>horyzont!$J$3</c:f>
              <c:strCache>
                <c:ptCount val="1"/>
                <c:pt idx="0">
                  <c:v>udział</c:v>
                </c:pt>
              </c:strCache>
            </c:strRef>
          </c:cat>
          <c:val>
            <c:numRef>
              <c:f>horyzont!$J$10</c:f>
              <c:numCache>
                <c:formatCode>0.00</c:formatCode>
                <c:ptCount val="1"/>
                <c:pt idx="0">
                  <c:v>3.432579249037901</c:v>
                </c:pt>
              </c:numCache>
            </c:numRef>
          </c:val>
          <c:extLst xmlns:c16r2="http://schemas.microsoft.com/office/drawing/2015/06/chart">
            <c:ext xmlns:c16="http://schemas.microsoft.com/office/drawing/2014/chart" uri="{C3380CC4-5D6E-409C-BE32-E72D297353CC}">
              <c16:uniqueId val="{00000006-51BD-4982-B09A-4E39C84713CE}"/>
            </c:ext>
          </c:extLst>
        </c:ser>
        <c:ser>
          <c:idx val="7"/>
          <c:order val="7"/>
          <c:tx>
            <c:strRef>
              <c:f>horyzont!$I$11</c:f>
              <c:strCache>
                <c:ptCount val="1"/>
                <c:pt idx="0">
                  <c:v>ŁÓDZKIE</c:v>
                </c:pt>
              </c:strCache>
            </c:strRef>
          </c:tx>
          <c:spPr>
            <a:solidFill>
              <a:srgbClr val="1A2E46"/>
            </a:solidFill>
            <a:ln>
              <a:solidFill>
                <a:srgbClr val="1A2E46"/>
              </a:solidFill>
            </a:ln>
            <a:effectLst/>
          </c:spPr>
          <c:invertIfNegative val="0"/>
          <c:cat>
            <c:strRef>
              <c:f>horyzont!$J$3</c:f>
              <c:strCache>
                <c:ptCount val="1"/>
                <c:pt idx="0">
                  <c:v>udział</c:v>
                </c:pt>
              </c:strCache>
            </c:strRef>
          </c:cat>
          <c:val>
            <c:numRef>
              <c:f>horyzont!$J$11</c:f>
              <c:numCache>
                <c:formatCode>0.00</c:formatCode>
                <c:ptCount val="1"/>
                <c:pt idx="0">
                  <c:v>3.1270194579075299</c:v>
                </c:pt>
              </c:numCache>
            </c:numRef>
          </c:val>
          <c:extLst xmlns:c16r2="http://schemas.microsoft.com/office/drawing/2015/06/chart">
            <c:ext xmlns:c16="http://schemas.microsoft.com/office/drawing/2014/chart" uri="{C3380CC4-5D6E-409C-BE32-E72D297353CC}">
              <c16:uniqueId val="{00000007-51BD-4982-B09A-4E39C84713CE}"/>
            </c:ext>
          </c:extLst>
        </c:ser>
        <c:ser>
          <c:idx val="8"/>
          <c:order val="8"/>
          <c:tx>
            <c:strRef>
              <c:f>horyzont!$I$12</c:f>
              <c:strCache>
                <c:ptCount val="1"/>
                <c:pt idx="0">
                  <c:v>KUJAWSKO-POMORSKIE</c:v>
                </c:pt>
              </c:strCache>
            </c:strRef>
          </c:tx>
          <c:spPr>
            <a:solidFill>
              <a:srgbClr val="0B141F"/>
            </a:solidFill>
            <a:ln>
              <a:solidFill>
                <a:srgbClr val="0B141F"/>
              </a:solidFill>
            </a:ln>
            <a:effectLst/>
          </c:spPr>
          <c:invertIfNegative val="0"/>
          <c:cat>
            <c:strRef>
              <c:f>horyzont!$J$3</c:f>
              <c:strCache>
                <c:ptCount val="1"/>
                <c:pt idx="0">
                  <c:v>udział</c:v>
                </c:pt>
              </c:strCache>
            </c:strRef>
          </c:cat>
          <c:val>
            <c:numRef>
              <c:f>horyzont!$J$12</c:f>
              <c:numCache>
                <c:formatCode>0.00</c:formatCode>
                <c:ptCount val="1"/>
                <c:pt idx="0">
                  <c:v>1.3818896248133608</c:v>
                </c:pt>
              </c:numCache>
            </c:numRef>
          </c:val>
          <c:extLst xmlns:c16r2="http://schemas.microsoft.com/office/drawing/2015/06/chart">
            <c:ext xmlns:c16="http://schemas.microsoft.com/office/drawing/2014/chart" uri="{C3380CC4-5D6E-409C-BE32-E72D297353CC}">
              <c16:uniqueId val="{00000008-51BD-4982-B09A-4E39C84713CE}"/>
            </c:ext>
          </c:extLst>
        </c:ser>
        <c:ser>
          <c:idx val="9"/>
          <c:order val="9"/>
          <c:tx>
            <c:strRef>
              <c:f>horyzont!$I$13</c:f>
              <c:strCache>
                <c:ptCount val="1"/>
                <c:pt idx="0">
                  <c:v>ZACHODNIOPOMORSKIE</c:v>
                </c:pt>
              </c:strCache>
            </c:strRef>
          </c:tx>
          <c:spPr>
            <a:solidFill>
              <a:schemeClr val="bg1">
                <a:lumMod val="85000"/>
              </a:schemeClr>
            </a:solidFill>
            <a:ln>
              <a:solidFill>
                <a:schemeClr val="bg1">
                  <a:lumMod val="95000"/>
                </a:schemeClr>
              </a:solidFill>
            </a:ln>
            <a:effectLst/>
          </c:spPr>
          <c:invertIfNegative val="0"/>
          <c:cat>
            <c:strRef>
              <c:f>horyzont!$J$3</c:f>
              <c:strCache>
                <c:ptCount val="1"/>
                <c:pt idx="0">
                  <c:v>udział</c:v>
                </c:pt>
              </c:strCache>
            </c:strRef>
          </c:cat>
          <c:val>
            <c:numRef>
              <c:f>horyzont!$J$13</c:f>
              <c:numCache>
                <c:formatCode>0.00</c:formatCode>
                <c:ptCount val="1"/>
                <c:pt idx="0">
                  <c:v>1.0700265212916522</c:v>
                </c:pt>
              </c:numCache>
            </c:numRef>
          </c:val>
          <c:extLst xmlns:c16r2="http://schemas.microsoft.com/office/drawing/2015/06/chart">
            <c:ext xmlns:c16="http://schemas.microsoft.com/office/drawing/2014/chart" uri="{C3380CC4-5D6E-409C-BE32-E72D297353CC}">
              <c16:uniqueId val="{00000009-51BD-4982-B09A-4E39C84713CE}"/>
            </c:ext>
          </c:extLst>
        </c:ser>
        <c:ser>
          <c:idx val="10"/>
          <c:order val="10"/>
          <c:tx>
            <c:strRef>
              <c:f>horyzont!$I$14</c:f>
              <c:strCache>
                <c:ptCount val="1"/>
                <c:pt idx="0">
                  <c:v>PODKARPACKIE</c:v>
                </c:pt>
              </c:strCache>
            </c:strRef>
          </c:tx>
          <c:spPr>
            <a:solidFill>
              <a:schemeClr val="bg1">
                <a:lumMod val="75000"/>
              </a:schemeClr>
            </a:solidFill>
            <a:ln>
              <a:solidFill>
                <a:schemeClr val="bg1">
                  <a:lumMod val="75000"/>
                </a:schemeClr>
              </a:solidFill>
            </a:ln>
            <a:effectLst/>
          </c:spPr>
          <c:invertIfNegative val="0"/>
          <c:cat>
            <c:strRef>
              <c:f>horyzont!$J$3</c:f>
              <c:strCache>
                <c:ptCount val="1"/>
                <c:pt idx="0">
                  <c:v>udział</c:v>
                </c:pt>
              </c:strCache>
            </c:strRef>
          </c:cat>
          <c:val>
            <c:numRef>
              <c:f>horyzont!$J$14</c:f>
              <c:numCache>
                <c:formatCode>0.00</c:formatCode>
                <c:ptCount val="1"/>
                <c:pt idx="0">
                  <c:v>1.0271073665556993</c:v>
                </c:pt>
              </c:numCache>
            </c:numRef>
          </c:val>
          <c:extLst xmlns:c16r2="http://schemas.microsoft.com/office/drawing/2015/06/chart">
            <c:ext xmlns:c16="http://schemas.microsoft.com/office/drawing/2014/chart" uri="{C3380CC4-5D6E-409C-BE32-E72D297353CC}">
              <c16:uniqueId val="{0000000A-51BD-4982-B09A-4E39C84713CE}"/>
            </c:ext>
          </c:extLst>
        </c:ser>
        <c:ser>
          <c:idx val="11"/>
          <c:order val="11"/>
          <c:tx>
            <c:strRef>
              <c:f>horyzont!$I$15</c:f>
              <c:strCache>
                <c:ptCount val="1"/>
                <c:pt idx="0">
                  <c:v>WARMIŃSKO-MAZURSKIE</c:v>
                </c:pt>
              </c:strCache>
            </c:strRef>
          </c:tx>
          <c:spPr>
            <a:solidFill>
              <a:schemeClr val="bg1">
                <a:lumMod val="65000"/>
              </a:schemeClr>
            </a:solidFill>
            <a:ln>
              <a:solidFill>
                <a:schemeClr val="bg1">
                  <a:lumMod val="65000"/>
                </a:schemeClr>
              </a:solidFill>
            </a:ln>
            <a:effectLst/>
          </c:spPr>
          <c:invertIfNegative val="0"/>
          <c:cat>
            <c:strRef>
              <c:f>horyzont!$J$3</c:f>
              <c:strCache>
                <c:ptCount val="1"/>
                <c:pt idx="0">
                  <c:v>udział</c:v>
                </c:pt>
              </c:strCache>
            </c:strRef>
          </c:cat>
          <c:val>
            <c:numRef>
              <c:f>horyzont!$J$15</c:f>
              <c:numCache>
                <c:formatCode>0.00</c:formatCode>
                <c:ptCount val="1"/>
                <c:pt idx="0">
                  <c:v>0.94269432170500966</c:v>
                </c:pt>
              </c:numCache>
            </c:numRef>
          </c:val>
          <c:extLst xmlns:c16r2="http://schemas.microsoft.com/office/drawing/2015/06/chart">
            <c:ext xmlns:c16="http://schemas.microsoft.com/office/drawing/2014/chart" uri="{C3380CC4-5D6E-409C-BE32-E72D297353CC}">
              <c16:uniqueId val="{0000000B-51BD-4982-B09A-4E39C84713CE}"/>
            </c:ext>
          </c:extLst>
        </c:ser>
        <c:ser>
          <c:idx val="12"/>
          <c:order val="12"/>
          <c:tx>
            <c:strRef>
              <c:f>horyzont!$I$16</c:f>
              <c:strCache>
                <c:ptCount val="1"/>
                <c:pt idx="0">
                  <c:v>LUBUSKIE</c:v>
                </c:pt>
              </c:strCache>
            </c:strRef>
          </c:tx>
          <c:spPr>
            <a:solidFill>
              <a:srgbClr val="562B5B"/>
            </a:solidFill>
            <a:ln>
              <a:solidFill>
                <a:srgbClr val="562B5B"/>
              </a:solidFill>
            </a:ln>
            <a:effectLst/>
          </c:spPr>
          <c:invertIfNegative val="0"/>
          <c:cat>
            <c:strRef>
              <c:f>horyzont!$J$3</c:f>
              <c:strCache>
                <c:ptCount val="1"/>
                <c:pt idx="0">
                  <c:v>udział</c:v>
                </c:pt>
              </c:strCache>
            </c:strRef>
          </c:cat>
          <c:val>
            <c:numRef>
              <c:f>horyzont!$J$16</c:f>
              <c:numCache>
                <c:formatCode>0.00</c:formatCode>
                <c:ptCount val="1"/>
                <c:pt idx="0">
                  <c:v>0.59002042658545262</c:v>
                </c:pt>
              </c:numCache>
            </c:numRef>
          </c:val>
          <c:extLst xmlns:c16r2="http://schemas.microsoft.com/office/drawing/2015/06/chart">
            <c:ext xmlns:c16="http://schemas.microsoft.com/office/drawing/2014/chart" uri="{C3380CC4-5D6E-409C-BE32-E72D297353CC}">
              <c16:uniqueId val="{0000000C-51BD-4982-B09A-4E39C84713CE}"/>
            </c:ext>
          </c:extLst>
        </c:ser>
        <c:ser>
          <c:idx val="13"/>
          <c:order val="13"/>
          <c:tx>
            <c:strRef>
              <c:f>horyzont!$I$17</c:f>
              <c:strCache>
                <c:ptCount val="1"/>
                <c:pt idx="0">
                  <c:v>ŚWIĘTOKRZYSKIE</c:v>
                </c:pt>
              </c:strCache>
            </c:strRef>
          </c:tx>
          <c:spPr>
            <a:solidFill>
              <a:srgbClr val="954ECA"/>
            </a:solidFill>
            <a:ln>
              <a:solidFill>
                <a:srgbClr val="954ECA"/>
              </a:solidFill>
            </a:ln>
            <a:effectLst/>
          </c:spPr>
          <c:invertIfNegative val="0"/>
          <c:cat>
            <c:strRef>
              <c:f>horyzont!$J$3</c:f>
              <c:strCache>
                <c:ptCount val="1"/>
                <c:pt idx="0">
                  <c:v>udział</c:v>
                </c:pt>
              </c:strCache>
            </c:strRef>
          </c:cat>
          <c:val>
            <c:numRef>
              <c:f>horyzont!$J$17</c:f>
              <c:numCache>
                <c:formatCode>0.00</c:formatCode>
                <c:ptCount val="1"/>
                <c:pt idx="0">
                  <c:v>0.16570305869138569</c:v>
                </c:pt>
              </c:numCache>
            </c:numRef>
          </c:val>
          <c:extLst xmlns:c16r2="http://schemas.microsoft.com/office/drawing/2015/06/chart">
            <c:ext xmlns:c16="http://schemas.microsoft.com/office/drawing/2014/chart" uri="{C3380CC4-5D6E-409C-BE32-E72D297353CC}">
              <c16:uniqueId val="{0000000D-51BD-4982-B09A-4E39C84713CE}"/>
            </c:ext>
          </c:extLst>
        </c:ser>
        <c:ser>
          <c:idx val="14"/>
          <c:order val="14"/>
          <c:tx>
            <c:strRef>
              <c:f>horyzont!$I$18</c:f>
              <c:strCache>
                <c:ptCount val="1"/>
                <c:pt idx="0">
                  <c:v>OPOLSKIE</c:v>
                </c:pt>
              </c:strCache>
            </c:strRef>
          </c:tx>
          <c:spPr>
            <a:solidFill>
              <a:srgbClr val="C9A6E4"/>
            </a:solidFill>
            <a:ln>
              <a:solidFill>
                <a:srgbClr val="C9A6E4"/>
              </a:solidFill>
            </a:ln>
            <a:effectLst/>
          </c:spPr>
          <c:invertIfNegative val="0"/>
          <c:cat>
            <c:strRef>
              <c:f>horyzont!$J$3</c:f>
              <c:strCache>
                <c:ptCount val="1"/>
                <c:pt idx="0">
                  <c:v>udział</c:v>
                </c:pt>
              </c:strCache>
            </c:strRef>
          </c:cat>
          <c:val>
            <c:numRef>
              <c:f>horyzont!$J$18</c:f>
              <c:numCache>
                <c:formatCode>0.00</c:formatCode>
                <c:ptCount val="1"/>
                <c:pt idx="0">
                  <c:v>9.5079662425998537E-2</c:v>
                </c:pt>
              </c:numCache>
            </c:numRef>
          </c:val>
          <c:extLst xmlns:c16r2="http://schemas.microsoft.com/office/drawing/2015/06/chart">
            <c:ext xmlns:c16="http://schemas.microsoft.com/office/drawing/2014/chart" uri="{C3380CC4-5D6E-409C-BE32-E72D297353CC}">
              <c16:uniqueId val="{0000000E-51BD-4982-B09A-4E39C84713CE}"/>
            </c:ext>
          </c:extLst>
        </c:ser>
        <c:ser>
          <c:idx val="15"/>
          <c:order val="15"/>
          <c:tx>
            <c:strRef>
              <c:f>horyzont!$I$19</c:f>
              <c:strCache>
                <c:ptCount val="1"/>
                <c:pt idx="0">
                  <c:v>PODLASKIE</c:v>
                </c:pt>
              </c:strCache>
            </c:strRef>
          </c:tx>
          <c:spPr>
            <a:solidFill>
              <a:schemeClr val="accent4">
                <a:lumMod val="20000"/>
                <a:lumOff val="80000"/>
              </a:schemeClr>
            </a:solidFill>
            <a:ln>
              <a:solidFill>
                <a:schemeClr val="accent4">
                  <a:lumMod val="20000"/>
                  <a:lumOff val="80000"/>
                </a:schemeClr>
              </a:solidFill>
            </a:ln>
            <a:effectLst/>
          </c:spPr>
          <c:invertIfNegative val="0"/>
          <c:cat>
            <c:strRef>
              <c:f>horyzont!$J$3</c:f>
              <c:strCache>
                <c:ptCount val="1"/>
                <c:pt idx="0">
                  <c:v>udział</c:v>
                </c:pt>
              </c:strCache>
            </c:strRef>
          </c:cat>
          <c:val>
            <c:numRef>
              <c:f>horyzont!$J$19</c:f>
              <c:numCache>
                <c:formatCode>0.00</c:formatCode>
                <c:ptCount val="1"/>
                <c:pt idx="0">
                  <c:v>4.7046474518254548E-2</c:v>
                </c:pt>
              </c:numCache>
            </c:numRef>
          </c:val>
          <c:extLst xmlns:c16r2="http://schemas.microsoft.com/office/drawing/2015/06/chart">
            <c:ext xmlns:c16="http://schemas.microsoft.com/office/drawing/2014/chart" uri="{C3380CC4-5D6E-409C-BE32-E72D297353CC}">
              <c16:uniqueId val="{0000000F-51BD-4982-B09A-4E39C84713CE}"/>
            </c:ext>
          </c:extLst>
        </c:ser>
        <c:dLbls>
          <c:showLegendKey val="0"/>
          <c:showVal val="0"/>
          <c:showCatName val="0"/>
          <c:showSerName val="0"/>
          <c:showPercent val="0"/>
          <c:showBubbleSize val="0"/>
        </c:dLbls>
        <c:gapWidth val="150"/>
        <c:overlap val="100"/>
        <c:axId val="-1111607424"/>
        <c:axId val="-1111612320"/>
      </c:barChart>
      <c:catAx>
        <c:axId val="-1111607424"/>
        <c:scaling>
          <c:orientation val="minMax"/>
        </c:scaling>
        <c:delete val="1"/>
        <c:axPos val="l"/>
        <c:numFmt formatCode="General" sourceLinked="1"/>
        <c:majorTickMark val="none"/>
        <c:minorTickMark val="none"/>
        <c:tickLblPos val="nextTo"/>
        <c:crossAx val="-1111612320"/>
        <c:crosses val="autoZero"/>
        <c:auto val="1"/>
        <c:lblAlgn val="ctr"/>
        <c:lblOffset val="100"/>
        <c:noMultiLvlLbl val="0"/>
      </c:catAx>
      <c:valAx>
        <c:axId val="-11116123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11607424"/>
        <c:crosses val="autoZero"/>
        <c:crossBetween val="between"/>
      </c:valAx>
      <c:spPr>
        <a:noFill/>
        <a:ln>
          <a:noFill/>
        </a:ln>
        <a:effectLst/>
      </c:spPr>
    </c:plotArea>
    <c:legend>
      <c:legendPos val="b"/>
      <c:layout>
        <c:manualLayout>
          <c:xMode val="edge"/>
          <c:yMode val="edge"/>
          <c:x val="5.7004569517779186E-2"/>
          <c:y val="0.67772208309203941"/>
          <c:w val="0.87858736992595254"/>
          <c:h val="0.3048860581329794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rgbClr val="001E50"/>
            </a:solidFill>
            <a:ln>
              <a:solidFill>
                <a:srgbClr val="001236"/>
              </a:solidFill>
            </a:ln>
          </c:spPr>
          <c:dPt>
            <c:idx val="0"/>
            <c:bubble3D val="0"/>
            <c:spPr>
              <a:solidFill>
                <a:srgbClr val="001E50"/>
              </a:solidFill>
              <a:ln w="25400">
                <a:solidFill>
                  <a:srgbClr val="001236"/>
                </a:solidFill>
              </a:ln>
              <a:effectLst/>
              <a:sp3d contourW="25400">
                <a:contourClr>
                  <a:srgbClr val="001236"/>
                </a:contourClr>
              </a:sp3d>
            </c:spPr>
            <c:extLst xmlns:c16r2="http://schemas.microsoft.com/office/drawing/2015/06/chart">
              <c:ext xmlns:c16="http://schemas.microsoft.com/office/drawing/2014/chart" uri="{C3380CC4-5D6E-409C-BE32-E72D297353CC}">
                <c16:uniqueId val="{00000001-C44B-4D19-A05B-57412361F87C}"/>
              </c:ext>
            </c:extLst>
          </c:dPt>
          <c:dPt>
            <c:idx val="1"/>
            <c:bubble3D val="0"/>
            <c:spPr>
              <a:solidFill>
                <a:srgbClr val="0039AC"/>
              </a:solidFill>
              <a:ln w="25400">
                <a:solidFill>
                  <a:srgbClr val="0039AC"/>
                </a:solidFill>
              </a:ln>
              <a:effectLst/>
              <a:sp3d contourW="25400">
                <a:contourClr>
                  <a:srgbClr val="0039AC"/>
                </a:contourClr>
              </a:sp3d>
            </c:spPr>
            <c:extLst xmlns:c16r2="http://schemas.microsoft.com/office/drawing/2015/06/chart">
              <c:ext xmlns:c16="http://schemas.microsoft.com/office/drawing/2014/chart" uri="{C3380CC4-5D6E-409C-BE32-E72D297353CC}">
                <c16:uniqueId val="{00000003-C44B-4D19-A05B-57412361F87C}"/>
              </c:ext>
            </c:extLst>
          </c:dPt>
          <c:dPt>
            <c:idx val="2"/>
            <c:bubble3D val="0"/>
            <c:spPr>
              <a:solidFill>
                <a:srgbClr val="4B87FF"/>
              </a:solidFill>
              <a:ln w="25400">
                <a:solidFill>
                  <a:srgbClr val="AFCAFF"/>
                </a:solidFill>
              </a:ln>
              <a:effectLst/>
              <a:sp3d contourW="25400">
                <a:contourClr>
                  <a:srgbClr val="AFCAFF"/>
                </a:contourClr>
              </a:sp3d>
            </c:spPr>
            <c:extLst xmlns:c16r2="http://schemas.microsoft.com/office/drawing/2015/06/chart">
              <c:ext xmlns:c16="http://schemas.microsoft.com/office/drawing/2014/chart" uri="{C3380CC4-5D6E-409C-BE32-E72D297353CC}">
                <c16:uniqueId val="{00000005-C44B-4D19-A05B-57412361F87C}"/>
              </c:ext>
            </c:extLst>
          </c:dPt>
          <c:dPt>
            <c:idx val="3"/>
            <c:bubble3D val="0"/>
            <c:spPr>
              <a:solidFill>
                <a:srgbClr val="AFCAFF"/>
              </a:solidFill>
              <a:ln w="25400">
                <a:solidFill>
                  <a:srgbClr val="AFCAFF"/>
                </a:solidFill>
              </a:ln>
              <a:effectLst/>
              <a:sp3d contourW="25400">
                <a:contourClr>
                  <a:srgbClr val="AFCAFF"/>
                </a:contourClr>
              </a:sp3d>
            </c:spPr>
            <c:extLst xmlns:c16r2="http://schemas.microsoft.com/office/drawing/2015/06/chart">
              <c:ext xmlns:c16="http://schemas.microsoft.com/office/drawing/2014/chart" uri="{C3380CC4-5D6E-409C-BE32-E72D297353CC}">
                <c16:uniqueId val="{00000007-C44B-4D19-A05B-57412361F87C}"/>
              </c:ext>
            </c:extLst>
          </c:dPt>
          <c:dPt>
            <c:idx val="4"/>
            <c:bubble3D val="0"/>
            <c:spPr>
              <a:solidFill>
                <a:srgbClr val="D5E3FF"/>
              </a:solidFill>
              <a:ln w="25400">
                <a:solidFill>
                  <a:srgbClr val="D5E3FF"/>
                </a:solidFill>
              </a:ln>
              <a:effectLst/>
              <a:sp3d contourW="25400">
                <a:contourClr>
                  <a:srgbClr val="D5E3FF"/>
                </a:contourClr>
              </a:sp3d>
            </c:spPr>
            <c:extLst xmlns:c16r2="http://schemas.microsoft.com/office/drawing/2015/06/chart">
              <c:ext xmlns:c16="http://schemas.microsoft.com/office/drawing/2014/chart" uri="{C3380CC4-5D6E-409C-BE32-E72D297353CC}">
                <c16:uniqueId val="{00000009-C44B-4D19-A05B-57412361F87C}"/>
              </c:ext>
            </c:extLst>
          </c:dPt>
          <c:dLbls>
            <c:dLbl>
              <c:idx val="0"/>
              <c:layout>
                <c:manualLayout>
                  <c:x val="4.7475421504515327E-3"/>
                  <c:y val="0.1000159308444653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C44B-4D19-A05B-57412361F87C}"/>
                </c:ext>
                <c:ext xmlns:c15="http://schemas.microsoft.com/office/drawing/2012/chart" uri="{CE6537A1-D6FC-4f65-9D91-7224C49458BB}"/>
              </c:extLst>
            </c:dLbl>
            <c:dLbl>
              <c:idx val="1"/>
              <c:layout>
                <c:manualLayout>
                  <c:x val="-3.3277230971128606E-2"/>
                  <c:y val="-3.012394284047827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C44B-4D19-A05B-57412361F87C}"/>
                </c:ext>
                <c:ext xmlns:c15="http://schemas.microsoft.com/office/drawing/2012/chart" uri="{CE6537A1-D6FC-4f65-9D91-7224C49458BB}"/>
              </c:extLst>
            </c:dLbl>
            <c:dLbl>
              <c:idx val="4"/>
              <c:layout>
                <c:manualLayout>
                  <c:x val="2.7003425419280216E-2"/>
                  <c:y val="6.6334991708126038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C44B-4D19-A05B-57412361F87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narealizacjeStrategii!$Z$22:$Z$26</c:f>
              <c:strCache>
                <c:ptCount val="5"/>
                <c:pt idx="0">
                  <c:v>komunikacja</c:v>
                </c:pt>
                <c:pt idx="1">
                  <c:v>społeczeństwo</c:v>
                </c:pt>
                <c:pt idx="2">
                  <c:v>sprawna administracja</c:v>
                </c:pt>
                <c:pt idx="3">
                  <c:v>gospodarka</c:v>
                </c:pt>
                <c:pt idx="4">
                  <c:v>środowisko</c:v>
                </c:pt>
              </c:strCache>
            </c:strRef>
          </c:cat>
          <c:val>
            <c:numRef>
              <c:f>narealizacjeStrategii!$AA$22:$AA$26</c:f>
              <c:numCache>
                <c:formatCode>0.000</c:formatCode>
                <c:ptCount val="5"/>
                <c:pt idx="0" formatCode="0.0">
                  <c:v>44.818636784213034</c:v>
                </c:pt>
                <c:pt idx="1">
                  <c:v>24.728384377968645</c:v>
                </c:pt>
                <c:pt idx="2" formatCode="0.0">
                  <c:v>11.86577365525228</c:v>
                </c:pt>
                <c:pt idx="3" formatCode="0.0">
                  <c:v>10.011365816499238</c:v>
                </c:pt>
                <c:pt idx="4" formatCode="0.0">
                  <c:v>8.5758393660668037</c:v>
                </c:pt>
              </c:numCache>
            </c:numRef>
          </c:val>
          <c:extLst xmlns:c16r2="http://schemas.microsoft.com/office/drawing/2015/06/chart">
            <c:ext xmlns:c16="http://schemas.microsoft.com/office/drawing/2014/chart" uri="{C3380CC4-5D6E-409C-BE32-E72D297353CC}">
              <c16:uniqueId val="{0000000A-C44B-4D19-A05B-57412361F87C}"/>
            </c:ext>
          </c:extLst>
        </c:ser>
        <c:dLbls>
          <c:showLegendKey val="0"/>
          <c:showVal val="0"/>
          <c:showCatName val="1"/>
          <c:showSerName val="0"/>
          <c:showPercent val="1"/>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310669499645882E-2"/>
          <c:y val="5.0925741683011644E-2"/>
          <c:w val="0.88597451650945114"/>
          <c:h val="0.51661786861479864"/>
        </c:manualLayout>
      </c:layout>
      <c:barChart>
        <c:barDir val="col"/>
        <c:grouping val="stacked"/>
        <c:varyColors val="0"/>
        <c:ser>
          <c:idx val="1"/>
          <c:order val="0"/>
          <c:tx>
            <c:strRef>
              <c:f>narealizacjeStrategii!$V$1</c:f>
              <c:strCache>
                <c:ptCount val="1"/>
                <c:pt idx="0">
                  <c:v>wydatki ze środków krajowych</c:v>
                </c:pt>
              </c:strCache>
            </c:strRef>
          </c:tx>
          <c:spPr>
            <a:solidFill>
              <a:srgbClr val="002060"/>
            </a:solidFill>
            <a:ln w="28575">
              <a:solidFill>
                <a:srgbClr val="002060"/>
              </a:solidFill>
            </a:ln>
            <a:effectLst/>
          </c:spPr>
          <c:invertIfNegative val="0"/>
          <c:dPt>
            <c:idx val="14"/>
            <c:invertIfNegative val="0"/>
            <c:bubble3D val="0"/>
            <c:spPr>
              <a:solidFill>
                <a:srgbClr val="6C0000"/>
              </a:solidFill>
              <a:ln w="28575">
                <a:solidFill>
                  <a:srgbClr val="7E0000"/>
                </a:solidFill>
              </a:ln>
              <a:effectLst/>
            </c:spPr>
            <c:extLst xmlns:c16r2="http://schemas.microsoft.com/office/drawing/2015/06/chart">
              <c:ext xmlns:c16="http://schemas.microsoft.com/office/drawing/2014/chart" uri="{C3380CC4-5D6E-409C-BE32-E72D297353CC}">
                <c16:uniqueId val="{00000001-2A8E-4890-8271-6B7FBE0CB67C}"/>
              </c:ext>
            </c:extLst>
          </c:dPt>
          <c:cat>
            <c:strRef>
              <c:f>narealizacjeStrategii!$S$2:$S$17</c:f>
              <c:strCache>
                <c:ptCount val="16"/>
                <c:pt idx="0">
                  <c:v>WARMIŃSKO-MAZURSKIE</c:v>
                </c:pt>
                <c:pt idx="1">
                  <c:v>PODLASKIE</c:v>
                </c:pt>
                <c:pt idx="2">
                  <c:v>LUBELSKIE</c:v>
                </c:pt>
                <c:pt idx="3">
                  <c:v>PODKARPACKIE</c:v>
                </c:pt>
                <c:pt idx="4">
                  <c:v>LUBUSKIE</c:v>
                </c:pt>
                <c:pt idx="5">
                  <c:v>ŚWIĘTOKRZYSKIE</c:v>
                </c:pt>
                <c:pt idx="6">
                  <c:v>DOLNOŚLĄSKIE</c:v>
                </c:pt>
                <c:pt idx="7">
                  <c:v>ZACHODNIOPOMORSKIE</c:v>
                </c:pt>
                <c:pt idx="8">
                  <c:v>OPOLSKIE</c:v>
                </c:pt>
                <c:pt idx="9">
                  <c:v>KUJAWSKO-POMORSKIE</c:v>
                </c:pt>
                <c:pt idx="10">
                  <c:v>MAŁOPOLSKIE</c:v>
                </c:pt>
                <c:pt idx="11">
                  <c:v>MAZOWIECKIE</c:v>
                </c:pt>
                <c:pt idx="12">
                  <c:v>ŚLĄSKIE</c:v>
                </c:pt>
                <c:pt idx="13">
                  <c:v>POMORSKIE</c:v>
                </c:pt>
                <c:pt idx="14">
                  <c:v>WIELKOPOLSKIE</c:v>
                </c:pt>
                <c:pt idx="15">
                  <c:v>ŁÓDZKIE</c:v>
                </c:pt>
              </c:strCache>
            </c:strRef>
          </c:cat>
          <c:val>
            <c:numRef>
              <c:f>narealizacjeStrategii!$V$2:$V$17</c:f>
              <c:numCache>
                <c:formatCode>General</c:formatCode>
                <c:ptCount val="16"/>
                <c:pt idx="0">
                  <c:v>1831.2211602606794</c:v>
                </c:pt>
                <c:pt idx="1">
                  <c:v>1706.482879596268</c:v>
                </c:pt>
                <c:pt idx="2">
                  <c:v>1701.2977592146419</c:v>
                </c:pt>
                <c:pt idx="3">
                  <c:v>1645.946409349699</c:v>
                </c:pt>
                <c:pt idx="4">
                  <c:v>1890.1511795458837</c:v>
                </c:pt>
                <c:pt idx="5">
                  <c:v>1546.0270912984524</c:v>
                </c:pt>
                <c:pt idx="6">
                  <c:v>1800.0568821038898</c:v>
                </c:pt>
                <c:pt idx="7">
                  <c:v>1661.0200144177802</c:v>
                </c:pt>
                <c:pt idx="8">
                  <c:v>1455.1765238685384</c:v>
                </c:pt>
                <c:pt idx="9">
                  <c:v>1501.520775829787</c:v>
                </c:pt>
                <c:pt idx="10">
                  <c:v>1266.8879672227827</c:v>
                </c:pt>
                <c:pt idx="11">
                  <c:v>1437.8349649677962</c:v>
                </c:pt>
                <c:pt idx="12">
                  <c:v>1382.3505211095426</c:v>
                </c:pt>
                <c:pt idx="13">
                  <c:v>1363.3684466049494</c:v>
                </c:pt>
                <c:pt idx="14">
                  <c:v>1364.6501115983274</c:v>
                </c:pt>
                <c:pt idx="15">
                  <c:v>1124.2712696486512</c:v>
                </c:pt>
              </c:numCache>
            </c:numRef>
          </c:val>
          <c:extLst xmlns:c16r2="http://schemas.microsoft.com/office/drawing/2015/06/chart">
            <c:ext xmlns:c16="http://schemas.microsoft.com/office/drawing/2014/chart" uri="{C3380CC4-5D6E-409C-BE32-E72D297353CC}">
              <c16:uniqueId val="{00000002-2A8E-4890-8271-6B7FBE0CB67C}"/>
            </c:ext>
          </c:extLst>
        </c:ser>
        <c:ser>
          <c:idx val="0"/>
          <c:order val="1"/>
          <c:tx>
            <c:strRef>
              <c:f>narealizacjeStrategii!$U$1</c:f>
              <c:strCache>
                <c:ptCount val="1"/>
                <c:pt idx="0">
                  <c:v>wydatki ze środków UE</c:v>
                </c:pt>
              </c:strCache>
            </c:strRef>
          </c:tx>
          <c:spPr>
            <a:solidFill>
              <a:srgbClr val="0070C0"/>
            </a:solidFill>
            <a:ln>
              <a:solidFill>
                <a:srgbClr val="0070C0"/>
              </a:solidFill>
            </a:ln>
            <a:effectLst/>
          </c:spPr>
          <c:invertIfNegative val="0"/>
          <c:dPt>
            <c:idx val="14"/>
            <c:invertIfNegative val="0"/>
            <c:bubble3D val="0"/>
            <c:spPr>
              <a:solidFill>
                <a:srgbClr val="FF0000"/>
              </a:solidFill>
              <a:ln w="28575">
                <a:solidFill>
                  <a:srgbClr val="FF0000"/>
                </a:solidFill>
              </a:ln>
              <a:effectLst/>
            </c:spPr>
            <c:extLst xmlns:c16r2="http://schemas.microsoft.com/office/drawing/2015/06/chart">
              <c:ext xmlns:c16="http://schemas.microsoft.com/office/drawing/2014/chart" uri="{C3380CC4-5D6E-409C-BE32-E72D297353CC}">
                <c16:uniqueId val="{00000004-2A8E-4890-8271-6B7FBE0CB67C}"/>
              </c:ext>
            </c:extLst>
          </c:dPt>
          <c:cat>
            <c:strRef>
              <c:f>narealizacjeStrategii!$S$2:$S$17</c:f>
              <c:strCache>
                <c:ptCount val="16"/>
                <c:pt idx="0">
                  <c:v>WARMIŃSKO-MAZURSKIE</c:v>
                </c:pt>
                <c:pt idx="1">
                  <c:v>PODLASKIE</c:v>
                </c:pt>
                <c:pt idx="2">
                  <c:v>LUBELSKIE</c:v>
                </c:pt>
                <c:pt idx="3">
                  <c:v>PODKARPACKIE</c:v>
                </c:pt>
                <c:pt idx="4">
                  <c:v>LUBUSKIE</c:v>
                </c:pt>
                <c:pt idx="5">
                  <c:v>ŚWIĘTOKRZYSKIE</c:v>
                </c:pt>
                <c:pt idx="6">
                  <c:v>DOLNOŚLĄSKIE</c:v>
                </c:pt>
                <c:pt idx="7">
                  <c:v>ZACHODNIOPOMORSKIE</c:v>
                </c:pt>
                <c:pt idx="8">
                  <c:v>OPOLSKIE</c:v>
                </c:pt>
                <c:pt idx="9">
                  <c:v>KUJAWSKO-POMORSKIE</c:v>
                </c:pt>
                <c:pt idx="10">
                  <c:v>MAŁOPOLSKIE</c:v>
                </c:pt>
                <c:pt idx="11">
                  <c:v>MAZOWIECKIE</c:v>
                </c:pt>
                <c:pt idx="12">
                  <c:v>ŚLĄSKIE</c:v>
                </c:pt>
                <c:pt idx="13">
                  <c:v>POMORSKIE</c:v>
                </c:pt>
                <c:pt idx="14">
                  <c:v>WIELKOPOLSKIE</c:v>
                </c:pt>
                <c:pt idx="15">
                  <c:v>ŁÓDZKIE</c:v>
                </c:pt>
              </c:strCache>
            </c:strRef>
          </c:cat>
          <c:val>
            <c:numRef>
              <c:f>narealizacjeStrategii!$U$2:$U$17</c:f>
              <c:numCache>
                <c:formatCode>General</c:formatCode>
                <c:ptCount val="16"/>
                <c:pt idx="0">
                  <c:v>962.74130343911372</c:v>
                </c:pt>
                <c:pt idx="1">
                  <c:v>927.39695448390432</c:v>
                </c:pt>
                <c:pt idx="2">
                  <c:v>811.12113903524255</c:v>
                </c:pt>
                <c:pt idx="3">
                  <c:v>783.22814539029412</c:v>
                </c:pt>
                <c:pt idx="4">
                  <c:v>486.93127378957388</c:v>
                </c:pt>
                <c:pt idx="5">
                  <c:v>773.87903234829275</c:v>
                </c:pt>
                <c:pt idx="6">
                  <c:v>430.82735372071494</c:v>
                </c:pt>
                <c:pt idx="7">
                  <c:v>554.54531925210483</c:v>
                </c:pt>
                <c:pt idx="8">
                  <c:v>727.21060607897027</c:v>
                </c:pt>
                <c:pt idx="9">
                  <c:v>338.3919833322451</c:v>
                </c:pt>
                <c:pt idx="10">
                  <c:v>444.33177720279059</c:v>
                </c:pt>
                <c:pt idx="11">
                  <c:v>250.36566307501539</c:v>
                </c:pt>
                <c:pt idx="12">
                  <c:v>283.93254998263041</c:v>
                </c:pt>
                <c:pt idx="13">
                  <c:v>290.17945556654593</c:v>
                </c:pt>
                <c:pt idx="14">
                  <c:v>268.36078113383832</c:v>
                </c:pt>
                <c:pt idx="15">
                  <c:v>237.74202547737261</c:v>
                </c:pt>
              </c:numCache>
            </c:numRef>
          </c:val>
          <c:extLst xmlns:c16r2="http://schemas.microsoft.com/office/drawing/2015/06/chart">
            <c:ext xmlns:c16="http://schemas.microsoft.com/office/drawing/2014/chart" uri="{C3380CC4-5D6E-409C-BE32-E72D297353CC}">
              <c16:uniqueId val="{00000005-2A8E-4890-8271-6B7FBE0CB67C}"/>
            </c:ext>
          </c:extLst>
        </c:ser>
        <c:dLbls>
          <c:showLegendKey val="0"/>
          <c:showVal val="0"/>
          <c:showCatName val="0"/>
          <c:showSerName val="0"/>
          <c:showPercent val="0"/>
          <c:showBubbleSize val="0"/>
        </c:dLbls>
        <c:gapWidth val="150"/>
        <c:overlap val="100"/>
        <c:axId val="-1508558784"/>
        <c:axId val="-1508560416"/>
      </c:barChart>
      <c:catAx>
        <c:axId val="-15085587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pl-PL"/>
          </a:p>
        </c:txPr>
        <c:crossAx val="-1508560416"/>
        <c:crosses val="autoZero"/>
        <c:auto val="1"/>
        <c:lblAlgn val="ctr"/>
        <c:lblOffset val="100"/>
        <c:noMultiLvlLbl val="0"/>
      </c:catAx>
      <c:valAx>
        <c:axId val="-1508560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08558784"/>
        <c:crosses val="autoZero"/>
        <c:crossBetween val="between"/>
      </c:valAx>
      <c:spPr>
        <a:noFill/>
        <a:ln>
          <a:noFill/>
        </a:ln>
        <a:effectLst/>
      </c:spPr>
    </c:plotArea>
    <c:legend>
      <c:legendPos val="r"/>
      <c:layout>
        <c:manualLayout>
          <c:xMode val="edge"/>
          <c:yMode val="edge"/>
          <c:x val="0.65504554986182284"/>
          <c:y val="3.6696135004785052E-2"/>
          <c:w val="0.28926887611270813"/>
          <c:h val="0.18633512417446016"/>
        </c:manualLayout>
      </c:layout>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51272-FCD8-48EC-990A-7050FD886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52433</Words>
  <Characters>314600</Characters>
  <Application>Microsoft Office Word</Application>
  <DocSecurity>0</DocSecurity>
  <Lines>2621</Lines>
  <Paragraphs>732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366301</CharactersWithSpaces>
  <SharedDoc>false</SharedDoc>
  <HLinks>
    <vt:vector size="738" baseType="variant">
      <vt:variant>
        <vt:i4>2621455</vt:i4>
      </vt:variant>
      <vt:variant>
        <vt:i4>1049</vt:i4>
      </vt:variant>
      <vt:variant>
        <vt:i4>0</vt:i4>
      </vt:variant>
      <vt:variant>
        <vt:i4>5</vt:i4>
      </vt:variant>
      <vt:variant>
        <vt:lpwstr/>
      </vt:variant>
      <vt:variant>
        <vt:lpwstr>_Toc2189572</vt:lpwstr>
      </vt:variant>
      <vt:variant>
        <vt:i4>2621455</vt:i4>
      </vt:variant>
      <vt:variant>
        <vt:i4>1040</vt:i4>
      </vt:variant>
      <vt:variant>
        <vt:i4>0</vt:i4>
      </vt:variant>
      <vt:variant>
        <vt:i4>5</vt:i4>
      </vt:variant>
      <vt:variant>
        <vt:lpwstr/>
      </vt:variant>
      <vt:variant>
        <vt:lpwstr>_Toc2189571</vt:lpwstr>
      </vt:variant>
      <vt:variant>
        <vt:i4>2621455</vt:i4>
      </vt:variant>
      <vt:variant>
        <vt:i4>1034</vt:i4>
      </vt:variant>
      <vt:variant>
        <vt:i4>0</vt:i4>
      </vt:variant>
      <vt:variant>
        <vt:i4>5</vt:i4>
      </vt:variant>
      <vt:variant>
        <vt:lpwstr/>
      </vt:variant>
      <vt:variant>
        <vt:lpwstr>_Toc2189570</vt:lpwstr>
      </vt:variant>
      <vt:variant>
        <vt:i4>2686991</vt:i4>
      </vt:variant>
      <vt:variant>
        <vt:i4>1028</vt:i4>
      </vt:variant>
      <vt:variant>
        <vt:i4>0</vt:i4>
      </vt:variant>
      <vt:variant>
        <vt:i4>5</vt:i4>
      </vt:variant>
      <vt:variant>
        <vt:lpwstr/>
      </vt:variant>
      <vt:variant>
        <vt:lpwstr>_Toc2189569</vt:lpwstr>
      </vt:variant>
      <vt:variant>
        <vt:i4>2686991</vt:i4>
      </vt:variant>
      <vt:variant>
        <vt:i4>1022</vt:i4>
      </vt:variant>
      <vt:variant>
        <vt:i4>0</vt:i4>
      </vt:variant>
      <vt:variant>
        <vt:i4>5</vt:i4>
      </vt:variant>
      <vt:variant>
        <vt:lpwstr/>
      </vt:variant>
      <vt:variant>
        <vt:lpwstr>_Toc2189568</vt:lpwstr>
      </vt:variant>
      <vt:variant>
        <vt:i4>2686991</vt:i4>
      </vt:variant>
      <vt:variant>
        <vt:i4>1013</vt:i4>
      </vt:variant>
      <vt:variant>
        <vt:i4>0</vt:i4>
      </vt:variant>
      <vt:variant>
        <vt:i4>5</vt:i4>
      </vt:variant>
      <vt:variant>
        <vt:lpwstr/>
      </vt:variant>
      <vt:variant>
        <vt:lpwstr>_Toc2189567</vt:lpwstr>
      </vt:variant>
      <vt:variant>
        <vt:i4>2686991</vt:i4>
      </vt:variant>
      <vt:variant>
        <vt:i4>1007</vt:i4>
      </vt:variant>
      <vt:variant>
        <vt:i4>0</vt:i4>
      </vt:variant>
      <vt:variant>
        <vt:i4>5</vt:i4>
      </vt:variant>
      <vt:variant>
        <vt:lpwstr/>
      </vt:variant>
      <vt:variant>
        <vt:lpwstr>_Toc2189566</vt:lpwstr>
      </vt:variant>
      <vt:variant>
        <vt:i4>2686991</vt:i4>
      </vt:variant>
      <vt:variant>
        <vt:i4>1001</vt:i4>
      </vt:variant>
      <vt:variant>
        <vt:i4>0</vt:i4>
      </vt:variant>
      <vt:variant>
        <vt:i4>5</vt:i4>
      </vt:variant>
      <vt:variant>
        <vt:lpwstr/>
      </vt:variant>
      <vt:variant>
        <vt:lpwstr>_Toc2189565</vt:lpwstr>
      </vt:variant>
      <vt:variant>
        <vt:i4>2686991</vt:i4>
      </vt:variant>
      <vt:variant>
        <vt:i4>995</vt:i4>
      </vt:variant>
      <vt:variant>
        <vt:i4>0</vt:i4>
      </vt:variant>
      <vt:variant>
        <vt:i4>5</vt:i4>
      </vt:variant>
      <vt:variant>
        <vt:lpwstr/>
      </vt:variant>
      <vt:variant>
        <vt:lpwstr>_Toc2189564</vt:lpwstr>
      </vt:variant>
      <vt:variant>
        <vt:i4>2686991</vt:i4>
      </vt:variant>
      <vt:variant>
        <vt:i4>989</vt:i4>
      </vt:variant>
      <vt:variant>
        <vt:i4>0</vt:i4>
      </vt:variant>
      <vt:variant>
        <vt:i4>5</vt:i4>
      </vt:variant>
      <vt:variant>
        <vt:lpwstr/>
      </vt:variant>
      <vt:variant>
        <vt:lpwstr>_Toc2189563</vt:lpwstr>
      </vt:variant>
      <vt:variant>
        <vt:i4>2686991</vt:i4>
      </vt:variant>
      <vt:variant>
        <vt:i4>983</vt:i4>
      </vt:variant>
      <vt:variant>
        <vt:i4>0</vt:i4>
      </vt:variant>
      <vt:variant>
        <vt:i4>5</vt:i4>
      </vt:variant>
      <vt:variant>
        <vt:lpwstr/>
      </vt:variant>
      <vt:variant>
        <vt:lpwstr>_Toc2189562</vt:lpwstr>
      </vt:variant>
      <vt:variant>
        <vt:i4>2686991</vt:i4>
      </vt:variant>
      <vt:variant>
        <vt:i4>977</vt:i4>
      </vt:variant>
      <vt:variant>
        <vt:i4>0</vt:i4>
      </vt:variant>
      <vt:variant>
        <vt:i4>5</vt:i4>
      </vt:variant>
      <vt:variant>
        <vt:lpwstr/>
      </vt:variant>
      <vt:variant>
        <vt:lpwstr>_Toc2189561</vt:lpwstr>
      </vt:variant>
      <vt:variant>
        <vt:i4>2686991</vt:i4>
      </vt:variant>
      <vt:variant>
        <vt:i4>971</vt:i4>
      </vt:variant>
      <vt:variant>
        <vt:i4>0</vt:i4>
      </vt:variant>
      <vt:variant>
        <vt:i4>5</vt:i4>
      </vt:variant>
      <vt:variant>
        <vt:lpwstr/>
      </vt:variant>
      <vt:variant>
        <vt:lpwstr>_Toc2189560</vt:lpwstr>
      </vt:variant>
      <vt:variant>
        <vt:i4>2752527</vt:i4>
      </vt:variant>
      <vt:variant>
        <vt:i4>965</vt:i4>
      </vt:variant>
      <vt:variant>
        <vt:i4>0</vt:i4>
      </vt:variant>
      <vt:variant>
        <vt:i4>5</vt:i4>
      </vt:variant>
      <vt:variant>
        <vt:lpwstr/>
      </vt:variant>
      <vt:variant>
        <vt:lpwstr>_Toc2189559</vt:lpwstr>
      </vt:variant>
      <vt:variant>
        <vt:i4>2752527</vt:i4>
      </vt:variant>
      <vt:variant>
        <vt:i4>959</vt:i4>
      </vt:variant>
      <vt:variant>
        <vt:i4>0</vt:i4>
      </vt:variant>
      <vt:variant>
        <vt:i4>5</vt:i4>
      </vt:variant>
      <vt:variant>
        <vt:lpwstr/>
      </vt:variant>
      <vt:variant>
        <vt:lpwstr>_Toc2189558</vt:lpwstr>
      </vt:variant>
      <vt:variant>
        <vt:i4>2752527</vt:i4>
      </vt:variant>
      <vt:variant>
        <vt:i4>953</vt:i4>
      </vt:variant>
      <vt:variant>
        <vt:i4>0</vt:i4>
      </vt:variant>
      <vt:variant>
        <vt:i4>5</vt:i4>
      </vt:variant>
      <vt:variant>
        <vt:lpwstr/>
      </vt:variant>
      <vt:variant>
        <vt:lpwstr>_Toc2189557</vt:lpwstr>
      </vt:variant>
      <vt:variant>
        <vt:i4>2752527</vt:i4>
      </vt:variant>
      <vt:variant>
        <vt:i4>947</vt:i4>
      </vt:variant>
      <vt:variant>
        <vt:i4>0</vt:i4>
      </vt:variant>
      <vt:variant>
        <vt:i4>5</vt:i4>
      </vt:variant>
      <vt:variant>
        <vt:lpwstr/>
      </vt:variant>
      <vt:variant>
        <vt:lpwstr>_Toc2189556</vt:lpwstr>
      </vt:variant>
      <vt:variant>
        <vt:i4>2752527</vt:i4>
      </vt:variant>
      <vt:variant>
        <vt:i4>941</vt:i4>
      </vt:variant>
      <vt:variant>
        <vt:i4>0</vt:i4>
      </vt:variant>
      <vt:variant>
        <vt:i4>5</vt:i4>
      </vt:variant>
      <vt:variant>
        <vt:lpwstr/>
      </vt:variant>
      <vt:variant>
        <vt:lpwstr>_Toc2189555</vt:lpwstr>
      </vt:variant>
      <vt:variant>
        <vt:i4>2752527</vt:i4>
      </vt:variant>
      <vt:variant>
        <vt:i4>935</vt:i4>
      </vt:variant>
      <vt:variant>
        <vt:i4>0</vt:i4>
      </vt:variant>
      <vt:variant>
        <vt:i4>5</vt:i4>
      </vt:variant>
      <vt:variant>
        <vt:lpwstr/>
      </vt:variant>
      <vt:variant>
        <vt:lpwstr>_Toc2189554</vt:lpwstr>
      </vt:variant>
      <vt:variant>
        <vt:i4>2752527</vt:i4>
      </vt:variant>
      <vt:variant>
        <vt:i4>929</vt:i4>
      </vt:variant>
      <vt:variant>
        <vt:i4>0</vt:i4>
      </vt:variant>
      <vt:variant>
        <vt:i4>5</vt:i4>
      </vt:variant>
      <vt:variant>
        <vt:lpwstr/>
      </vt:variant>
      <vt:variant>
        <vt:lpwstr>_Toc2189553</vt:lpwstr>
      </vt:variant>
      <vt:variant>
        <vt:i4>2752527</vt:i4>
      </vt:variant>
      <vt:variant>
        <vt:i4>923</vt:i4>
      </vt:variant>
      <vt:variant>
        <vt:i4>0</vt:i4>
      </vt:variant>
      <vt:variant>
        <vt:i4>5</vt:i4>
      </vt:variant>
      <vt:variant>
        <vt:lpwstr/>
      </vt:variant>
      <vt:variant>
        <vt:lpwstr>_Toc2189552</vt:lpwstr>
      </vt:variant>
      <vt:variant>
        <vt:i4>2752527</vt:i4>
      </vt:variant>
      <vt:variant>
        <vt:i4>917</vt:i4>
      </vt:variant>
      <vt:variant>
        <vt:i4>0</vt:i4>
      </vt:variant>
      <vt:variant>
        <vt:i4>5</vt:i4>
      </vt:variant>
      <vt:variant>
        <vt:lpwstr/>
      </vt:variant>
      <vt:variant>
        <vt:lpwstr>_Toc2189551</vt:lpwstr>
      </vt:variant>
      <vt:variant>
        <vt:i4>2752527</vt:i4>
      </vt:variant>
      <vt:variant>
        <vt:i4>911</vt:i4>
      </vt:variant>
      <vt:variant>
        <vt:i4>0</vt:i4>
      </vt:variant>
      <vt:variant>
        <vt:i4>5</vt:i4>
      </vt:variant>
      <vt:variant>
        <vt:lpwstr/>
      </vt:variant>
      <vt:variant>
        <vt:lpwstr>_Toc2189550</vt:lpwstr>
      </vt:variant>
      <vt:variant>
        <vt:i4>2818063</vt:i4>
      </vt:variant>
      <vt:variant>
        <vt:i4>905</vt:i4>
      </vt:variant>
      <vt:variant>
        <vt:i4>0</vt:i4>
      </vt:variant>
      <vt:variant>
        <vt:i4>5</vt:i4>
      </vt:variant>
      <vt:variant>
        <vt:lpwstr/>
      </vt:variant>
      <vt:variant>
        <vt:lpwstr>_Toc2189549</vt:lpwstr>
      </vt:variant>
      <vt:variant>
        <vt:i4>2818063</vt:i4>
      </vt:variant>
      <vt:variant>
        <vt:i4>899</vt:i4>
      </vt:variant>
      <vt:variant>
        <vt:i4>0</vt:i4>
      </vt:variant>
      <vt:variant>
        <vt:i4>5</vt:i4>
      </vt:variant>
      <vt:variant>
        <vt:lpwstr/>
      </vt:variant>
      <vt:variant>
        <vt:lpwstr>_Toc2189548</vt:lpwstr>
      </vt:variant>
      <vt:variant>
        <vt:i4>2818063</vt:i4>
      </vt:variant>
      <vt:variant>
        <vt:i4>893</vt:i4>
      </vt:variant>
      <vt:variant>
        <vt:i4>0</vt:i4>
      </vt:variant>
      <vt:variant>
        <vt:i4>5</vt:i4>
      </vt:variant>
      <vt:variant>
        <vt:lpwstr/>
      </vt:variant>
      <vt:variant>
        <vt:lpwstr>_Toc2189547</vt:lpwstr>
      </vt:variant>
      <vt:variant>
        <vt:i4>2818063</vt:i4>
      </vt:variant>
      <vt:variant>
        <vt:i4>887</vt:i4>
      </vt:variant>
      <vt:variant>
        <vt:i4>0</vt:i4>
      </vt:variant>
      <vt:variant>
        <vt:i4>5</vt:i4>
      </vt:variant>
      <vt:variant>
        <vt:lpwstr/>
      </vt:variant>
      <vt:variant>
        <vt:lpwstr>_Toc2189546</vt:lpwstr>
      </vt:variant>
      <vt:variant>
        <vt:i4>2818063</vt:i4>
      </vt:variant>
      <vt:variant>
        <vt:i4>881</vt:i4>
      </vt:variant>
      <vt:variant>
        <vt:i4>0</vt:i4>
      </vt:variant>
      <vt:variant>
        <vt:i4>5</vt:i4>
      </vt:variant>
      <vt:variant>
        <vt:lpwstr/>
      </vt:variant>
      <vt:variant>
        <vt:lpwstr>_Toc2189545</vt:lpwstr>
      </vt:variant>
      <vt:variant>
        <vt:i4>2818063</vt:i4>
      </vt:variant>
      <vt:variant>
        <vt:i4>875</vt:i4>
      </vt:variant>
      <vt:variant>
        <vt:i4>0</vt:i4>
      </vt:variant>
      <vt:variant>
        <vt:i4>5</vt:i4>
      </vt:variant>
      <vt:variant>
        <vt:lpwstr/>
      </vt:variant>
      <vt:variant>
        <vt:lpwstr>_Toc2189544</vt:lpwstr>
      </vt:variant>
      <vt:variant>
        <vt:i4>2818063</vt:i4>
      </vt:variant>
      <vt:variant>
        <vt:i4>866</vt:i4>
      </vt:variant>
      <vt:variant>
        <vt:i4>0</vt:i4>
      </vt:variant>
      <vt:variant>
        <vt:i4>5</vt:i4>
      </vt:variant>
      <vt:variant>
        <vt:lpwstr/>
      </vt:variant>
      <vt:variant>
        <vt:lpwstr>_Toc2189543</vt:lpwstr>
      </vt:variant>
      <vt:variant>
        <vt:i4>2818063</vt:i4>
      </vt:variant>
      <vt:variant>
        <vt:i4>860</vt:i4>
      </vt:variant>
      <vt:variant>
        <vt:i4>0</vt:i4>
      </vt:variant>
      <vt:variant>
        <vt:i4>5</vt:i4>
      </vt:variant>
      <vt:variant>
        <vt:lpwstr/>
      </vt:variant>
      <vt:variant>
        <vt:lpwstr>_Toc2189542</vt:lpwstr>
      </vt:variant>
      <vt:variant>
        <vt:i4>2818063</vt:i4>
      </vt:variant>
      <vt:variant>
        <vt:i4>854</vt:i4>
      </vt:variant>
      <vt:variant>
        <vt:i4>0</vt:i4>
      </vt:variant>
      <vt:variant>
        <vt:i4>5</vt:i4>
      </vt:variant>
      <vt:variant>
        <vt:lpwstr/>
      </vt:variant>
      <vt:variant>
        <vt:lpwstr>_Toc2189541</vt:lpwstr>
      </vt:variant>
      <vt:variant>
        <vt:i4>2818063</vt:i4>
      </vt:variant>
      <vt:variant>
        <vt:i4>848</vt:i4>
      </vt:variant>
      <vt:variant>
        <vt:i4>0</vt:i4>
      </vt:variant>
      <vt:variant>
        <vt:i4>5</vt:i4>
      </vt:variant>
      <vt:variant>
        <vt:lpwstr/>
      </vt:variant>
      <vt:variant>
        <vt:lpwstr>_Toc2189540</vt:lpwstr>
      </vt:variant>
      <vt:variant>
        <vt:i4>2883599</vt:i4>
      </vt:variant>
      <vt:variant>
        <vt:i4>842</vt:i4>
      </vt:variant>
      <vt:variant>
        <vt:i4>0</vt:i4>
      </vt:variant>
      <vt:variant>
        <vt:i4>5</vt:i4>
      </vt:variant>
      <vt:variant>
        <vt:lpwstr/>
      </vt:variant>
      <vt:variant>
        <vt:lpwstr>_Toc2189539</vt:lpwstr>
      </vt:variant>
      <vt:variant>
        <vt:i4>2883599</vt:i4>
      </vt:variant>
      <vt:variant>
        <vt:i4>836</vt:i4>
      </vt:variant>
      <vt:variant>
        <vt:i4>0</vt:i4>
      </vt:variant>
      <vt:variant>
        <vt:i4>5</vt:i4>
      </vt:variant>
      <vt:variant>
        <vt:lpwstr/>
      </vt:variant>
      <vt:variant>
        <vt:lpwstr>_Toc2189538</vt:lpwstr>
      </vt:variant>
      <vt:variant>
        <vt:i4>2883599</vt:i4>
      </vt:variant>
      <vt:variant>
        <vt:i4>830</vt:i4>
      </vt:variant>
      <vt:variant>
        <vt:i4>0</vt:i4>
      </vt:variant>
      <vt:variant>
        <vt:i4>5</vt:i4>
      </vt:variant>
      <vt:variant>
        <vt:lpwstr/>
      </vt:variant>
      <vt:variant>
        <vt:lpwstr>_Toc2189537</vt:lpwstr>
      </vt:variant>
      <vt:variant>
        <vt:i4>2883599</vt:i4>
      </vt:variant>
      <vt:variant>
        <vt:i4>824</vt:i4>
      </vt:variant>
      <vt:variant>
        <vt:i4>0</vt:i4>
      </vt:variant>
      <vt:variant>
        <vt:i4>5</vt:i4>
      </vt:variant>
      <vt:variant>
        <vt:lpwstr/>
      </vt:variant>
      <vt:variant>
        <vt:lpwstr>_Toc2189536</vt:lpwstr>
      </vt:variant>
      <vt:variant>
        <vt:i4>2883599</vt:i4>
      </vt:variant>
      <vt:variant>
        <vt:i4>818</vt:i4>
      </vt:variant>
      <vt:variant>
        <vt:i4>0</vt:i4>
      </vt:variant>
      <vt:variant>
        <vt:i4>5</vt:i4>
      </vt:variant>
      <vt:variant>
        <vt:lpwstr/>
      </vt:variant>
      <vt:variant>
        <vt:lpwstr>_Toc2189535</vt:lpwstr>
      </vt:variant>
      <vt:variant>
        <vt:i4>2883599</vt:i4>
      </vt:variant>
      <vt:variant>
        <vt:i4>812</vt:i4>
      </vt:variant>
      <vt:variant>
        <vt:i4>0</vt:i4>
      </vt:variant>
      <vt:variant>
        <vt:i4>5</vt:i4>
      </vt:variant>
      <vt:variant>
        <vt:lpwstr/>
      </vt:variant>
      <vt:variant>
        <vt:lpwstr>_Toc2189534</vt:lpwstr>
      </vt:variant>
      <vt:variant>
        <vt:i4>2883599</vt:i4>
      </vt:variant>
      <vt:variant>
        <vt:i4>806</vt:i4>
      </vt:variant>
      <vt:variant>
        <vt:i4>0</vt:i4>
      </vt:variant>
      <vt:variant>
        <vt:i4>5</vt:i4>
      </vt:variant>
      <vt:variant>
        <vt:lpwstr/>
      </vt:variant>
      <vt:variant>
        <vt:lpwstr>_Toc2189533</vt:lpwstr>
      </vt:variant>
      <vt:variant>
        <vt:i4>2883599</vt:i4>
      </vt:variant>
      <vt:variant>
        <vt:i4>800</vt:i4>
      </vt:variant>
      <vt:variant>
        <vt:i4>0</vt:i4>
      </vt:variant>
      <vt:variant>
        <vt:i4>5</vt:i4>
      </vt:variant>
      <vt:variant>
        <vt:lpwstr/>
      </vt:variant>
      <vt:variant>
        <vt:lpwstr>_Toc2189532</vt:lpwstr>
      </vt:variant>
      <vt:variant>
        <vt:i4>2883599</vt:i4>
      </vt:variant>
      <vt:variant>
        <vt:i4>794</vt:i4>
      </vt:variant>
      <vt:variant>
        <vt:i4>0</vt:i4>
      </vt:variant>
      <vt:variant>
        <vt:i4>5</vt:i4>
      </vt:variant>
      <vt:variant>
        <vt:lpwstr/>
      </vt:variant>
      <vt:variant>
        <vt:lpwstr>_Toc2189531</vt:lpwstr>
      </vt:variant>
      <vt:variant>
        <vt:i4>2883599</vt:i4>
      </vt:variant>
      <vt:variant>
        <vt:i4>788</vt:i4>
      </vt:variant>
      <vt:variant>
        <vt:i4>0</vt:i4>
      </vt:variant>
      <vt:variant>
        <vt:i4>5</vt:i4>
      </vt:variant>
      <vt:variant>
        <vt:lpwstr/>
      </vt:variant>
      <vt:variant>
        <vt:lpwstr>_Toc2189530</vt:lpwstr>
      </vt:variant>
      <vt:variant>
        <vt:i4>2949135</vt:i4>
      </vt:variant>
      <vt:variant>
        <vt:i4>782</vt:i4>
      </vt:variant>
      <vt:variant>
        <vt:i4>0</vt:i4>
      </vt:variant>
      <vt:variant>
        <vt:i4>5</vt:i4>
      </vt:variant>
      <vt:variant>
        <vt:lpwstr/>
      </vt:variant>
      <vt:variant>
        <vt:lpwstr>_Toc2189529</vt:lpwstr>
      </vt:variant>
      <vt:variant>
        <vt:i4>2949135</vt:i4>
      </vt:variant>
      <vt:variant>
        <vt:i4>776</vt:i4>
      </vt:variant>
      <vt:variant>
        <vt:i4>0</vt:i4>
      </vt:variant>
      <vt:variant>
        <vt:i4>5</vt:i4>
      </vt:variant>
      <vt:variant>
        <vt:lpwstr/>
      </vt:variant>
      <vt:variant>
        <vt:lpwstr>_Toc2189528</vt:lpwstr>
      </vt:variant>
      <vt:variant>
        <vt:i4>2949135</vt:i4>
      </vt:variant>
      <vt:variant>
        <vt:i4>770</vt:i4>
      </vt:variant>
      <vt:variant>
        <vt:i4>0</vt:i4>
      </vt:variant>
      <vt:variant>
        <vt:i4>5</vt:i4>
      </vt:variant>
      <vt:variant>
        <vt:lpwstr/>
      </vt:variant>
      <vt:variant>
        <vt:lpwstr>_Toc2189527</vt:lpwstr>
      </vt:variant>
      <vt:variant>
        <vt:i4>2949135</vt:i4>
      </vt:variant>
      <vt:variant>
        <vt:i4>764</vt:i4>
      </vt:variant>
      <vt:variant>
        <vt:i4>0</vt:i4>
      </vt:variant>
      <vt:variant>
        <vt:i4>5</vt:i4>
      </vt:variant>
      <vt:variant>
        <vt:lpwstr/>
      </vt:variant>
      <vt:variant>
        <vt:lpwstr>_Toc2189526</vt:lpwstr>
      </vt:variant>
      <vt:variant>
        <vt:i4>2949135</vt:i4>
      </vt:variant>
      <vt:variant>
        <vt:i4>758</vt:i4>
      </vt:variant>
      <vt:variant>
        <vt:i4>0</vt:i4>
      </vt:variant>
      <vt:variant>
        <vt:i4>5</vt:i4>
      </vt:variant>
      <vt:variant>
        <vt:lpwstr/>
      </vt:variant>
      <vt:variant>
        <vt:lpwstr>_Toc2189525</vt:lpwstr>
      </vt:variant>
      <vt:variant>
        <vt:i4>2949135</vt:i4>
      </vt:variant>
      <vt:variant>
        <vt:i4>752</vt:i4>
      </vt:variant>
      <vt:variant>
        <vt:i4>0</vt:i4>
      </vt:variant>
      <vt:variant>
        <vt:i4>5</vt:i4>
      </vt:variant>
      <vt:variant>
        <vt:lpwstr/>
      </vt:variant>
      <vt:variant>
        <vt:lpwstr>_Toc2189524</vt:lpwstr>
      </vt:variant>
      <vt:variant>
        <vt:i4>2949135</vt:i4>
      </vt:variant>
      <vt:variant>
        <vt:i4>746</vt:i4>
      </vt:variant>
      <vt:variant>
        <vt:i4>0</vt:i4>
      </vt:variant>
      <vt:variant>
        <vt:i4>5</vt:i4>
      </vt:variant>
      <vt:variant>
        <vt:lpwstr/>
      </vt:variant>
      <vt:variant>
        <vt:lpwstr>_Toc2189523</vt:lpwstr>
      </vt:variant>
      <vt:variant>
        <vt:i4>2949135</vt:i4>
      </vt:variant>
      <vt:variant>
        <vt:i4>740</vt:i4>
      </vt:variant>
      <vt:variant>
        <vt:i4>0</vt:i4>
      </vt:variant>
      <vt:variant>
        <vt:i4>5</vt:i4>
      </vt:variant>
      <vt:variant>
        <vt:lpwstr/>
      </vt:variant>
      <vt:variant>
        <vt:lpwstr>_Toc2189522</vt:lpwstr>
      </vt:variant>
      <vt:variant>
        <vt:i4>2162692</vt:i4>
      </vt:variant>
      <vt:variant>
        <vt:i4>428</vt:i4>
      </vt:variant>
      <vt:variant>
        <vt:i4>0</vt:i4>
      </vt:variant>
      <vt:variant>
        <vt:i4>5</vt:i4>
      </vt:variant>
      <vt:variant>
        <vt:lpwstr/>
      </vt:variant>
      <vt:variant>
        <vt:lpwstr>_Toc3707763</vt:lpwstr>
      </vt:variant>
      <vt:variant>
        <vt:i4>2162692</vt:i4>
      </vt:variant>
      <vt:variant>
        <vt:i4>422</vt:i4>
      </vt:variant>
      <vt:variant>
        <vt:i4>0</vt:i4>
      </vt:variant>
      <vt:variant>
        <vt:i4>5</vt:i4>
      </vt:variant>
      <vt:variant>
        <vt:lpwstr/>
      </vt:variant>
      <vt:variant>
        <vt:lpwstr>_Toc3707762</vt:lpwstr>
      </vt:variant>
      <vt:variant>
        <vt:i4>2162692</vt:i4>
      </vt:variant>
      <vt:variant>
        <vt:i4>416</vt:i4>
      </vt:variant>
      <vt:variant>
        <vt:i4>0</vt:i4>
      </vt:variant>
      <vt:variant>
        <vt:i4>5</vt:i4>
      </vt:variant>
      <vt:variant>
        <vt:lpwstr/>
      </vt:variant>
      <vt:variant>
        <vt:lpwstr>_Toc3707761</vt:lpwstr>
      </vt:variant>
      <vt:variant>
        <vt:i4>2162692</vt:i4>
      </vt:variant>
      <vt:variant>
        <vt:i4>410</vt:i4>
      </vt:variant>
      <vt:variant>
        <vt:i4>0</vt:i4>
      </vt:variant>
      <vt:variant>
        <vt:i4>5</vt:i4>
      </vt:variant>
      <vt:variant>
        <vt:lpwstr/>
      </vt:variant>
      <vt:variant>
        <vt:lpwstr>_Toc3707760</vt:lpwstr>
      </vt:variant>
      <vt:variant>
        <vt:i4>2228228</vt:i4>
      </vt:variant>
      <vt:variant>
        <vt:i4>404</vt:i4>
      </vt:variant>
      <vt:variant>
        <vt:i4>0</vt:i4>
      </vt:variant>
      <vt:variant>
        <vt:i4>5</vt:i4>
      </vt:variant>
      <vt:variant>
        <vt:lpwstr/>
      </vt:variant>
      <vt:variant>
        <vt:lpwstr>_Toc3707759</vt:lpwstr>
      </vt:variant>
      <vt:variant>
        <vt:i4>2228228</vt:i4>
      </vt:variant>
      <vt:variant>
        <vt:i4>398</vt:i4>
      </vt:variant>
      <vt:variant>
        <vt:i4>0</vt:i4>
      </vt:variant>
      <vt:variant>
        <vt:i4>5</vt:i4>
      </vt:variant>
      <vt:variant>
        <vt:lpwstr/>
      </vt:variant>
      <vt:variant>
        <vt:lpwstr>_Toc3707758</vt:lpwstr>
      </vt:variant>
      <vt:variant>
        <vt:i4>2228228</vt:i4>
      </vt:variant>
      <vt:variant>
        <vt:i4>392</vt:i4>
      </vt:variant>
      <vt:variant>
        <vt:i4>0</vt:i4>
      </vt:variant>
      <vt:variant>
        <vt:i4>5</vt:i4>
      </vt:variant>
      <vt:variant>
        <vt:lpwstr/>
      </vt:variant>
      <vt:variant>
        <vt:lpwstr>_Toc3707757</vt:lpwstr>
      </vt:variant>
      <vt:variant>
        <vt:i4>2228228</vt:i4>
      </vt:variant>
      <vt:variant>
        <vt:i4>386</vt:i4>
      </vt:variant>
      <vt:variant>
        <vt:i4>0</vt:i4>
      </vt:variant>
      <vt:variant>
        <vt:i4>5</vt:i4>
      </vt:variant>
      <vt:variant>
        <vt:lpwstr/>
      </vt:variant>
      <vt:variant>
        <vt:lpwstr>_Toc3707756</vt:lpwstr>
      </vt:variant>
      <vt:variant>
        <vt:i4>2228228</vt:i4>
      </vt:variant>
      <vt:variant>
        <vt:i4>380</vt:i4>
      </vt:variant>
      <vt:variant>
        <vt:i4>0</vt:i4>
      </vt:variant>
      <vt:variant>
        <vt:i4>5</vt:i4>
      </vt:variant>
      <vt:variant>
        <vt:lpwstr/>
      </vt:variant>
      <vt:variant>
        <vt:lpwstr>_Toc3707755</vt:lpwstr>
      </vt:variant>
      <vt:variant>
        <vt:i4>2228228</vt:i4>
      </vt:variant>
      <vt:variant>
        <vt:i4>374</vt:i4>
      </vt:variant>
      <vt:variant>
        <vt:i4>0</vt:i4>
      </vt:variant>
      <vt:variant>
        <vt:i4>5</vt:i4>
      </vt:variant>
      <vt:variant>
        <vt:lpwstr/>
      </vt:variant>
      <vt:variant>
        <vt:lpwstr>_Toc3707754</vt:lpwstr>
      </vt:variant>
      <vt:variant>
        <vt:i4>2228228</vt:i4>
      </vt:variant>
      <vt:variant>
        <vt:i4>368</vt:i4>
      </vt:variant>
      <vt:variant>
        <vt:i4>0</vt:i4>
      </vt:variant>
      <vt:variant>
        <vt:i4>5</vt:i4>
      </vt:variant>
      <vt:variant>
        <vt:lpwstr/>
      </vt:variant>
      <vt:variant>
        <vt:lpwstr>_Toc3707753</vt:lpwstr>
      </vt:variant>
      <vt:variant>
        <vt:i4>2228228</vt:i4>
      </vt:variant>
      <vt:variant>
        <vt:i4>362</vt:i4>
      </vt:variant>
      <vt:variant>
        <vt:i4>0</vt:i4>
      </vt:variant>
      <vt:variant>
        <vt:i4>5</vt:i4>
      </vt:variant>
      <vt:variant>
        <vt:lpwstr/>
      </vt:variant>
      <vt:variant>
        <vt:lpwstr>_Toc3707752</vt:lpwstr>
      </vt:variant>
      <vt:variant>
        <vt:i4>2228228</vt:i4>
      </vt:variant>
      <vt:variant>
        <vt:i4>356</vt:i4>
      </vt:variant>
      <vt:variant>
        <vt:i4>0</vt:i4>
      </vt:variant>
      <vt:variant>
        <vt:i4>5</vt:i4>
      </vt:variant>
      <vt:variant>
        <vt:lpwstr/>
      </vt:variant>
      <vt:variant>
        <vt:lpwstr>_Toc3707751</vt:lpwstr>
      </vt:variant>
      <vt:variant>
        <vt:i4>2228228</vt:i4>
      </vt:variant>
      <vt:variant>
        <vt:i4>350</vt:i4>
      </vt:variant>
      <vt:variant>
        <vt:i4>0</vt:i4>
      </vt:variant>
      <vt:variant>
        <vt:i4>5</vt:i4>
      </vt:variant>
      <vt:variant>
        <vt:lpwstr/>
      </vt:variant>
      <vt:variant>
        <vt:lpwstr>_Toc3707750</vt:lpwstr>
      </vt:variant>
      <vt:variant>
        <vt:i4>2293764</vt:i4>
      </vt:variant>
      <vt:variant>
        <vt:i4>344</vt:i4>
      </vt:variant>
      <vt:variant>
        <vt:i4>0</vt:i4>
      </vt:variant>
      <vt:variant>
        <vt:i4>5</vt:i4>
      </vt:variant>
      <vt:variant>
        <vt:lpwstr/>
      </vt:variant>
      <vt:variant>
        <vt:lpwstr>_Toc3707749</vt:lpwstr>
      </vt:variant>
      <vt:variant>
        <vt:i4>2293764</vt:i4>
      </vt:variant>
      <vt:variant>
        <vt:i4>338</vt:i4>
      </vt:variant>
      <vt:variant>
        <vt:i4>0</vt:i4>
      </vt:variant>
      <vt:variant>
        <vt:i4>5</vt:i4>
      </vt:variant>
      <vt:variant>
        <vt:lpwstr/>
      </vt:variant>
      <vt:variant>
        <vt:lpwstr>_Toc3707748</vt:lpwstr>
      </vt:variant>
      <vt:variant>
        <vt:i4>2293764</vt:i4>
      </vt:variant>
      <vt:variant>
        <vt:i4>332</vt:i4>
      </vt:variant>
      <vt:variant>
        <vt:i4>0</vt:i4>
      </vt:variant>
      <vt:variant>
        <vt:i4>5</vt:i4>
      </vt:variant>
      <vt:variant>
        <vt:lpwstr/>
      </vt:variant>
      <vt:variant>
        <vt:lpwstr>_Toc3707747</vt:lpwstr>
      </vt:variant>
      <vt:variant>
        <vt:i4>2293764</vt:i4>
      </vt:variant>
      <vt:variant>
        <vt:i4>326</vt:i4>
      </vt:variant>
      <vt:variant>
        <vt:i4>0</vt:i4>
      </vt:variant>
      <vt:variant>
        <vt:i4>5</vt:i4>
      </vt:variant>
      <vt:variant>
        <vt:lpwstr/>
      </vt:variant>
      <vt:variant>
        <vt:lpwstr>_Toc3707746</vt:lpwstr>
      </vt:variant>
      <vt:variant>
        <vt:i4>2293764</vt:i4>
      </vt:variant>
      <vt:variant>
        <vt:i4>320</vt:i4>
      </vt:variant>
      <vt:variant>
        <vt:i4>0</vt:i4>
      </vt:variant>
      <vt:variant>
        <vt:i4>5</vt:i4>
      </vt:variant>
      <vt:variant>
        <vt:lpwstr/>
      </vt:variant>
      <vt:variant>
        <vt:lpwstr>_Toc3707745</vt:lpwstr>
      </vt:variant>
      <vt:variant>
        <vt:i4>2293764</vt:i4>
      </vt:variant>
      <vt:variant>
        <vt:i4>314</vt:i4>
      </vt:variant>
      <vt:variant>
        <vt:i4>0</vt:i4>
      </vt:variant>
      <vt:variant>
        <vt:i4>5</vt:i4>
      </vt:variant>
      <vt:variant>
        <vt:lpwstr/>
      </vt:variant>
      <vt:variant>
        <vt:lpwstr>_Toc3707744</vt:lpwstr>
      </vt:variant>
      <vt:variant>
        <vt:i4>2293764</vt:i4>
      </vt:variant>
      <vt:variant>
        <vt:i4>308</vt:i4>
      </vt:variant>
      <vt:variant>
        <vt:i4>0</vt:i4>
      </vt:variant>
      <vt:variant>
        <vt:i4>5</vt:i4>
      </vt:variant>
      <vt:variant>
        <vt:lpwstr/>
      </vt:variant>
      <vt:variant>
        <vt:lpwstr>_Toc3707743</vt:lpwstr>
      </vt:variant>
      <vt:variant>
        <vt:i4>2293764</vt:i4>
      </vt:variant>
      <vt:variant>
        <vt:i4>302</vt:i4>
      </vt:variant>
      <vt:variant>
        <vt:i4>0</vt:i4>
      </vt:variant>
      <vt:variant>
        <vt:i4>5</vt:i4>
      </vt:variant>
      <vt:variant>
        <vt:lpwstr/>
      </vt:variant>
      <vt:variant>
        <vt:lpwstr>_Toc3707742</vt:lpwstr>
      </vt:variant>
      <vt:variant>
        <vt:i4>2293764</vt:i4>
      </vt:variant>
      <vt:variant>
        <vt:i4>296</vt:i4>
      </vt:variant>
      <vt:variant>
        <vt:i4>0</vt:i4>
      </vt:variant>
      <vt:variant>
        <vt:i4>5</vt:i4>
      </vt:variant>
      <vt:variant>
        <vt:lpwstr/>
      </vt:variant>
      <vt:variant>
        <vt:lpwstr>_Toc3707741</vt:lpwstr>
      </vt:variant>
      <vt:variant>
        <vt:i4>2293764</vt:i4>
      </vt:variant>
      <vt:variant>
        <vt:i4>290</vt:i4>
      </vt:variant>
      <vt:variant>
        <vt:i4>0</vt:i4>
      </vt:variant>
      <vt:variant>
        <vt:i4>5</vt:i4>
      </vt:variant>
      <vt:variant>
        <vt:lpwstr/>
      </vt:variant>
      <vt:variant>
        <vt:lpwstr>_Toc3707740</vt:lpwstr>
      </vt:variant>
      <vt:variant>
        <vt:i4>2359300</vt:i4>
      </vt:variant>
      <vt:variant>
        <vt:i4>284</vt:i4>
      </vt:variant>
      <vt:variant>
        <vt:i4>0</vt:i4>
      </vt:variant>
      <vt:variant>
        <vt:i4>5</vt:i4>
      </vt:variant>
      <vt:variant>
        <vt:lpwstr/>
      </vt:variant>
      <vt:variant>
        <vt:lpwstr>_Toc3707739</vt:lpwstr>
      </vt:variant>
      <vt:variant>
        <vt:i4>2359300</vt:i4>
      </vt:variant>
      <vt:variant>
        <vt:i4>278</vt:i4>
      </vt:variant>
      <vt:variant>
        <vt:i4>0</vt:i4>
      </vt:variant>
      <vt:variant>
        <vt:i4>5</vt:i4>
      </vt:variant>
      <vt:variant>
        <vt:lpwstr/>
      </vt:variant>
      <vt:variant>
        <vt:lpwstr>_Toc3707738</vt:lpwstr>
      </vt:variant>
      <vt:variant>
        <vt:i4>2359300</vt:i4>
      </vt:variant>
      <vt:variant>
        <vt:i4>272</vt:i4>
      </vt:variant>
      <vt:variant>
        <vt:i4>0</vt:i4>
      </vt:variant>
      <vt:variant>
        <vt:i4>5</vt:i4>
      </vt:variant>
      <vt:variant>
        <vt:lpwstr/>
      </vt:variant>
      <vt:variant>
        <vt:lpwstr>_Toc3707737</vt:lpwstr>
      </vt:variant>
      <vt:variant>
        <vt:i4>2359300</vt:i4>
      </vt:variant>
      <vt:variant>
        <vt:i4>266</vt:i4>
      </vt:variant>
      <vt:variant>
        <vt:i4>0</vt:i4>
      </vt:variant>
      <vt:variant>
        <vt:i4>5</vt:i4>
      </vt:variant>
      <vt:variant>
        <vt:lpwstr/>
      </vt:variant>
      <vt:variant>
        <vt:lpwstr>_Toc3707736</vt:lpwstr>
      </vt:variant>
      <vt:variant>
        <vt:i4>2359300</vt:i4>
      </vt:variant>
      <vt:variant>
        <vt:i4>260</vt:i4>
      </vt:variant>
      <vt:variant>
        <vt:i4>0</vt:i4>
      </vt:variant>
      <vt:variant>
        <vt:i4>5</vt:i4>
      </vt:variant>
      <vt:variant>
        <vt:lpwstr/>
      </vt:variant>
      <vt:variant>
        <vt:lpwstr>_Toc3707735</vt:lpwstr>
      </vt:variant>
      <vt:variant>
        <vt:i4>2359300</vt:i4>
      </vt:variant>
      <vt:variant>
        <vt:i4>254</vt:i4>
      </vt:variant>
      <vt:variant>
        <vt:i4>0</vt:i4>
      </vt:variant>
      <vt:variant>
        <vt:i4>5</vt:i4>
      </vt:variant>
      <vt:variant>
        <vt:lpwstr/>
      </vt:variant>
      <vt:variant>
        <vt:lpwstr>_Toc3707734</vt:lpwstr>
      </vt:variant>
      <vt:variant>
        <vt:i4>2359300</vt:i4>
      </vt:variant>
      <vt:variant>
        <vt:i4>248</vt:i4>
      </vt:variant>
      <vt:variant>
        <vt:i4>0</vt:i4>
      </vt:variant>
      <vt:variant>
        <vt:i4>5</vt:i4>
      </vt:variant>
      <vt:variant>
        <vt:lpwstr/>
      </vt:variant>
      <vt:variant>
        <vt:lpwstr>_Toc3707733</vt:lpwstr>
      </vt:variant>
      <vt:variant>
        <vt:i4>2359300</vt:i4>
      </vt:variant>
      <vt:variant>
        <vt:i4>242</vt:i4>
      </vt:variant>
      <vt:variant>
        <vt:i4>0</vt:i4>
      </vt:variant>
      <vt:variant>
        <vt:i4>5</vt:i4>
      </vt:variant>
      <vt:variant>
        <vt:lpwstr/>
      </vt:variant>
      <vt:variant>
        <vt:lpwstr>_Toc3707732</vt:lpwstr>
      </vt:variant>
      <vt:variant>
        <vt:i4>2359300</vt:i4>
      </vt:variant>
      <vt:variant>
        <vt:i4>236</vt:i4>
      </vt:variant>
      <vt:variant>
        <vt:i4>0</vt:i4>
      </vt:variant>
      <vt:variant>
        <vt:i4>5</vt:i4>
      </vt:variant>
      <vt:variant>
        <vt:lpwstr/>
      </vt:variant>
      <vt:variant>
        <vt:lpwstr>_Toc3707731</vt:lpwstr>
      </vt:variant>
      <vt:variant>
        <vt:i4>2359300</vt:i4>
      </vt:variant>
      <vt:variant>
        <vt:i4>230</vt:i4>
      </vt:variant>
      <vt:variant>
        <vt:i4>0</vt:i4>
      </vt:variant>
      <vt:variant>
        <vt:i4>5</vt:i4>
      </vt:variant>
      <vt:variant>
        <vt:lpwstr/>
      </vt:variant>
      <vt:variant>
        <vt:lpwstr>_Toc3707730</vt:lpwstr>
      </vt:variant>
      <vt:variant>
        <vt:i4>2424836</vt:i4>
      </vt:variant>
      <vt:variant>
        <vt:i4>224</vt:i4>
      </vt:variant>
      <vt:variant>
        <vt:i4>0</vt:i4>
      </vt:variant>
      <vt:variant>
        <vt:i4>5</vt:i4>
      </vt:variant>
      <vt:variant>
        <vt:lpwstr/>
      </vt:variant>
      <vt:variant>
        <vt:lpwstr>_Toc3707729</vt:lpwstr>
      </vt:variant>
      <vt:variant>
        <vt:i4>2424836</vt:i4>
      </vt:variant>
      <vt:variant>
        <vt:i4>218</vt:i4>
      </vt:variant>
      <vt:variant>
        <vt:i4>0</vt:i4>
      </vt:variant>
      <vt:variant>
        <vt:i4>5</vt:i4>
      </vt:variant>
      <vt:variant>
        <vt:lpwstr/>
      </vt:variant>
      <vt:variant>
        <vt:lpwstr>_Toc3707728</vt:lpwstr>
      </vt:variant>
      <vt:variant>
        <vt:i4>2424836</vt:i4>
      </vt:variant>
      <vt:variant>
        <vt:i4>212</vt:i4>
      </vt:variant>
      <vt:variant>
        <vt:i4>0</vt:i4>
      </vt:variant>
      <vt:variant>
        <vt:i4>5</vt:i4>
      </vt:variant>
      <vt:variant>
        <vt:lpwstr/>
      </vt:variant>
      <vt:variant>
        <vt:lpwstr>_Toc3707727</vt:lpwstr>
      </vt:variant>
      <vt:variant>
        <vt:i4>2424836</vt:i4>
      </vt:variant>
      <vt:variant>
        <vt:i4>206</vt:i4>
      </vt:variant>
      <vt:variant>
        <vt:i4>0</vt:i4>
      </vt:variant>
      <vt:variant>
        <vt:i4>5</vt:i4>
      </vt:variant>
      <vt:variant>
        <vt:lpwstr/>
      </vt:variant>
      <vt:variant>
        <vt:lpwstr>_Toc3707726</vt:lpwstr>
      </vt:variant>
      <vt:variant>
        <vt:i4>2424836</vt:i4>
      </vt:variant>
      <vt:variant>
        <vt:i4>200</vt:i4>
      </vt:variant>
      <vt:variant>
        <vt:i4>0</vt:i4>
      </vt:variant>
      <vt:variant>
        <vt:i4>5</vt:i4>
      </vt:variant>
      <vt:variant>
        <vt:lpwstr/>
      </vt:variant>
      <vt:variant>
        <vt:lpwstr>_Toc3707725</vt:lpwstr>
      </vt:variant>
      <vt:variant>
        <vt:i4>2424836</vt:i4>
      </vt:variant>
      <vt:variant>
        <vt:i4>194</vt:i4>
      </vt:variant>
      <vt:variant>
        <vt:i4>0</vt:i4>
      </vt:variant>
      <vt:variant>
        <vt:i4>5</vt:i4>
      </vt:variant>
      <vt:variant>
        <vt:lpwstr/>
      </vt:variant>
      <vt:variant>
        <vt:lpwstr>_Toc3707724</vt:lpwstr>
      </vt:variant>
      <vt:variant>
        <vt:i4>2424836</vt:i4>
      </vt:variant>
      <vt:variant>
        <vt:i4>188</vt:i4>
      </vt:variant>
      <vt:variant>
        <vt:i4>0</vt:i4>
      </vt:variant>
      <vt:variant>
        <vt:i4>5</vt:i4>
      </vt:variant>
      <vt:variant>
        <vt:lpwstr/>
      </vt:variant>
      <vt:variant>
        <vt:lpwstr>_Toc3707723</vt:lpwstr>
      </vt:variant>
      <vt:variant>
        <vt:i4>2424836</vt:i4>
      </vt:variant>
      <vt:variant>
        <vt:i4>182</vt:i4>
      </vt:variant>
      <vt:variant>
        <vt:i4>0</vt:i4>
      </vt:variant>
      <vt:variant>
        <vt:i4>5</vt:i4>
      </vt:variant>
      <vt:variant>
        <vt:lpwstr/>
      </vt:variant>
      <vt:variant>
        <vt:lpwstr>_Toc3707722</vt:lpwstr>
      </vt:variant>
      <vt:variant>
        <vt:i4>2424836</vt:i4>
      </vt:variant>
      <vt:variant>
        <vt:i4>176</vt:i4>
      </vt:variant>
      <vt:variant>
        <vt:i4>0</vt:i4>
      </vt:variant>
      <vt:variant>
        <vt:i4>5</vt:i4>
      </vt:variant>
      <vt:variant>
        <vt:lpwstr/>
      </vt:variant>
      <vt:variant>
        <vt:lpwstr>_Toc3707721</vt:lpwstr>
      </vt:variant>
      <vt:variant>
        <vt:i4>2424836</vt:i4>
      </vt:variant>
      <vt:variant>
        <vt:i4>170</vt:i4>
      </vt:variant>
      <vt:variant>
        <vt:i4>0</vt:i4>
      </vt:variant>
      <vt:variant>
        <vt:i4>5</vt:i4>
      </vt:variant>
      <vt:variant>
        <vt:lpwstr/>
      </vt:variant>
      <vt:variant>
        <vt:lpwstr>_Toc3707720</vt:lpwstr>
      </vt:variant>
      <vt:variant>
        <vt:i4>2490372</vt:i4>
      </vt:variant>
      <vt:variant>
        <vt:i4>164</vt:i4>
      </vt:variant>
      <vt:variant>
        <vt:i4>0</vt:i4>
      </vt:variant>
      <vt:variant>
        <vt:i4>5</vt:i4>
      </vt:variant>
      <vt:variant>
        <vt:lpwstr/>
      </vt:variant>
      <vt:variant>
        <vt:lpwstr>_Toc3707719</vt:lpwstr>
      </vt:variant>
      <vt:variant>
        <vt:i4>2490372</vt:i4>
      </vt:variant>
      <vt:variant>
        <vt:i4>158</vt:i4>
      </vt:variant>
      <vt:variant>
        <vt:i4>0</vt:i4>
      </vt:variant>
      <vt:variant>
        <vt:i4>5</vt:i4>
      </vt:variant>
      <vt:variant>
        <vt:lpwstr/>
      </vt:variant>
      <vt:variant>
        <vt:lpwstr>_Toc3707718</vt:lpwstr>
      </vt:variant>
      <vt:variant>
        <vt:i4>2490372</vt:i4>
      </vt:variant>
      <vt:variant>
        <vt:i4>152</vt:i4>
      </vt:variant>
      <vt:variant>
        <vt:i4>0</vt:i4>
      </vt:variant>
      <vt:variant>
        <vt:i4>5</vt:i4>
      </vt:variant>
      <vt:variant>
        <vt:lpwstr/>
      </vt:variant>
      <vt:variant>
        <vt:lpwstr>_Toc3707717</vt:lpwstr>
      </vt:variant>
      <vt:variant>
        <vt:i4>2490372</vt:i4>
      </vt:variant>
      <vt:variant>
        <vt:i4>146</vt:i4>
      </vt:variant>
      <vt:variant>
        <vt:i4>0</vt:i4>
      </vt:variant>
      <vt:variant>
        <vt:i4>5</vt:i4>
      </vt:variant>
      <vt:variant>
        <vt:lpwstr/>
      </vt:variant>
      <vt:variant>
        <vt:lpwstr>_Toc3707716</vt:lpwstr>
      </vt:variant>
      <vt:variant>
        <vt:i4>2490372</vt:i4>
      </vt:variant>
      <vt:variant>
        <vt:i4>140</vt:i4>
      </vt:variant>
      <vt:variant>
        <vt:i4>0</vt:i4>
      </vt:variant>
      <vt:variant>
        <vt:i4>5</vt:i4>
      </vt:variant>
      <vt:variant>
        <vt:lpwstr/>
      </vt:variant>
      <vt:variant>
        <vt:lpwstr>_Toc3707715</vt:lpwstr>
      </vt:variant>
      <vt:variant>
        <vt:i4>2490372</vt:i4>
      </vt:variant>
      <vt:variant>
        <vt:i4>134</vt:i4>
      </vt:variant>
      <vt:variant>
        <vt:i4>0</vt:i4>
      </vt:variant>
      <vt:variant>
        <vt:i4>5</vt:i4>
      </vt:variant>
      <vt:variant>
        <vt:lpwstr/>
      </vt:variant>
      <vt:variant>
        <vt:lpwstr>_Toc3707714</vt:lpwstr>
      </vt:variant>
      <vt:variant>
        <vt:i4>2490372</vt:i4>
      </vt:variant>
      <vt:variant>
        <vt:i4>128</vt:i4>
      </vt:variant>
      <vt:variant>
        <vt:i4>0</vt:i4>
      </vt:variant>
      <vt:variant>
        <vt:i4>5</vt:i4>
      </vt:variant>
      <vt:variant>
        <vt:lpwstr/>
      </vt:variant>
      <vt:variant>
        <vt:lpwstr>_Toc3707713</vt:lpwstr>
      </vt:variant>
      <vt:variant>
        <vt:i4>2490372</vt:i4>
      </vt:variant>
      <vt:variant>
        <vt:i4>122</vt:i4>
      </vt:variant>
      <vt:variant>
        <vt:i4>0</vt:i4>
      </vt:variant>
      <vt:variant>
        <vt:i4>5</vt:i4>
      </vt:variant>
      <vt:variant>
        <vt:lpwstr/>
      </vt:variant>
      <vt:variant>
        <vt:lpwstr>_Toc3707712</vt:lpwstr>
      </vt:variant>
      <vt:variant>
        <vt:i4>2490372</vt:i4>
      </vt:variant>
      <vt:variant>
        <vt:i4>116</vt:i4>
      </vt:variant>
      <vt:variant>
        <vt:i4>0</vt:i4>
      </vt:variant>
      <vt:variant>
        <vt:i4>5</vt:i4>
      </vt:variant>
      <vt:variant>
        <vt:lpwstr/>
      </vt:variant>
      <vt:variant>
        <vt:lpwstr>_Toc3707711</vt:lpwstr>
      </vt:variant>
      <vt:variant>
        <vt:i4>2490372</vt:i4>
      </vt:variant>
      <vt:variant>
        <vt:i4>110</vt:i4>
      </vt:variant>
      <vt:variant>
        <vt:i4>0</vt:i4>
      </vt:variant>
      <vt:variant>
        <vt:i4>5</vt:i4>
      </vt:variant>
      <vt:variant>
        <vt:lpwstr/>
      </vt:variant>
      <vt:variant>
        <vt:lpwstr>_Toc3707710</vt:lpwstr>
      </vt:variant>
      <vt:variant>
        <vt:i4>2555908</vt:i4>
      </vt:variant>
      <vt:variant>
        <vt:i4>104</vt:i4>
      </vt:variant>
      <vt:variant>
        <vt:i4>0</vt:i4>
      </vt:variant>
      <vt:variant>
        <vt:i4>5</vt:i4>
      </vt:variant>
      <vt:variant>
        <vt:lpwstr/>
      </vt:variant>
      <vt:variant>
        <vt:lpwstr>_Toc3707709</vt:lpwstr>
      </vt:variant>
      <vt:variant>
        <vt:i4>2555908</vt:i4>
      </vt:variant>
      <vt:variant>
        <vt:i4>98</vt:i4>
      </vt:variant>
      <vt:variant>
        <vt:i4>0</vt:i4>
      </vt:variant>
      <vt:variant>
        <vt:i4>5</vt:i4>
      </vt:variant>
      <vt:variant>
        <vt:lpwstr/>
      </vt:variant>
      <vt:variant>
        <vt:lpwstr>_Toc3707708</vt:lpwstr>
      </vt:variant>
      <vt:variant>
        <vt:i4>2555908</vt:i4>
      </vt:variant>
      <vt:variant>
        <vt:i4>92</vt:i4>
      </vt:variant>
      <vt:variant>
        <vt:i4>0</vt:i4>
      </vt:variant>
      <vt:variant>
        <vt:i4>5</vt:i4>
      </vt:variant>
      <vt:variant>
        <vt:lpwstr/>
      </vt:variant>
      <vt:variant>
        <vt:lpwstr>_Toc3707707</vt:lpwstr>
      </vt:variant>
      <vt:variant>
        <vt:i4>2555908</vt:i4>
      </vt:variant>
      <vt:variant>
        <vt:i4>86</vt:i4>
      </vt:variant>
      <vt:variant>
        <vt:i4>0</vt:i4>
      </vt:variant>
      <vt:variant>
        <vt:i4>5</vt:i4>
      </vt:variant>
      <vt:variant>
        <vt:lpwstr/>
      </vt:variant>
      <vt:variant>
        <vt:lpwstr>_Toc3707706</vt:lpwstr>
      </vt:variant>
      <vt:variant>
        <vt:i4>2555908</vt:i4>
      </vt:variant>
      <vt:variant>
        <vt:i4>80</vt:i4>
      </vt:variant>
      <vt:variant>
        <vt:i4>0</vt:i4>
      </vt:variant>
      <vt:variant>
        <vt:i4>5</vt:i4>
      </vt:variant>
      <vt:variant>
        <vt:lpwstr/>
      </vt:variant>
      <vt:variant>
        <vt:lpwstr>_Toc3707705</vt:lpwstr>
      </vt:variant>
      <vt:variant>
        <vt:i4>2555908</vt:i4>
      </vt:variant>
      <vt:variant>
        <vt:i4>74</vt:i4>
      </vt:variant>
      <vt:variant>
        <vt:i4>0</vt:i4>
      </vt:variant>
      <vt:variant>
        <vt:i4>5</vt:i4>
      </vt:variant>
      <vt:variant>
        <vt:lpwstr/>
      </vt:variant>
      <vt:variant>
        <vt:lpwstr>_Toc3707704</vt:lpwstr>
      </vt:variant>
      <vt:variant>
        <vt:i4>2555908</vt:i4>
      </vt:variant>
      <vt:variant>
        <vt:i4>68</vt:i4>
      </vt:variant>
      <vt:variant>
        <vt:i4>0</vt:i4>
      </vt:variant>
      <vt:variant>
        <vt:i4>5</vt:i4>
      </vt:variant>
      <vt:variant>
        <vt:lpwstr/>
      </vt:variant>
      <vt:variant>
        <vt:lpwstr>_Toc3707703</vt:lpwstr>
      </vt:variant>
      <vt:variant>
        <vt:i4>2555908</vt:i4>
      </vt:variant>
      <vt:variant>
        <vt:i4>62</vt:i4>
      </vt:variant>
      <vt:variant>
        <vt:i4>0</vt:i4>
      </vt:variant>
      <vt:variant>
        <vt:i4>5</vt:i4>
      </vt:variant>
      <vt:variant>
        <vt:lpwstr/>
      </vt:variant>
      <vt:variant>
        <vt:lpwstr>_Toc3707702</vt:lpwstr>
      </vt:variant>
      <vt:variant>
        <vt:i4>2555908</vt:i4>
      </vt:variant>
      <vt:variant>
        <vt:i4>56</vt:i4>
      </vt:variant>
      <vt:variant>
        <vt:i4>0</vt:i4>
      </vt:variant>
      <vt:variant>
        <vt:i4>5</vt:i4>
      </vt:variant>
      <vt:variant>
        <vt:lpwstr/>
      </vt:variant>
      <vt:variant>
        <vt:lpwstr>_Toc3707701</vt:lpwstr>
      </vt:variant>
      <vt:variant>
        <vt:i4>2555908</vt:i4>
      </vt:variant>
      <vt:variant>
        <vt:i4>50</vt:i4>
      </vt:variant>
      <vt:variant>
        <vt:i4>0</vt:i4>
      </vt:variant>
      <vt:variant>
        <vt:i4>5</vt:i4>
      </vt:variant>
      <vt:variant>
        <vt:lpwstr/>
      </vt:variant>
      <vt:variant>
        <vt:lpwstr>_Toc3707700</vt:lpwstr>
      </vt:variant>
      <vt:variant>
        <vt:i4>3014661</vt:i4>
      </vt:variant>
      <vt:variant>
        <vt:i4>44</vt:i4>
      </vt:variant>
      <vt:variant>
        <vt:i4>0</vt:i4>
      </vt:variant>
      <vt:variant>
        <vt:i4>5</vt:i4>
      </vt:variant>
      <vt:variant>
        <vt:lpwstr/>
      </vt:variant>
      <vt:variant>
        <vt:lpwstr>_Toc3707699</vt:lpwstr>
      </vt:variant>
      <vt:variant>
        <vt:i4>3014661</vt:i4>
      </vt:variant>
      <vt:variant>
        <vt:i4>38</vt:i4>
      </vt:variant>
      <vt:variant>
        <vt:i4>0</vt:i4>
      </vt:variant>
      <vt:variant>
        <vt:i4>5</vt:i4>
      </vt:variant>
      <vt:variant>
        <vt:lpwstr/>
      </vt:variant>
      <vt:variant>
        <vt:lpwstr>_Toc3707698</vt:lpwstr>
      </vt:variant>
      <vt:variant>
        <vt:i4>3014661</vt:i4>
      </vt:variant>
      <vt:variant>
        <vt:i4>32</vt:i4>
      </vt:variant>
      <vt:variant>
        <vt:i4>0</vt:i4>
      </vt:variant>
      <vt:variant>
        <vt:i4>5</vt:i4>
      </vt:variant>
      <vt:variant>
        <vt:lpwstr/>
      </vt:variant>
      <vt:variant>
        <vt:lpwstr>_Toc3707697</vt:lpwstr>
      </vt:variant>
      <vt:variant>
        <vt:i4>3014661</vt:i4>
      </vt:variant>
      <vt:variant>
        <vt:i4>26</vt:i4>
      </vt:variant>
      <vt:variant>
        <vt:i4>0</vt:i4>
      </vt:variant>
      <vt:variant>
        <vt:i4>5</vt:i4>
      </vt:variant>
      <vt:variant>
        <vt:lpwstr/>
      </vt:variant>
      <vt:variant>
        <vt:lpwstr>_Toc3707696</vt:lpwstr>
      </vt:variant>
      <vt:variant>
        <vt:i4>3014661</vt:i4>
      </vt:variant>
      <vt:variant>
        <vt:i4>20</vt:i4>
      </vt:variant>
      <vt:variant>
        <vt:i4>0</vt:i4>
      </vt:variant>
      <vt:variant>
        <vt:i4>5</vt:i4>
      </vt:variant>
      <vt:variant>
        <vt:lpwstr/>
      </vt:variant>
      <vt:variant>
        <vt:lpwstr>_Toc3707695</vt:lpwstr>
      </vt:variant>
      <vt:variant>
        <vt:i4>3014661</vt:i4>
      </vt:variant>
      <vt:variant>
        <vt:i4>14</vt:i4>
      </vt:variant>
      <vt:variant>
        <vt:i4>0</vt:i4>
      </vt:variant>
      <vt:variant>
        <vt:i4>5</vt:i4>
      </vt:variant>
      <vt:variant>
        <vt:lpwstr/>
      </vt:variant>
      <vt:variant>
        <vt:lpwstr>_Toc3707694</vt:lpwstr>
      </vt:variant>
      <vt:variant>
        <vt:i4>3014661</vt:i4>
      </vt:variant>
      <vt:variant>
        <vt:i4>8</vt:i4>
      </vt:variant>
      <vt:variant>
        <vt:i4>0</vt:i4>
      </vt:variant>
      <vt:variant>
        <vt:i4>5</vt:i4>
      </vt:variant>
      <vt:variant>
        <vt:lpwstr/>
      </vt:variant>
      <vt:variant>
        <vt:lpwstr>_Toc3707693</vt:lpwstr>
      </vt:variant>
      <vt:variant>
        <vt:i4>3014661</vt:i4>
      </vt:variant>
      <vt:variant>
        <vt:i4>2</vt:i4>
      </vt:variant>
      <vt:variant>
        <vt:i4>0</vt:i4>
      </vt:variant>
      <vt:variant>
        <vt:i4>5</vt:i4>
      </vt:variant>
      <vt:variant>
        <vt:lpwstr/>
      </vt:variant>
      <vt:variant>
        <vt:lpwstr>_Toc3707692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2019-08-21T09:44:00Z</dcterms:created>
  <dcterms:modified xsi:type="dcterms:W3CDTF">2019-08-21T09:44:00Z</dcterms:modified>
</cp:coreProperties>
</file>