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20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  <w:r>
        <w:rPr>
          <w:rFonts w:ascii="Garamond" w:hAnsi="Garamond"/>
          <w:b/>
          <w:bCs/>
        </w:rPr>
        <w:t>,</w:t>
      </w: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542C7A" w:rsidRPr="00542C7A">
        <w:rPr>
          <w:rFonts w:ascii="Garamond" w:hAnsi="Garamond"/>
          <w:b/>
        </w:rPr>
        <w:t>AGRI WEEK OSAKA, w dniach 13 - 15 maja 2020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542C7A">
        <w:rPr>
          <w:rFonts w:ascii="Garamond" w:hAnsi="Garamond"/>
          <w:b/>
        </w:rPr>
        <w:t>Osaka (Japonia)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AD66D9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542C7A" w:rsidRDefault="00542C7A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 xml:space="preserve">Sekcja </w:t>
      </w:r>
      <w:r w:rsidR="00327437" w:rsidRPr="00542C7A">
        <w:rPr>
          <w:rFonts w:ascii="Garamond" w:hAnsi="Garamond"/>
        </w:rPr>
        <w:t>A</w:t>
      </w:r>
      <w:r w:rsidRPr="00542C7A">
        <w:rPr>
          <w:rFonts w:ascii="Garamond" w:hAnsi="Garamond"/>
        </w:rPr>
        <w:t xml:space="preserve">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0</w:t>
      </w:r>
      <w:r w:rsidRPr="00542C7A">
        <w:rPr>
          <w:rFonts w:ascii="Garamond" w:hAnsi="Garamond"/>
        </w:rPr>
        <w:t>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327437" w:rsidRPr="00542C7A">
        <w:rPr>
          <w:rFonts w:ascii="Garamond" w:hAnsi="Garamond"/>
        </w:rPr>
        <w:t>-17</w:t>
      </w:r>
      <w:r w:rsidR="0031617B" w:rsidRPr="00542C7A">
        <w:rPr>
          <w:rFonts w:ascii="Garamond" w:hAnsi="Garamond"/>
        </w:rPr>
        <w:t>;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3E0BBF" w:rsidRPr="003E0BBF" w:rsidRDefault="003E0BBF" w:rsidP="003E0BBF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„Przemysł Jutra”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:rsidR="003E0BBF" w:rsidRPr="00A35442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3E0BBF">
        <w:rPr>
          <w:rFonts w:ascii="Garamond" w:hAnsi="Garamond"/>
        </w:rPr>
        <w:t>Sekcja C</w:t>
      </w:r>
      <w:r w:rsidR="003E0BBF" w:rsidRPr="00A35442">
        <w:rPr>
          <w:rFonts w:ascii="Garamond" w:hAnsi="Garamond"/>
        </w:rPr>
        <w:t xml:space="preserve"> dział </w:t>
      </w:r>
      <w:r w:rsidR="003E0BBF">
        <w:rPr>
          <w:rFonts w:ascii="Garamond" w:hAnsi="Garamond"/>
        </w:rPr>
        <w:t>24-25</w:t>
      </w:r>
      <w:r w:rsidR="003E0BBF" w:rsidRPr="00A35442">
        <w:rPr>
          <w:rFonts w:ascii="Garamond" w:hAnsi="Garamond"/>
        </w:rPr>
        <w:t>,</w:t>
      </w:r>
    </w:p>
    <w:p w:rsidR="003E0BBF" w:rsidRPr="00A35442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="003E0BBF" w:rsidRPr="00A35442">
        <w:rPr>
          <w:rFonts w:ascii="Garamond" w:hAnsi="Garamond"/>
        </w:rPr>
        <w:t xml:space="preserve">Sekcja C dział </w:t>
      </w:r>
      <w:r w:rsidR="003E0BBF">
        <w:rPr>
          <w:rFonts w:ascii="Garamond" w:hAnsi="Garamond"/>
        </w:rPr>
        <w:t>27-30</w:t>
      </w:r>
      <w:r w:rsidR="003E0BBF" w:rsidRPr="00A35442">
        <w:rPr>
          <w:rFonts w:ascii="Garamond" w:hAnsi="Garamond"/>
        </w:rPr>
        <w:t xml:space="preserve">, </w:t>
      </w:r>
    </w:p>
    <w:p w:rsidR="003E0BBF" w:rsidRPr="00A35442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c)</w:t>
      </w:r>
      <w:r>
        <w:rPr>
          <w:rFonts w:ascii="Garamond" w:hAnsi="Garamond"/>
        </w:rPr>
        <w:tab/>
      </w:r>
      <w:r w:rsidR="003E0BBF">
        <w:rPr>
          <w:rFonts w:ascii="Garamond" w:hAnsi="Garamond"/>
        </w:rPr>
        <w:t>Sekcja C dział 33</w:t>
      </w:r>
      <w:r w:rsidR="003E0BBF" w:rsidRPr="00A35442">
        <w:rPr>
          <w:rFonts w:ascii="Garamond" w:hAnsi="Garamond"/>
        </w:rPr>
        <w:t>,</w:t>
      </w:r>
    </w:p>
    <w:p w:rsidR="00542C7A" w:rsidRDefault="00542C7A" w:rsidP="003E0BBF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</w:p>
    <w:p w:rsidR="003E0BBF" w:rsidRPr="00A35442" w:rsidRDefault="003E0BBF" w:rsidP="003E0BBF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d)</w:t>
      </w:r>
      <w:r>
        <w:rPr>
          <w:rFonts w:ascii="Garamond" w:hAnsi="Garamond"/>
        </w:rPr>
        <w:tab/>
      </w:r>
      <w:r w:rsidR="003E0BBF" w:rsidRPr="00542C7A">
        <w:rPr>
          <w:rFonts w:ascii="Garamond" w:hAnsi="Garamond"/>
        </w:rPr>
        <w:t>Sekcja C dział 20, 22-23,</w:t>
      </w:r>
    </w:p>
    <w:p w:rsidR="003E0BBF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e)</w:t>
      </w:r>
      <w:r>
        <w:rPr>
          <w:rFonts w:ascii="Garamond" w:hAnsi="Garamond"/>
        </w:rPr>
        <w:tab/>
      </w:r>
      <w:r w:rsidR="003E0BBF" w:rsidRPr="00542C7A">
        <w:rPr>
          <w:rFonts w:ascii="Garamond" w:hAnsi="Garamond"/>
        </w:rPr>
        <w:t>Sekcja C dział 26</w:t>
      </w:r>
      <w:r w:rsidR="0031617B" w:rsidRPr="00542C7A">
        <w:rPr>
          <w:rFonts w:ascii="Garamond" w:hAnsi="Garamond"/>
        </w:rPr>
        <w:t>,</w:t>
      </w:r>
    </w:p>
    <w:p w:rsidR="003E0BBF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f)</w:t>
      </w:r>
      <w:r>
        <w:rPr>
          <w:rFonts w:ascii="Garamond" w:hAnsi="Garamond"/>
        </w:rPr>
        <w:tab/>
      </w:r>
      <w:r w:rsidR="003E0BBF" w:rsidRPr="00542C7A">
        <w:rPr>
          <w:rFonts w:ascii="Garamond" w:hAnsi="Garamond"/>
        </w:rPr>
        <w:t>Sekcja E dział 38,</w:t>
      </w:r>
    </w:p>
    <w:p w:rsidR="003E0BBF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g)</w:t>
      </w:r>
      <w:r>
        <w:rPr>
          <w:rFonts w:ascii="Garamond" w:hAnsi="Garamond"/>
        </w:rPr>
        <w:tab/>
      </w:r>
      <w:r w:rsidR="003E0BBF" w:rsidRPr="00542C7A">
        <w:rPr>
          <w:rFonts w:ascii="Garamond" w:hAnsi="Garamond"/>
        </w:rPr>
        <w:t xml:space="preserve">Sekcja J dział 62, </w:t>
      </w:r>
    </w:p>
    <w:p w:rsidR="003E0BBF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  <w:r>
        <w:rPr>
          <w:rFonts w:ascii="Garamond" w:hAnsi="Garamond"/>
        </w:rPr>
        <w:t>h)</w:t>
      </w:r>
      <w:r>
        <w:rPr>
          <w:rFonts w:ascii="Garamond" w:hAnsi="Garamond"/>
        </w:rPr>
        <w:tab/>
      </w:r>
      <w:r w:rsidR="003E0BBF" w:rsidRPr="00542C7A">
        <w:rPr>
          <w:rFonts w:ascii="Garamond" w:hAnsi="Garamond"/>
        </w:rPr>
        <w:t xml:space="preserve">Sekcja M dział 71-72.  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konsumentów”, „Przemysł Jutra”, </w:t>
      </w:r>
      <w:r w:rsidR="00886FAA">
        <w:rPr>
          <w:rFonts w:ascii="Garamond" w:hAnsi="Garamond"/>
        </w:rPr>
        <w:t xml:space="preserve">udział w targach </w:t>
      </w:r>
      <w:r w:rsidR="00542C7A" w:rsidRPr="00542C7A">
        <w:rPr>
          <w:rFonts w:ascii="Garamond" w:hAnsi="Garamond"/>
          <w:b/>
        </w:rPr>
        <w:t>AGRI WEEK OSAKA,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>w dniach 13 - 15 maja 2020 r., Osaka (Japonia)</w:t>
      </w:r>
      <w:r w:rsidR="00D03A4D">
        <w:rPr>
          <w:rFonts w:ascii="Garamond" w:hAnsi="Garamond"/>
          <w:b/>
        </w:rPr>
        <w:t>.</w:t>
      </w: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1B7193">
        <w:rPr>
          <w:rStyle w:val="Uwydatnienie"/>
          <w:rFonts w:ascii="Garamond" w:hAnsi="Garamond"/>
          <w:i w:val="0"/>
          <w:iCs w:val="0"/>
        </w:rPr>
        <w:t>1</w:t>
      </w:r>
      <w:r w:rsidR="00542C7A">
        <w:rPr>
          <w:rStyle w:val="Uwydatnienie"/>
          <w:rFonts w:ascii="Garamond" w:hAnsi="Garamond"/>
          <w:i w:val="0"/>
          <w:iCs w:val="0"/>
        </w:rPr>
        <w:t>1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42C7A">
        <w:rPr>
          <w:rStyle w:val="Uwydatnienie"/>
          <w:rFonts w:ascii="Garamond" w:hAnsi="Garamond"/>
          <w:i w:val="0"/>
          <w:iCs w:val="0"/>
        </w:rPr>
        <w:t>lipca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AD66D9">
        <w:rPr>
          <w:rStyle w:val="Uwydatnienie"/>
          <w:rFonts w:ascii="Garamond" w:hAnsi="Garamond"/>
          <w:i w:val="0"/>
          <w:iCs w:val="0"/>
        </w:rPr>
        <w:t>19</w:t>
      </w:r>
      <w:bookmarkStart w:id="0" w:name="_GoBack"/>
      <w:bookmarkEnd w:id="0"/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542C7A" w:rsidRDefault="00542C7A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A" w:rsidRPr="00E61B0C" w:rsidRDefault="00183FCF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4</w:t>
    </w:r>
    <w:r w:rsidR="00542C7A">
      <w:rPr>
        <w:rFonts w:ascii="Garamond" w:hAnsi="Garamond"/>
        <w:sz w:val="20"/>
        <w:szCs w:val="20"/>
      </w:rPr>
      <w:t>/4</w:t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1617B"/>
    <w:rsid w:val="00327437"/>
    <w:rsid w:val="003651DA"/>
    <w:rsid w:val="00367B70"/>
    <w:rsid w:val="00380136"/>
    <w:rsid w:val="00380BDC"/>
    <w:rsid w:val="00384A7E"/>
    <w:rsid w:val="003850E0"/>
    <w:rsid w:val="003D1D71"/>
    <w:rsid w:val="003E0BBF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26E1E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66D9"/>
    <w:rsid w:val="00B21085"/>
    <w:rsid w:val="00B4636B"/>
    <w:rsid w:val="00B56B04"/>
    <w:rsid w:val="00B836E3"/>
    <w:rsid w:val="00B970C0"/>
    <w:rsid w:val="00BA2BBF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A44F8F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B178-7BFA-48E8-BFA0-29381CE8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8859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3</cp:revision>
  <cp:lastPrinted>2019-03-08T14:25:00Z</cp:lastPrinted>
  <dcterms:created xsi:type="dcterms:W3CDTF">2019-06-26T09:41:00Z</dcterms:created>
  <dcterms:modified xsi:type="dcterms:W3CDTF">2019-06-26T10:51:00Z</dcterms:modified>
</cp:coreProperties>
</file>