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54" w:rsidRPr="00BB391F" w:rsidRDefault="00170794" w:rsidP="00F02D31">
      <w:pPr>
        <w:jc w:val="center"/>
        <w:rPr>
          <w:rFonts w:cstheme="minorHAnsi"/>
          <w:sz w:val="20"/>
          <w:szCs w:val="20"/>
        </w:rPr>
      </w:pPr>
      <w:r w:rsidRPr="00BB391F">
        <w:rPr>
          <w:rFonts w:cstheme="minorHAnsi"/>
          <w:i/>
          <w:noProof/>
          <w:sz w:val="20"/>
          <w:szCs w:val="20"/>
          <w:lang w:eastAsia="pl-PL"/>
        </w:rPr>
        <w:drawing>
          <wp:inline distT="0" distB="0" distL="0" distR="0" wp14:anchorId="68F9FF1C" wp14:editId="59BCD2E6">
            <wp:extent cx="5758815" cy="819150"/>
            <wp:effectExtent l="0" t="0" r="0" b="0"/>
            <wp:docPr id="5" name="Obraz 5" descr="N:\public\GOSPODARNA\IDENTYFIKACJA MARKA WIELKOPOLSKA\CI _ NEW\A_logo Marka Wielkopolska\LOGO ROZSZERZONE\LOGO POZIOM\PL\claim\LOGO_WIELKOPOLSKA_POZIOM_claim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ublic\GOSPODARNA\IDENTYFIKACJA MARKA WIELKOPOLSKA\CI _ NEW\A_logo Marka Wielkopolska\LOGO ROZSZERZONE\LOGO POZIOM\PL\claim\LOGO_WIELKOPOLSKA_POZIOM_claim_P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96" b="41804"/>
                    <a:stretch/>
                  </pic:blipFill>
                  <pic:spPr bwMode="auto">
                    <a:xfrm>
                      <a:off x="0" y="0"/>
                      <a:ext cx="5759450" cy="81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D31" w:rsidRPr="00BB391F" w:rsidRDefault="00F02D31" w:rsidP="00364665">
      <w:pPr>
        <w:widowControl w:val="0"/>
        <w:suppressAutoHyphens/>
        <w:spacing w:after="200" w:line="276" w:lineRule="auto"/>
        <w:contextualSpacing/>
        <w:jc w:val="center"/>
        <w:outlineLvl w:val="1"/>
        <w:rPr>
          <w:rFonts w:eastAsia="Calibri" w:cstheme="minorHAnsi"/>
          <w:b/>
          <w:color w:val="FF0000"/>
          <w:sz w:val="20"/>
          <w:szCs w:val="20"/>
          <w:u w:val="single"/>
          <w:lang w:eastAsia="zh-CN"/>
        </w:rPr>
      </w:pPr>
    </w:p>
    <w:p w:rsidR="00D23397" w:rsidRPr="00BB391F" w:rsidRDefault="00364665" w:rsidP="00364665">
      <w:pPr>
        <w:widowControl w:val="0"/>
        <w:suppressAutoHyphens/>
        <w:spacing w:after="200" w:line="276" w:lineRule="auto"/>
        <w:contextualSpacing/>
        <w:jc w:val="center"/>
        <w:outlineLvl w:val="1"/>
        <w:rPr>
          <w:rFonts w:eastAsia="Calibri" w:cstheme="minorHAnsi"/>
          <w:b/>
          <w:color w:val="FF0000"/>
          <w:sz w:val="20"/>
          <w:szCs w:val="20"/>
          <w:lang w:eastAsia="zh-CN"/>
        </w:rPr>
      </w:pPr>
      <w:r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INTELIGENTNE </w:t>
      </w:r>
      <w:r w:rsidR="00E03ED3"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  </w:t>
      </w:r>
      <w:r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>SPECJALIZACJE</w:t>
      </w:r>
      <w:r w:rsidR="00E03ED3"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  </w:t>
      </w:r>
      <w:r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 DLA </w:t>
      </w:r>
      <w:r w:rsidR="00E03ED3"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 xml:space="preserve">  </w:t>
      </w:r>
      <w:r w:rsidRPr="00BB391F">
        <w:rPr>
          <w:rFonts w:eastAsia="Calibri" w:cstheme="minorHAnsi"/>
          <w:b/>
          <w:color w:val="FF0000"/>
          <w:sz w:val="20"/>
          <w:szCs w:val="20"/>
          <w:lang w:eastAsia="zh-CN"/>
        </w:rPr>
        <w:t>WIELKOPOLSKI</w:t>
      </w:r>
    </w:p>
    <w:p w:rsidR="00603FB5" w:rsidRPr="00BB391F" w:rsidRDefault="00603FB5" w:rsidP="00364665">
      <w:pPr>
        <w:widowControl w:val="0"/>
        <w:suppressAutoHyphens/>
        <w:spacing w:after="200" w:line="276" w:lineRule="auto"/>
        <w:contextualSpacing/>
        <w:jc w:val="center"/>
        <w:outlineLvl w:val="1"/>
        <w:rPr>
          <w:rFonts w:eastAsia="Calibri" w:cstheme="minorHAnsi"/>
          <w:b/>
          <w:color w:val="FF0000"/>
          <w:sz w:val="20"/>
          <w:szCs w:val="20"/>
          <w:lang w:eastAsia="zh-CN"/>
        </w:rPr>
      </w:pPr>
    </w:p>
    <w:p w:rsidR="00603FB5" w:rsidRPr="008A2EC4" w:rsidRDefault="00603FB5" w:rsidP="008A2EC4">
      <w:pPr>
        <w:spacing w:before="134"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Toc408478974"/>
      <w:r w:rsidRPr="00BB391F">
        <w:rPr>
          <w:rFonts w:eastAsiaTheme="minorEastAsia" w:cstheme="minorHAnsi"/>
          <w:color w:val="000000" w:themeColor="text1"/>
          <w:kern w:val="24"/>
          <w:sz w:val="20"/>
          <w:szCs w:val="20"/>
          <w:lang w:eastAsia="pl-PL"/>
        </w:rPr>
        <w:t>W 2015 r. w szerokim procesie społecznym zidentyfikowano w Wielkopolsce obszary inteligentnych specjalizacji Wielkopolski – takie w których Wielkopolska może przodować - powstałe z kombinacji potencjału tkwiącego w nauce, technologii, inżynierii oraz wiedzy o rozwoju rynku i potrzebach biznesowych. Wsparcie udzielane dla projektów i podmiotów w obszarach inteligentnych specjalizacji ma za zadanie skoncentrować zasoby i skupić wysiłki na niewielkiej liczbie wyselekcjonowanych dziedzin (nie branż czy sektorów!) o największym potencjale do innowacji, wpływu na inne dziedziny. Oddziaływanie na rozwój obszarów inteligentnych specjalizacji to także odkrywanie nowych możliwości technologicznych i rynkowych dla istniejących struktur produkcji i wskazywanie możliwych ścieżek ich transformacji takich jak dywersyfikacja, modernizacja, podnoszenie standardów, czy przemiana.</w:t>
      </w:r>
    </w:p>
    <w:p w:rsidR="00D23397" w:rsidRPr="00BB391F" w:rsidRDefault="00D23397" w:rsidP="00BB1A3B">
      <w:pPr>
        <w:spacing w:line="276" w:lineRule="auto"/>
        <w:ind w:left="284"/>
        <w:jc w:val="both"/>
        <w:rPr>
          <w:rFonts w:cstheme="minorHAnsi"/>
          <w:sz w:val="20"/>
          <w:szCs w:val="20"/>
        </w:rPr>
      </w:pPr>
      <w:r w:rsidRPr="00BB391F">
        <w:rPr>
          <w:rFonts w:cstheme="minorHAnsi"/>
          <w:sz w:val="20"/>
          <w:szCs w:val="20"/>
        </w:rPr>
        <w:t>Inteligentne specjalizacje dla Wielkopolski to:</w:t>
      </w:r>
    </w:p>
    <w:p w:rsidR="00D23397" w:rsidRPr="00BB391F" w:rsidRDefault="00D23397" w:rsidP="00BB1A3B">
      <w:pPr>
        <w:shd w:val="clear" w:color="auto" w:fill="FEFEFE"/>
        <w:spacing w:after="0" w:line="276" w:lineRule="auto"/>
        <w:ind w:left="284" w:hanging="284"/>
        <w:jc w:val="both"/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</w:pPr>
      <w:r w:rsidRPr="00BB391F">
        <w:rPr>
          <w:rFonts w:eastAsia="Calibr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7649B01" wp14:editId="699B711B">
            <wp:simplePos x="0" y="0"/>
            <wp:positionH relativeFrom="margin">
              <wp:posOffset>0</wp:posOffset>
            </wp:positionH>
            <wp:positionV relativeFrom="paragraph">
              <wp:posOffset>189865</wp:posOffset>
            </wp:positionV>
            <wp:extent cx="597535" cy="560705"/>
            <wp:effectExtent l="0" t="0" r="0" b="0"/>
            <wp:wrapTight wrapText="bothSides">
              <wp:wrapPolygon edited="0">
                <wp:start x="0" y="0"/>
                <wp:lineTo x="0" y="20548"/>
                <wp:lineTo x="20659" y="20548"/>
                <wp:lineTo x="20659" y="0"/>
                <wp:lineTo x="0" y="0"/>
              </wp:wrapPolygon>
            </wp:wrapTight>
            <wp:docPr id="4" name="Obraz 4" descr="C:\Users\elizabeth.duda\Desktop\IS\ikona_inteligentne_specjalizacje_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beth.duda\Desktop\IS\ikona_inteligentne_specjalizacje_b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FDA" w:rsidRPr="00BB391F" w:rsidRDefault="00D23397" w:rsidP="00C83FDA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proofErr w:type="spellStart"/>
      <w:r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>Biosurowce</w:t>
      </w:r>
      <w:proofErr w:type="spellEnd"/>
      <w:r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 xml:space="preserve"> i żywność dla świadomych konsumentów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– Wielkopolska jest regionem silnym w zakresie zarówno produkcji rolniczej, jak i przet</w:t>
      </w:r>
      <w:bookmarkStart w:id="1" w:name="_GoBack"/>
      <w:bookmarkEnd w:id="1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wórstwa spożywczego. Obszar </w:t>
      </w:r>
      <w:proofErr w:type="spellStart"/>
      <w:r w:rsidR="00C83FDA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Biosurowce</w:t>
      </w:r>
      <w:proofErr w:type="spellEnd"/>
      <w:r w:rsidR="00C83FDA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 xml:space="preserve"> i żywność dla świadomych konsumentów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obejmuje produkcję 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biosurowców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i żywności w ramach całego łańcucha wartości – z dobrej jakości surowców, przy zastosowaniu nowoczesnych metod i technologii oraz sprzedaży i dystrybucji, a także zagospodarowanie odpadów poprodukcyjnych. 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Biosurowce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pochodzenia naturalnego produkowane są z dedykowanych upraw lub odpadów poprodukcyjnych. Wzmacnianie całego łańcucha wartości powinno doprowadzić do zwiększenia wytwarzanej wartości dodanej i zatrzymania jej w regionie. W ramach obszaru rozwijane będą m.in.: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a) Bezpieczne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bioprodukty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i zdrowa żywność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· Produkcja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bioproduktów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i zdrowej żywności oraz żywności funkcjonalnej;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Bezpieczeństwo żywności;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Rośliny odporne na zmiany klimatu;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b) Nowoczesne technologie produkcji żywności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·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- i nanotechnologia,  biologia molekularna i chemia spożywcza;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· Systemy klasy ICT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traceability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 bezpieczeństwie produkcji żywności, zarządzaniu produkcją, wspomaganiu decyzji i automatyzacji;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E-rolnictwo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c) Innowacyjne metody sprzedaży i dystrybucji wysokojakościowej żywności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Marketing wysokiej jakości żywności i surowców;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Innowacyjne łańcuchy produkcji i dystrybucji żywności;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Opakowania dla żywności i food design;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d) Ekologiczna produkcja żywności i zagospodarowanie odpadów</w:t>
      </w:r>
    </w:p>
    <w:p w:rsidR="00C83FDA" w:rsidRPr="00BB391F" w:rsidRDefault="008A2EC4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Ekologiczne środki ochrony roślin;</w:t>
      </w:r>
    </w:p>
    <w:p w:rsidR="00C83FDA" w:rsidRPr="00BB391F" w:rsidRDefault="008A2EC4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 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Biogospodarka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, w tym innowacyjne produkty naturalne;</w:t>
      </w:r>
    </w:p>
    <w:p w:rsidR="00C83FDA" w:rsidRPr="00BB391F" w:rsidRDefault="008A2EC4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Zagospodarowanie odpadów produkcyjnych i 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upcykling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;</w:t>
      </w:r>
    </w:p>
    <w:p w:rsidR="00C83FDA" w:rsidRPr="00BB391F" w:rsidRDefault="008A2EC4" w:rsidP="00AD34AE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Gospodarka paliwowo-energetyczna oparta na 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agrobiomasie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;</w:t>
      </w:r>
    </w:p>
    <w:p w:rsidR="00C83FDA" w:rsidRPr="00BB391F" w:rsidRDefault="00C83FDA" w:rsidP="00AD34AE">
      <w:pPr>
        <w:shd w:val="clear" w:color="auto" w:fill="FEFEFE"/>
        <w:spacing w:after="0" w:line="300" w:lineRule="atLeast"/>
        <w:ind w:left="993" w:firstLine="141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e) Przygotowanie i profesjonalizacja kadr dla obszaru specjalizacji.</w:t>
      </w:r>
    </w:p>
    <w:p w:rsidR="00D23397" w:rsidRPr="00BB391F" w:rsidRDefault="00D23397" w:rsidP="00AD34AE">
      <w:pPr>
        <w:shd w:val="clear" w:color="auto" w:fill="FEFEFE"/>
        <w:spacing w:after="0" w:line="276" w:lineRule="auto"/>
        <w:ind w:left="1134" w:hanging="142"/>
        <w:jc w:val="both"/>
        <w:rPr>
          <w:rFonts w:eastAsia="Times New Roman" w:cstheme="minorHAnsi"/>
          <w:color w:val="333333"/>
          <w:sz w:val="20"/>
          <w:szCs w:val="20"/>
          <w:u w:val="single"/>
          <w:lang w:eastAsia="pl-PL"/>
        </w:rPr>
      </w:pPr>
    </w:p>
    <w:p w:rsidR="00C83FDA" w:rsidRPr="00BB391F" w:rsidRDefault="00BB1A3B" w:rsidP="00386648">
      <w:pPr>
        <w:shd w:val="clear" w:color="auto" w:fill="FEFEFE"/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cstheme="minorHAnsi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0B4F0515" wp14:editId="7182BC29">
            <wp:simplePos x="0" y="0"/>
            <wp:positionH relativeFrom="margin">
              <wp:posOffset>-123190</wp:posOffset>
            </wp:positionH>
            <wp:positionV relativeFrom="paragraph">
              <wp:posOffset>8890</wp:posOffset>
            </wp:positionV>
            <wp:extent cx="561340" cy="612140"/>
            <wp:effectExtent l="0" t="0" r="0" b="0"/>
            <wp:wrapTight wrapText="bothSides">
              <wp:wrapPolygon edited="0">
                <wp:start x="0" y="0"/>
                <wp:lineTo x="0" y="20838"/>
                <wp:lineTo x="20525" y="20838"/>
                <wp:lineTo x="20525" y="0"/>
                <wp:lineTo x="0" y="0"/>
              </wp:wrapPolygon>
            </wp:wrapTight>
            <wp:docPr id="1" name="Obraz 1" descr="C:\Users\elizabeth.duda\Desktop\IS\ikona_inteligentne_specjalizacje_wnet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zabeth.duda\Desktop\IS\ikona_inteligentne_specjalizacje_wnetr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>Wnętrza przyszłości</w:t>
      </w:r>
      <w:r w:rsidR="00D23397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– 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branża meblarska oraz wyposażenia wnętrz ma w Wielkopolsce silny potencjał wytwórczy i produkcyjny oraz szybko rozwijające się obszary takie jak projektowanie i wzornictwo przemysłowe. Region specjalizuje się również w produkcji drewna, papieru i produktów pochodnych oraz przetwórstwie papieru. Obszar </w:t>
      </w:r>
      <w:r w:rsidR="00C83FDA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Wnętrza przyszłości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obejmuje produkcję wyposażenia wnętrz odpowiadającego potrzebom i wyzwaniom stojącym przed współczesnym człowiekiem, w ramach dobrze współpracujących łańcuchów wartości w regionie, czyli silnie zakorzenionych w jego potencjale produkcji surowców komponentów i półproduktów, ale także konkurencyjnych międzynarodowo na bazie nowoczesnej i atrakcyjnej oferty. Źródłem inspiracji dla wnętrz przyszłości mogą być wyniki badań naukowych z obszaru m.in. psychologia, antropologia i socjologia oraz nauki techniczne, dzięki którym mogą powstawać produkty, które sprostają wymogom współczesnego użytkownika. Rozwój obszaru powinien prowadzić do budowy i rozwoju marek globalnych wywodzących się z Wielkopolski. W ramach obszaru rozwijane będą m.in.:</w:t>
      </w:r>
    </w:p>
    <w:p w:rsidR="00C83FDA" w:rsidRPr="00BB391F" w:rsidRDefault="008A2EC4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a)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Specjalistyczne i spersonalizowane meble i artykuły wyposażenia wnętrz</w:t>
      </w:r>
    </w:p>
    <w:p w:rsidR="00C83FDA" w:rsidRPr="00BB391F" w:rsidRDefault="00C83FDA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Wysokiej jakości surowce i komponenty do produkcji mebli;</w:t>
      </w:r>
    </w:p>
    <w:p w:rsidR="00C83FDA" w:rsidRPr="00BB391F" w:rsidRDefault="00C83FDA" w:rsidP="00BB391F">
      <w:pPr>
        <w:shd w:val="clear" w:color="auto" w:fill="FEFEFE"/>
        <w:spacing w:after="0" w:line="300" w:lineRule="atLeast"/>
        <w:ind w:left="567" w:firstLine="567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Meble tworzone z regionalnych surowców, komponentów i półproduktów;</w:t>
      </w:r>
    </w:p>
    <w:p w:rsidR="00C83FDA" w:rsidRPr="00BB391F" w:rsidRDefault="008A2EC4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b)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Nowe zastosowania technologii i materiałów</w:t>
      </w:r>
    </w:p>
    <w:p w:rsidR="00C83FDA" w:rsidRPr="00BB391F" w:rsidRDefault="00C83FDA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Technologie energooszczędne;</w:t>
      </w:r>
    </w:p>
    <w:p w:rsidR="00C83FDA" w:rsidRPr="00BB391F" w:rsidRDefault="00C83FDA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Technologie przetwórstwa papieru i drewna, w tym produkcji opakowań;</w:t>
      </w:r>
    </w:p>
    <w:p w:rsidR="00C83FDA" w:rsidRPr="00BB391F" w:rsidRDefault="008A2EC4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c)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Wzornictwo przemysłowe i innowacje oparte o design</w:t>
      </w:r>
    </w:p>
    <w:p w:rsidR="00C83FDA" w:rsidRPr="00BB391F" w:rsidRDefault="008A2EC4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d)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Recykling i 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upcykling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w produkcji mebli i wyposażenia wnętrz</w:t>
      </w:r>
    </w:p>
    <w:p w:rsidR="00C83FDA" w:rsidRPr="00BB391F" w:rsidRDefault="008A2EC4" w:rsidP="00C83FDA">
      <w:pPr>
        <w:shd w:val="clear" w:color="auto" w:fill="FEFEFE"/>
        <w:spacing w:after="0" w:line="300" w:lineRule="atLeast"/>
        <w:ind w:left="567" w:firstLine="426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e) 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Przygotowanie i profesjonalizacja kadr dla obszaru specjalizacji.</w:t>
      </w:r>
    </w:p>
    <w:p w:rsidR="00D23397" w:rsidRPr="00BB391F" w:rsidRDefault="005C51D3" w:rsidP="00BB1A3B">
      <w:pPr>
        <w:shd w:val="clear" w:color="auto" w:fill="FEFEFE"/>
        <w:spacing w:after="0" w:line="276" w:lineRule="auto"/>
        <w:ind w:left="1134"/>
        <w:jc w:val="both"/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</w:pPr>
      <w:r w:rsidRPr="00BB391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3F796050" wp14:editId="2E70BACD">
            <wp:simplePos x="0" y="0"/>
            <wp:positionH relativeFrom="margin">
              <wp:posOffset>-104775</wp:posOffset>
            </wp:positionH>
            <wp:positionV relativeFrom="paragraph">
              <wp:posOffset>189230</wp:posOffset>
            </wp:positionV>
            <wp:extent cx="5429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221" y="21234"/>
                <wp:lineTo x="21221" y="0"/>
                <wp:lineTo x="0" y="0"/>
              </wp:wrapPolygon>
            </wp:wrapTight>
            <wp:docPr id="6" name="Obraz 6" descr="C:\Users\elizabeth.duda\Desktop\IS\ikona_inteligentne_specjalizacje_przemy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zabeth.duda\Desktop\IS\ikona_inteligentne_specjalizacje_przemys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3FDA" w:rsidRPr="00BB391F" w:rsidRDefault="00D23397" w:rsidP="005C51D3">
      <w:pPr>
        <w:shd w:val="clear" w:color="auto" w:fill="FEFEFE"/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 xml:space="preserve">Przemysł jutra 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– 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w Wielkopolsce koncentruje się branża produkcji i naprawy maszyn oraz urządzeń takich jak pojazdy i środki transportu, szczególnie przemysł motoryzacyjny. Rozwija się także branża lotnicza oraz pojazdów szynowych. Region ma tutaj znaczący potencjał produkcji wyspecjalizowanej oraz potencjał naukowo – badawczy w zakresie nowych technologii i materiałów możliwych do wykorzystania w produkcji maszyn i urządzeń. Rozwój tego obszaru obejmuje stosowanie zawansowanych procesów produkcyjnych i procesów specjalnych oraz wdrażanie produkcji zrównoważonej. W ramach obszaru rozwijane będą m.in.:</w:t>
      </w:r>
    </w:p>
    <w:p w:rsidR="00C83FDA" w:rsidRPr="008A2EC4" w:rsidRDefault="00C83FDA" w:rsidP="005C51D3">
      <w:pPr>
        <w:pStyle w:val="Akapitzlist"/>
        <w:numPr>
          <w:ilvl w:val="0"/>
          <w:numId w:val="5"/>
        </w:numPr>
        <w:shd w:val="clear" w:color="auto" w:fill="FEFEFE"/>
        <w:tabs>
          <w:tab w:val="left" w:pos="993"/>
        </w:tabs>
        <w:spacing w:after="0" w:line="300" w:lineRule="atLeast"/>
        <w:ind w:left="993" w:firstLine="0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8A2EC4">
        <w:rPr>
          <w:rFonts w:eastAsia="Times New Roman" w:cstheme="minorHAnsi"/>
          <w:color w:val="333333"/>
          <w:sz w:val="20"/>
          <w:szCs w:val="20"/>
          <w:lang w:eastAsia="pl-PL"/>
        </w:rPr>
        <w:t>Wyspecjalizowane technologie, maszyny, urządzenia i ich elementy dla przemysłu rolno-spożywczego, wyposażenia wnętrz i transportowego</w:t>
      </w:r>
    </w:p>
    <w:p w:rsidR="00C83FDA" w:rsidRPr="00BB391F" w:rsidRDefault="00C83FDA" w:rsidP="005C51D3">
      <w:pPr>
        <w:shd w:val="clear" w:color="auto" w:fill="FEFEFE"/>
        <w:tabs>
          <w:tab w:val="left" w:pos="1134"/>
        </w:tabs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·  Nowe technologie i materiały dla maszyn, urządzeń i środków transportu, w tym nanotechnologie oraz materiały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nano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- i </w:t>
      </w:r>
      <w:proofErr w:type="spellStart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mezoskopowe</w:t>
      </w:r>
      <w:proofErr w:type="spellEnd"/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;</w:t>
      </w:r>
    </w:p>
    <w:p w:rsidR="00C83FDA" w:rsidRPr="00BB391F" w:rsidRDefault="008A2EC4" w:rsidP="005C51D3">
      <w:pPr>
        <w:shd w:val="clear" w:color="auto" w:fill="FEFEFE"/>
        <w:tabs>
          <w:tab w:val="left" w:pos="1134"/>
        </w:tabs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b) </w:t>
      </w:r>
      <w:proofErr w:type="spellStart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Ekoinnowacyjne</w:t>
      </w:r>
      <w:proofErr w:type="spellEnd"/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środki transportu samochodow</w:t>
      </w: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ego i powietrznego oraz pojazdy 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i systemy komunikacji publicznej</w:t>
      </w:r>
    </w:p>
    <w:p w:rsidR="00C83FDA" w:rsidRPr="00BB391F" w:rsidRDefault="008A2EC4" w:rsidP="005C51D3">
      <w:pPr>
        <w:shd w:val="clear" w:color="auto" w:fill="FEFEFE"/>
        <w:tabs>
          <w:tab w:val="left" w:pos="1134"/>
        </w:tabs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c)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Zautomatyzowane, zrównoważone i zoptymalizowane procesy produkcyjne oraz sterowania i monitorowania</w:t>
      </w:r>
    </w:p>
    <w:p w:rsidR="00C83FDA" w:rsidRPr="00BB391F" w:rsidRDefault="00C83FDA" w:rsidP="005C51D3">
      <w:pPr>
        <w:shd w:val="clear" w:color="auto" w:fill="FEFEFE"/>
        <w:tabs>
          <w:tab w:val="left" w:pos="1134"/>
        </w:tabs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  Procesy specjalne – m.in.: obróbka cieplna, termomechaniczna, galwaniczna, spawalnictwo, obróbka plastyczna oraz metalurgia proszków;</w:t>
      </w:r>
    </w:p>
    <w:p w:rsidR="00C83FDA" w:rsidRPr="00BB391F" w:rsidRDefault="00C83FDA" w:rsidP="005C51D3">
      <w:pPr>
        <w:shd w:val="clear" w:color="auto" w:fill="FEFEFE"/>
        <w:tabs>
          <w:tab w:val="left" w:pos="1134"/>
        </w:tabs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  Innowacyjne procesy w przemyśle chemicznym (katalityczne, membranowe, niskoemisyjne i bezodpadowe);</w:t>
      </w:r>
    </w:p>
    <w:p w:rsidR="00C83FDA" w:rsidRPr="00BB391F" w:rsidRDefault="008A2EC4" w:rsidP="005C51D3">
      <w:pPr>
        <w:shd w:val="clear" w:color="auto" w:fill="FEFEFE"/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d)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Materiały z recyclingu i odzysku</w:t>
      </w:r>
    </w:p>
    <w:p w:rsidR="00C83FDA" w:rsidRPr="00BB391F" w:rsidRDefault="008A2EC4" w:rsidP="005C51D3">
      <w:pPr>
        <w:shd w:val="clear" w:color="auto" w:fill="FEFEFE"/>
        <w:spacing w:after="0" w:line="300" w:lineRule="atLeast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e) </w:t>
      </w:r>
      <w:r w:rsidR="00C83FDA" w:rsidRPr="00BB391F">
        <w:rPr>
          <w:rFonts w:eastAsia="Times New Roman" w:cstheme="minorHAnsi"/>
          <w:color w:val="333333"/>
          <w:sz w:val="20"/>
          <w:szCs w:val="20"/>
          <w:lang w:eastAsia="pl-PL"/>
        </w:rPr>
        <w:t>Przygotowanie i profesjonalizacja kadr dla obszaru specjalizacji.</w:t>
      </w:r>
    </w:p>
    <w:p w:rsidR="00D23397" w:rsidRPr="00BB391F" w:rsidRDefault="00D23397" w:rsidP="005C51D3">
      <w:pPr>
        <w:shd w:val="clear" w:color="auto" w:fill="FEFEFE"/>
        <w:spacing w:after="0" w:line="240" w:lineRule="auto"/>
        <w:ind w:left="993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:rsidR="005E7689" w:rsidRPr="00BB391F" w:rsidRDefault="005E7689" w:rsidP="00BB1A3B">
      <w:pPr>
        <w:shd w:val="clear" w:color="auto" w:fill="FEFEFE"/>
        <w:spacing w:after="0" w:line="276" w:lineRule="auto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:rsidR="00BB391F" w:rsidRPr="00BB391F" w:rsidRDefault="00BB1A3B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cstheme="minorHAnsi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 wp14:anchorId="35BB06DE" wp14:editId="6303358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61975" cy="509270"/>
            <wp:effectExtent l="0" t="0" r="9525" b="5080"/>
            <wp:wrapTight wrapText="bothSides">
              <wp:wrapPolygon edited="0">
                <wp:start x="0" y="0"/>
                <wp:lineTo x="0" y="21007"/>
                <wp:lineTo x="21234" y="21007"/>
                <wp:lineTo x="21234" y="0"/>
                <wp:lineTo x="0" y="0"/>
              </wp:wrapPolygon>
            </wp:wrapTight>
            <wp:docPr id="7" name="Obraz 7" descr="C:\Users\elizabeth.duda\Desktop\IS\ikona_inteligentne_specjalizacje_log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izabeth.duda\Desktop\IS\ikona_inteligentne_specjalizacje_logis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91F"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 xml:space="preserve"> </w:t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>Wyspecjalizowane procesy logistyczne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– logistyka, transport i gospodarka magazynowa są mocną stroną Wielkopolski, a branża logistyczna rozwija się w oparciu o dobrą lokalizację regionu zwiększającą jego atrakcyjność inwestycyjną. Obszar </w:t>
      </w:r>
      <w:r w:rsidR="00BB391F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Wyspecjalizowane procesy logistyczne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koncentruje się na wykorzystaniu tego potencjału do rozwoju wyspecjalizowanych usług i produktów logistycznych oraz zrównoważonych łańcuchów dostaw zwiększających poziom obsługi klientów biznesowych, a także procesów logistycznych wspierających mobilność regionalną, a w konsekwencji jakość życia mieszkańców. Rozwój obszaru obejmuje zarówno środki techniczne, jak i rozwój kadr i metod organizacji i zarządzania, szczególnie w zakresie wspierającym rozwój pozostałych specjalizacji regionu w kierunku zwiększania wartości dodanej w biznesie i podnoszenia jakości życia obywateli. W ramach obszaru rozwijane będą:</w:t>
      </w:r>
    </w:p>
    <w:p w:rsidR="00BB391F" w:rsidRPr="00BB391F" w:rsidRDefault="00BB391F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a)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S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pecjalistyczne rozwiązania logistyczne dla potrzeb MSP i handlu wielokanałowego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br/>
        <w:t>(w tym elektronicznego)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W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yspecjalizowane łańcuchy dostaw (w tym śledzenie, zarządzanie i konsolidacja ładunków oraz elektronizacja łańcuchów dostaw);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O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utsourcing logistyczny w oparciu o potencjał logistyczny regionu na rynkach regionalnym, krajowym i międzynarodowym;</w:t>
      </w:r>
    </w:p>
    <w:p w:rsidR="00BB391F" w:rsidRPr="00BB391F" w:rsidRDefault="00BB391F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b) 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U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sługi, technologie oraz produkty dla logistyk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i (w tym technologie formowania 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i konsolidacji jednostek ładunkowych)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I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nnowacyjne materiały dla transportu i logistyki (takie jak polimery i kompozyty do zabudowy przestrzeni ładunkowej);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c) I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nżynieria i informatyzacja procesów logistycznych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N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arzędzia optymalizacji i wspomagania decyzji w procesach logistycznych;</w:t>
      </w:r>
    </w:p>
    <w:p w:rsidR="00BB391F" w:rsidRPr="00BB391F" w:rsidRDefault="008A2EC4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S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ensory i </w:t>
      </w:r>
      <w:proofErr w:type="spellStart"/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geolokalizacja</w:t>
      </w:r>
      <w:proofErr w:type="spellEnd"/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, platformy wymiany danych logistycznych;</w:t>
      </w:r>
    </w:p>
    <w:p w:rsidR="00BB391F" w:rsidRPr="00BB391F" w:rsidRDefault="00BB391F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d)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T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ransport multimodalny dla zwiększania mobilności regionalnej</w:t>
      </w:r>
    </w:p>
    <w:p w:rsidR="00D23397" w:rsidRPr="00BB391F" w:rsidRDefault="00BB391F" w:rsidP="005C51D3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e)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P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rzygotowanie oraz specjalizacja kadr dla obszaru specjalizacji</w:t>
      </w:r>
      <w:r>
        <w:rPr>
          <w:rFonts w:eastAsia="Times New Roman" w:cstheme="minorHAnsi"/>
          <w:color w:val="333333"/>
          <w:sz w:val="20"/>
          <w:szCs w:val="20"/>
          <w:lang w:eastAsia="pl-PL"/>
        </w:rPr>
        <w:t>.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:rsidR="00BB391F" w:rsidRPr="00BB391F" w:rsidRDefault="00BB391F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</w:pPr>
    </w:p>
    <w:p w:rsidR="00BB391F" w:rsidRPr="00BB391F" w:rsidRDefault="00BB1A3B" w:rsidP="00BB391F">
      <w:pPr>
        <w:shd w:val="clear" w:color="auto" w:fill="FEFEFE"/>
        <w:spacing w:after="0" w:line="300" w:lineRule="atLeast"/>
        <w:ind w:left="1134" w:hanging="28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0D2A90A9" wp14:editId="34FC517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8102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246" y="20800"/>
                <wp:lineTo x="21246" y="0"/>
                <wp:lineTo x="0" y="0"/>
              </wp:wrapPolygon>
            </wp:wrapTight>
            <wp:docPr id="8" name="Obraz 8" descr="C:\Users\elizabeth.duda\Desktop\IS\ikona_inteligentne_specjalizacje_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izabeth.duda\Desktop\IS\ikona_inteligentne_specjalizacje_IC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>Rozwój oparty na ICT</w:t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</w:t>
      </w:r>
      <w:r w:rsidR="00D23397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– 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 Wielkopolsce dobrze rozwija się branża ICT, wykazując potencjał zarówno w produkcji komputerów i elektroniki, technologii informacyjno-komunikacyjnych, jak i zautomatyzowanych systemach dla biznesu. Obszar </w:t>
      </w:r>
      <w:r w:rsidR="00BB391F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Rozwój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BB391F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oparty na ICT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obejmuje dwie dziedziny: technologie dla innowacyjnych społeczności oraz biznesowe zastosowania ICT. Pierwsze z nich służą rozwojowi inteligentnego otoczenia człowieka w sferze prywatnej i publicznej. Wśród technologii dla innowacyjnych społeczności można wymienić zintegrowane systemy usług publicznych, np. inteligentne systemy transportowe, energetyczne, oświetleniowe oparte na wykorzystaniu Big Data, systemów zarządzania danymi, systemów osadzonych oraz działania w obszarze Smart City. Biznesowe zastosowania ICT odnoszą się w  szczególności do wyspecjalizowanych produktów i usług informatycznych wspierających rozwój pozostałych specjalizacji regionu. W ramach obszaru rozwijane będą m.in.: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a) A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plikacje, usługi i systemy ICT służące poprawie jakości życia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Z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integrowane systemy usług publicznych (np. inteligentne systemy transportowe, energetyczne, oświetleniowe, gospodarki odpadami z wykorzystaniem Big Data, systemów zarządzania danymi, działania w obszarze Smart City);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A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plikacje i urządzenia poprawiające jakość życia indywidualnych obywateli, w tym aplikacje mobilne;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N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owe zastosowania i dedykowane produkty ICT dla innowacyjnych społeczności;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· e-usługi publiczne, w tym e-administracja, e-kultura, e-zdrowie i e-edukacja;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lastRenderedPageBreak/>
        <w:t>b)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Z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aawansowane systemy dla biznesu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· P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rototypowanie nowoczesnych rozwiązań z wykorzystaniem ICT;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c)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S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pecjalistyczne narzędzia i produkty ICT dla obszarów specjalizacji regionu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d)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S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ystemy informatyczne do zarządzania złożoną infrastrukturą, systemy osadzone dla infrastruktury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276" w:hanging="142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e)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P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rzygotowanie i profesjonalizacja kadr dla obszaru specjalizacji.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134" w:hanging="28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:rsidR="00364665" w:rsidRPr="00BB391F" w:rsidRDefault="00364665" w:rsidP="00BB391F">
      <w:pPr>
        <w:shd w:val="clear" w:color="auto" w:fill="FEFEFE"/>
        <w:spacing w:after="0" w:line="276" w:lineRule="auto"/>
        <w:ind w:left="1134"/>
        <w:jc w:val="both"/>
        <w:rPr>
          <w:rFonts w:eastAsia="Times New Roman" w:cstheme="minorHAnsi"/>
          <w:color w:val="333333"/>
          <w:sz w:val="20"/>
          <w:szCs w:val="20"/>
          <w:u w:val="single"/>
          <w:lang w:eastAsia="pl-PL"/>
        </w:rPr>
      </w:pPr>
    </w:p>
    <w:p w:rsidR="00BB391F" w:rsidRPr="00BB391F" w:rsidRDefault="00BB1A3B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BB391F">
        <w:rPr>
          <w:rFonts w:eastAsia="Times New Roman" w:cstheme="minorHAnsi"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4ECE83FF" wp14:editId="63AA9CD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619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ight>
            <wp:docPr id="9" name="Obraz 9" descr="C:\Users\elizabeth.duda\Desktop\IS\ikona_inteligentne_specjalizacje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izabeth.duda\Desktop\IS\ikona_inteligentne_specjalizacje_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u w:val="single"/>
          <w:lang w:eastAsia="pl-PL"/>
        </w:rPr>
        <w:t>Nowoczesne technologie medyczne</w:t>
      </w:r>
      <w:r w:rsidR="00D23397" w:rsidRPr="00BB391F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</w:t>
      </w:r>
      <w:r w:rsidR="00D23397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– 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powolne starzenie się społeczeństwa oraz coraz częstsze występowanie chorób cywilizacyjnych obserwowane również w Wielkopolsce wymaga rozwoju nowych technologii w obszarze medy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cyny, farmacji, ochrony zdrowia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i profilaktyki. Obszar </w:t>
      </w:r>
      <w:r w:rsidR="00BB391F" w:rsidRPr="00BB391F">
        <w:rPr>
          <w:rFonts w:eastAsia="Times New Roman" w:cstheme="minorHAnsi"/>
          <w:i/>
          <w:color w:val="333333"/>
          <w:sz w:val="20"/>
          <w:szCs w:val="20"/>
          <w:lang w:eastAsia="pl-PL"/>
        </w:rPr>
        <w:t>Nowoczesne technologie medyczne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obejmuje nowe technologie pomocne w walce z chorobami rzadkimi i cywilizacyjnymi takimi jak choroby układu krążenia, układu nerwowego i choroby nowotworowe, a także technologie farmaceutyczne wykazujące potencjał komercjalizacji i odpowiadające na popyt ze strony przedsiębiorstw. W ramach obszaru rozwijane będą m.in.:</w:t>
      </w:r>
    </w:p>
    <w:p w:rsidR="00BB391F" w:rsidRPr="00BB391F" w:rsidRDefault="008A2EC4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a) M</w:t>
      </w:r>
      <w:r w:rsidR="00BB391F" w:rsidRPr="00BB391F">
        <w:rPr>
          <w:rFonts w:eastAsia="Times New Roman" w:cstheme="minorHAnsi"/>
          <w:color w:val="333333"/>
          <w:sz w:val="20"/>
          <w:szCs w:val="20"/>
          <w:lang w:eastAsia="pl-PL"/>
        </w:rPr>
        <w:t>edycyna spersonalizowana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b)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P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rodukty, usługi i nowe technologie związane z profilaktyką, diagnostyką i terapią chorób cywilizacyjnych oraz chorób rzadkich</w:t>
      </w:r>
    </w:p>
    <w:p w:rsidR="00BB391F" w:rsidRPr="00BB391F" w:rsidRDefault="00BB391F" w:rsidP="00BB391F">
      <w:pPr>
        <w:shd w:val="clear" w:color="auto" w:fill="FEFEFE"/>
        <w:spacing w:after="0" w:line="300" w:lineRule="atLeast"/>
        <w:ind w:left="1134"/>
        <w:jc w:val="both"/>
        <w:rPr>
          <w:rFonts w:eastAsia="Times New Roman" w:cstheme="minorHAnsi"/>
          <w:color w:val="333333"/>
          <w:sz w:val="20"/>
          <w:szCs w:val="20"/>
          <w:lang w:eastAsia="pl-PL"/>
        </w:rPr>
      </w:pPr>
      <w:r>
        <w:rPr>
          <w:rFonts w:eastAsia="Times New Roman" w:cstheme="minorHAnsi"/>
          <w:color w:val="333333"/>
          <w:sz w:val="20"/>
          <w:szCs w:val="20"/>
          <w:lang w:eastAsia="pl-PL"/>
        </w:rPr>
        <w:t>c) </w:t>
      </w:r>
      <w:r w:rsidR="008A2EC4">
        <w:rPr>
          <w:rFonts w:eastAsia="Times New Roman" w:cstheme="minorHAnsi"/>
          <w:color w:val="333333"/>
          <w:sz w:val="20"/>
          <w:szCs w:val="20"/>
          <w:lang w:eastAsia="pl-PL"/>
        </w:rPr>
        <w:t>N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owe metody wspomagające decyzje diagnostyczne i</w:t>
      </w:r>
      <w:r>
        <w:rPr>
          <w:rFonts w:eastAsia="Times New Roman" w:cstheme="minorHAnsi"/>
          <w:color w:val="333333"/>
          <w:sz w:val="20"/>
          <w:szCs w:val="20"/>
          <w:lang w:eastAsia="pl-PL"/>
        </w:rPr>
        <w:t xml:space="preserve"> lecznicze z wykorzystaniem ICT </w:t>
      </w:r>
      <w:r w:rsidRPr="00BB391F">
        <w:rPr>
          <w:rFonts w:eastAsia="Times New Roman" w:cstheme="minorHAnsi"/>
          <w:color w:val="333333"/>
          <w:sz w:val="20"/>
          <w:szCs w:val="20"/>
          <w:lang w:eastAsia="pl-PL"/>
        </w:rPr>
        <w:t>i Big Data.</w:t>
      </w:r>
    </w:p>
    <w:p w:rsidR="00BB391F" w:rsidRPr="00BB391F" w:rsidRDefault="00BB391F" w:rsidP="00BB391F">
      <w:pPr>
        <w:shd w:val="clear" w:color="auto" w:fill="FEFEFE"/>
        <w:spacing w:after="0" w:line="276" w:lineRule="auto"/>
        <w:ind w:left="1134"/>
        <w:jc w:val="both"/>
        <w:rPr>
          <w:rFonts w:eastAsia="Calibri" w:cstheme="minorHAnsi"/>
          <w:sz w:val="20"/>
          <w:szCs w:val="20"/>
          <w:lang w:eastAsia="zh-CN"/>
        </w:rPr>
      </w:pPr>
    </w:p>
    <w:p w:rsidR="005C51D3" w:rsidRDefault="005C51D3" w:rsidP="00BB391F">
      <w:pPr>
        <w:shd w:val="clear" w:color="auto" w:fill="FEFEFE"/>
        <w:spacing w:after="0" w:line="276" w:lineRule="auto"/>
        <w:ind w:left="1134"/>
        <w:jc w:val="both"/>
        <w:rPr>
          <w:rFonts w:eastAsia="Calibri" w:cstheme="minorHAnsi"/>
          <w:sz w:val="20"/>
          <w:szCs w:val="20"/>
          <w:lang w:eastAsia="zh-CN"/>
        </w:rPr>
      </w:pPr>
    </w:p>
    <w:p w:rsidR="00D23397" w:rsidRPr="00BB391F" w:rsidRDefault="00D23397" w:rsidP="00BB391F">
      <w:pPr>
        <w:shd w:val="clear" w:color="auto" w:fill="FEFEFE"/>
        <w:spacing w:after="0" w:line="276" w:lineRule="auto"/>
        <w:ind w:left="1134"/>
        <w:jc w:val="both"/>
        <w:rPr>
          <w:rFonts w:eastAsia="Calibri" w:cstheme="minorHAnsi"/>
          <w:sz w:val="20"/>
          <w:szCs w:val="20"/>
          <w:lang w:eastAsia="zh-CN"/>
        </w:rPr>
      </w:pPr>
      <w:r w:rsidRPr="00BB391F">
        <w:rPr>
          <w:rFonts w:eastAsia="Calibri" w:cstheme="minorHAnsi"/>
          <w:sz w:val="20"/>
          <w:szCs w:val="20"/>
          <w:lang w:eastAsia="zh-CN"/>
        </w:rPr>
        <w:t xml:space="preserve">Więcej informacji odnośnie Regionalnej Strategii Innowacji dla Wielkopolski na lata 2015-2020 na: </w:t>
      </w:r>
    </w:p>
    <w:p w:rsidR="005C51D3" w:rsidRDefault="005C51D3" w:rsidP="00BB1A3B">
      <w:pPr>
        <w:widowControl w:val="0"/>
        <w:suppressAutoHyphens/>
        <w:spacing w:after="200" w:line="276" w:lineRule="auto"/>
        <w:ind w:firstLine="142"/>
        <w:jc w:val="both"/>
        <w:rPr>
          <w:rFonts w:cstheme="minorHAnsi"/>
          <w:sz w:val="20"/>
          <w:szCs w:val="20"/>
        </w:rPr>
      </w:pPr>
    </w:p>
    <w:p w:rsidR="00D23397" w:rsidRPr="00BB391F" w:rsidRDefault="001470BE" w:rsidP="00BB1A3B">
      <w:pPr>
        <w:widowControl w:val="0"/>
        <w:suppressAutoHyphens/>
        <w:spacing w:after="200" w:line="276" w:lineRule="auto"/>
        <w:ind w:firstLine="142"/>
        <w:jc w:val="both"/>
        <w:rPr>
          <w:rFonts w:eastAsia="Calibri" w:cstheme="minorHAnsi"/>
          <w:color w:val="0563C1" w:themeColor="hyperlink"/>
          <w:sz w:val="20"/>
          <w:szCs w:val="20"/>
          <w:u w:val="single"/>
          <w:lang w:eastAsia="zh-CN"/>
        </w:rPr>
      </w:pPr>
      <w:hyperlink r:id="rId15" w:history="1">
        <w:r w:rsidR="00D23397" w:rsidRPr="00BB391F">
          <w:rPr>
            <w:rFonts w:eastAsia="Calibri" w:cstheme="minorHAnsi"/>
            <w:color w:val="0563C1" w:themeColor="hyperlink"/>
            <w:sz w:val="20"/>
            <w:szCs w:val="20"/>
            <w:u w:val="single"/>
            <w:lang w:eastAsia="zh-CN"/>
          </w:rPr>
          <w:t>http://iw.org.pl/regionalna-strategia-innowacji-dla-wielkopolski-na-lata-2015-2020-ris3/</w:t>
        </w:r>
      </w:hyperlink>
    </w:p>
    <w:p w:rsidR="00BB1A3B" w:rsidRPr="00BB391F" w:rsidRDefault="00BB1A3B" w:rsidP="00BB1A3B">
      <w:pPr>
        <w:spacing w:after="0" w:line="276" w:lineRule="auto"/>
        <w:rPr>
          <w:rFonts w:cstheme="minorHAnsi"/>
          <w:b/>
          <w:color w:val="FF0000"/>
          <w:sz w:val="20"/>
          <w:szCs w:val="20"/>
        </w:rPr>
      </w:pPr>
    </w:p>
    <w:p w:rsidR="00BB1A3B" w:rsidRPr="00BB391F" w:rsidRDefault="00BB1A3B" w:rsidP="00BB1A3B">
      <w:pPr>
        <w:jc w:val="center"/>
        <w:outlineLvl w:val="0"/>
        <w:rPr>
          <w:rFonts w:cstheme="minorHAnsi"/>
          <w:sz w:val="20"/>
          <w:szCs w:val="20"/>
        </w:rPr>
      </w:pPr>
      <w:r w:rsidRPr="00BB391F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3D5D1FC4" wp14:editId="38986BEF">
            <wp:extent cx="133350" cy="76200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1F">
        <w:rPr>
          <w:rFonts w:cstheme="minorHAnsi"/>
          <w:sz w:val="20"/>
          <w:szCs w:val="20"/>
        </w:rPr>
        <w:t xml:space="preserve"> </w:t>
      </w:r>
      <w:hyperlink r:id="rId17" w:history="1">
        <w:r w:rsidRPr="00BB391F">
          <w:rPr>
            <w:rStyle w:val="Hipercze"/>
            <w:rFonts w:cstheme="minorHAnsi"/>
            <w:color w:val="auto"/>
            <w:sz w:val="20"/>
            <w:szCs w:val="20"/>
            <w:u w:val="none"/>
          </w:rPr>
          <w:t>www.umww.p</w:t>
        </w:r>
        <w:r w:rsidRPr="00BB391F">
          <w:rPr>
            <w:rStyle w:val="Hipercze"/>
            <w:rFonts w:cstheme="minorHAnsi"/>
            <w:noProof/>
            <w:color w:val="auto"/>
            <w:sz w:val="20"/>
            <w:szCs w:val="20"/>
            <w:u w:val="none"/>
            <w:lang w:eastAsia="pl-PL"/>
          </w:rPr>
          <w:t>l</w:t>
        </w:r>
      </w:hyperlink>
      <w:r w:rsidRPr="00BB391F">
        <w:rPr>
          <w:rFonts w:cstheme="minorHAnsi"/>
          <w:noProof/>
          <w:sz w:val="20"/>
          <w:szCs w:val="20"/>
          <w:lang w:eastAsia="pl-PL"/>
        </w:rPr>
        <w:t xml:space="preserve"> </w:t>
      </w:r>
      <w:r w:rsidRPr="00BB391F">
        <w:rPr>
          <w:rFonts w:cstheme="minorHAnsi"/>
          <w:noProof/>
          <w:sz w:val="20"/>
          <w:szCs w:val="20"/>
          <w:lang w:eastAsia="pl-PL"/>
        </w:rPr>
        <w:tab/>
      </w:r>
      <w:r w:rsidRPr="00BB391F">
        <w:rPr>
          <w:rFonts w:cstheme="minorHAnsi"/>
          <w:noProof/>
          <w:sz w:val="20"/>
          <w:szCs w:val="20"/>
          <w:lang w:eastAsia="pl-PL"/>
        </w:rPr>
        <w:drawing>
          <wp:inline distT="0" distB="0" distL="0" distR="0" wp14:anchorId="4A717F79" wp14:editId="7F342204">
            <wp:extent cx="133350" cy="762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91F">
        <w:rPr>
          <w:rFonts w:cstheme="minorHAnsi"/>
          <w:sz w:val="20"/>
          <w:szCs w:val="20"/>
        </w:rPr>
        <w:t>www.iw.org.pl</w:t>
      </w:r>
    </w:p>
    <w:bookmarkEnd w:id="0"/>
    <w:p w:rsidR="00170794" w:rsidRPr="00BB391F" w:rsidRDefault="00170794" w:rsidP="000A77B1">
      <w:pPr>
        <w:outlineLvl w:val="0"/>
        <w:rPr>
          <w:rFonts w:cstheme="minorHAnsi"/>
          <w:sz w:val="20"/>
          <w:szCs w:val="20"/>
        </w:rPr>
      </w:pPr>
    </w:p>
    <w:sectPr w:rsidR="00170794" w:rsidRPr="00BB391F" w:rsidSect="00170794">
      <w:footerReference w:type="default" r:id="rId18"/>
      <w:pgSz w:w="11906" w:h="16838"/>
      <w:pgMar w:top="1417" w:right="1417" w:bottom="1417" w:left="1417" w:header="284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BE" w:rsidRDefault="001470BE" w:rsidP="00170794">
      <w:pPr>
        <w:spacing w:after="0" w:line="240" w:lineRule="auto"/>
      </w:pPr>
      <w:r>
        <w:separator/>
      </w:r>
    </w:p>
  </w:endnote>
  <w:endnote w:type="continuationSeparator" w:id="0">
    <w:p w:rsidR="001470BE" w:rsidRDefault="001470BE" w:rsidP="0017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98099"/>
      <w:docPartObj>
        <w:docPartGallery w:val="Page Numbers (Bottom of Page)"/>
        <w:docPartUnique/>
      </w:docPartObj>
    </w:sdtPr>
    <w:sdtContent>
      <w:p w:rsidR="005E1C77" w:rsidRDefault="005E1C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AE">
          <w:rPr>
            <w:noProof/>
          </w:rPr>
          <w:t>4</w:t>
        </w:r>
        <w:r>
          <w:fldChar w:fldCharType="end"/>
        </w:r>
      </w:p>
    </w:sdtContent>
  </w:sdt>
  <w:p w:rsidR="00170794" w:rsidRPr="00170794" w:rsidRDefault="00170794" w:rsidP="00170794">
    <w:pPr>
      <w:spacing w:after="0"/>
      <w:jc w:val="center"/>
      <w:rPr>
        <w:rFonts w:ascii="Garamond" w:hAnsi="Garamond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BE" w:rsidRDefault="001470BE" w:rsidP="00170794">
      <w:pPr>
        <w:spacing w:after="0" w:line="240" w:lineRule="auto"/>
      </w:pPr>
      <w:r>
        <w:separator/>
      </w:r>
    </w:p>
  </w:footnote>
  <w:footnote w:type="continuationSeparator" w:id="0">
    <w:p w:rsidR="001470BE" w:rsidRDefault="001470BE" w:rsidP="0017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206F"/>
    <w:multiLevelType w:val="hybridMultilevel"/>
    <w:tmpl w:val="7D36D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7C94"/>
    <w:multiLevelType w:val="hybridMultilevel"/>
    <w:tmpl w:val="36A6D264"/>
    <w:lvl w:ilvl="0" w:tplc="DF3815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231811"/>
    <w:multiLevelType w:val="hybridMultilevel"/>
    <w:tmpl w:val="93885FA0"/>
    <w:lvl w:ilvl="0" w:tplc="0415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61292FF8"/>
    <w:multiLevelType w:val="hybridMultilevel"/>
    <w:tmpl w:val="B5CA8FC4"/>
    <w:lvl w:ilvl="0" w:tplc="7A3485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6D5090F"/>
    <w:multiLevelType w:val="hybridMultilevel"/>
    <w:tmpl w:val="E9A04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94"/>
    <w:rsid w:val="00064E94"/>
    <w:rsid w:val="000A77B1"/>
    <w:rsid w:val="001350B6"/>
    <w:rsid w:val="001470BE"/>
    <w:rsid w:val="00170794"/>
    <w:rsid w:val="001C55BC"/>
    <w:rsid w:val="0024538C"/>
    <w:rsid w:val="00364665"/>
    <w:rsid w:val="00386648"/>
    <w:rsid w:val="00395D0F"/>
    <w:rsid w:val="004426FC"/>
    <w:rsid w:val="004879C0"/>
    <w:rsid w:val="00495152"/>
    <w:rsid w:val="00531CFF"/>
    <w:rsid w:val="005472E7"/>
    <w:rsid w:val="00585585"/>
    <w:rsid w:val="005B3408"/>
    <w:rsid w:val="005B67E0"/>
    <w:rsid w:val="005C51D3"/>
    <w:rsid w:val="005E1C77"/>
    <w:rsid w:val="005E7689"/>
    <w:rsid w:val="00603FB5"/>
    <w:rsid w:val="00667DB2"/>
    <w:rsid w:val="006766B6"/>
    <w:rsid w:val="00684E55"/>
    <w:rsid w:val="00694C5C"/>
    <w:rsid w:val="007302FB"/>
    <w:rsid w:val="008A2EC4"/>
    <w:rsid w:val="008F50EA"/>
    <w:rsid w:val="00971B94"/>
    <w:rsid w:val="009772C7"/>
    <w:rsid w:val="009C5C6E"/>
    <w:rsid w:val="00A64714"/>
    <w:rsid w:val="00AD34AE"/>
    <w:rsid w:val="00BB1A3B"/>
    <w:rsid w:val="00BB391F"/>
    <w:rsid w:val="00C83FDA"/>
    <w:rsid w:val="00C8788B"/>
    <w:rsid w:val="00CA0F7A"/>
    <w:rsid w:val="00CE6F54"/>
    <w:rsid w:val="00D04CC4"/>
    <w:rsid w:val="00D23397"/>
    <w:rsid w:val="00E03ED3"/>
    <w:rsid w:val="00F02D31"/>
    <w:rsid w:val="00F47F12"/>
    <w:rsid w:val="00F524FF"/>
    <w:rsid w:val="00F7706E"/>
    <w:rsid w:val="00F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2980D"/>
  <w15:chartTrackingRefBased/>
  <w15:docId w15:val="{377B3A6E-524A-4F7A-A73F-F13EB320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6F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94"/>
  </w:style>
  <w:style w:type="paragraph" w:styleId="Stopka">
    <w:name w:val="footer"/>
    <w:basedOn w:val="Normalny"/>
    <w:link w:val="StopkaZnak"/>
    <w:uiPriority w:val="99"/>
    <w:unhideWhenUsed/>
    <w:rsid w:val="0017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94"/>
  </w:style>
  <w:style w:type="character" w:styleId="Hipercze">
    <w:name w:val="Hyperlink"/>
    <w:basedOn w:val="Domylnaczcionkaakapitu"/>
    <w:uiPriority w:val="99"/>
    <w:unhideWhenUsed/>
    <w:rsid w:val="001707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66B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6F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umw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iw.org.pl/regionalna-strategia-innowacji-dla-wielkopolski-na-lata-2015-2020-ris3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69E6-9136-425E-B7D4-0AC46E1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Orlik Katarzyna</dc:creator>
  <cp:keywords/>
  <dc:description/>
  <cp:lastModifiedBy>Gielniak Malgorzata</cp:lastModifiedBy>
  <cp:revision>14</cp:revision>
  <cp:lastPrinted>2018-03-14T11:08:00Z</cp:lastPrinted>
  <dcterms:created xsi:type="dcterms:W3CDTF">2018-03-14T11:04:00Z</dcterms:created>
  <dcterms:modified xsi:type="dcterms:W3CDTF">2018-04-03T06:45:00Z</dcterms:modified>
</cp:coreProperties>
</file>