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327437">
        <w:rPr>
          <w:rFonts w:ascii="Garamond" w:hAnsi="Garamond"/>
          <w:b/>
        </w:rPr>
        <w:t xml:space="preserve"> </w:t>
      </w:r>
      <w:r w:rsidR="006B3343" w:rsidRPr="002765BC">
        <w:rPr>
          <w:rFonts w:ascii="Garamond" w:hAnsi="Garamond"/>
          <w:b/>
        </w:rPr>
        <w:t>„</w:t>
      </w:r>
      <w:proofErr w:type="spellStart"/>
      <w:r w:rsidR="006B3343" w:rsidRPr="002765BC">
        <w:rPr>
          <w:rFonts w:ascii="Garamond" w:hAnsi="Garamond"/>
          <w:b/>
        </w:rPr>
        <w:t>Biosurowce</w:t>
      </w:r>
      <w:proofErr w:type="spellEnd"/>
      <w:r w:rsidR="006B3343" w:rsidRPr="002765BC">
        <w:rPr>
          <w:rFonts w:ascii="Garamond" w:hAnsi="Garamond"/>
          <w:b/>
        </w:rPr>
        <w:t xml:space="preserve"> i żywność dla świadomych konsumentów”, „Przemysł Jutra”, „Wnętrza przyszłości, „Wyspecjalizowane procesy logistyczne”, </w:t>
      </w:r>
      <w:r w:rsidR="006B3343" w:rsidRPr="002765BC">
        <w:rPr>
          <w:rFonts w:ascii="Garamond" w:hAnsi="Garamond"/>
          <w:b/>
        </w:rPr>
        <w:br/>
        <w:t>„Rozwój oparty na ICT” oraz „Nowoczesne technologie medyczne”.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proofErr w:type="spellStart"/>
      <w:r w:rsidR="00771F0D">
        <w:rPr>
          <w:rFonts w:ascii="Garamond" w:hAnsi="Garamond"/>
          <w:b/>
          <w:lang w:val="en-US"/>
        </w:rPr>
        <w:t>wielobranżowe</w:t>
      </w:r>
      <w:proofErr w:type="spellEnd"/>
      <w:r w:rsidR="00771F0D">
        <w:rPr>
          <w:rFonts w:ascii="Garamond" w:hAnsi="Garamond"/>
          <w:b/>
          <w:lang w:val="en-US"/>
        </w:rPr>
        <w:t xml:space="preserve"> </w:t>
      </w:r>
      <w:r w:rsidR="006B3343">
        <w:rPr>
          <w:rFonts w:ascii="Garamond" w:hAnsi="Garamond"/>
          <w:b/>
          <w:lang w:val="en-US"/>
        </w:rPr>
        <w:t>EXPOCOMER 2019</w:t>
      </w:r>
      <w:r w:rsidRPr="00327437">
        <w:rPr>
          <w:rFonts w:ascii="Garamond" w:hAnsi="Garamond"/>
          <w:b/>
          <w:lang w:val="en-US"/>
        </w:rPr>
        <w:t xml:space="preserve">, </w:t>
      </w:r>
      <w:r w:rsidR="006B3343">
        <w:rPr>
          <w:rFonts w:ascii="Garamond" w:hAnsi="Garamond"/>
          <w:b/>
          <w:lang w:val="en-US"/>
        </w:rPr>
        <w:t>Panama</w:t>
      </w:r>
      <w:r w:rsidRPr="00327437">
        <w:rPr>
          <w:rFonts w:ascii="Garamond" w:hAnsi="Garamond"/>
          <w:b/>
          <w:lang w:val="en-US"/>
        </w:rPr>
        <w:t>,</w:t>
      </w:r>
      <w:r w:rsidR="006B3343">
        <w:rPr>
          <w:rFonts w:ascii="Garamond" w:hAnsi="Garamond"/>
          <w:b/>
          <w:lang w:val="en-US"/>
        </w:rPr>
        <w:t xml:space="preserve"> Panama City </w:t>
      </w:r>
      <w:r w:rsidR="00B970C0">
        <w:rPr>
          <w:rFonts w:ascii="Garamond" w:hAnsi="Garamond"/>
          <w:b/>
          <w:lang w:val="en-US"/>
        </w:rPr>
        <w:t xml:space="preserve">w </w:t>
      </w:r>
      <w:proofErr w:type="spellStart"/>
      <w:r w:rsidR="00B970C0">
        <w:rPr>
          <w:rFonts w:ascii="Garamond" w:hAnsi="Garamond"/>
          <w:b/>
          <w:lang w:val="en-US"/>
        </w:rPr>
        <w:t>dniach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 w:rsidR="006B3343">
        <w:rPr>
          <w:rFonts w:ascii="Garamond" w:hAnsi="Garamond"/>
          <w:b/>
          <w:lang w:val="en-US"/>
        </w:rPr>
        <w:t>27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–</w:t>
      </w:r>
      <w:r w:rsidRPr="00327437">
        <w:rPr>
          <w:rFonts w:ascii="Garamond" w:hAnsi="Garamond"/>
          <w:b/>
        </w:rPr>
        <w:t xml:space="preserve"> </w:t>
      </w:r>
      <w:r w:rsidR="006B3343">
        <w:rPr>
          <w:rFonts w:ascii="Garamond" w:hAnsi="Garamond"/>
          <w:b/>
        </w:rPr>
        <w:t>30.03</w:t>
      </w:r>
      <w:r w:rsidR="00847417">
        <w:rPr>
          <w:rFonts w:ascii="Garamond" w:hAnsi="Garamond"/>
          <w:b/>
        </w:rPr>
        <w:t>.</w:t>
      </w:r>
      <w:r w:rsidR="006B3343">
        <w:rPr>
          <w:rFonts w:ascii="Garamond" w:hAnsi="Garamond"/>
          <w:b/>
        </w:rPr>
        <w:t>2019</w:t>
      </w:r>
      <w:r w:rsidRPr="00327437">
        <w:rPr>
          <w:rFonts w:ascii="Garamond" w:hAnsi="Garamond"/>
          <w:b/>
        </w:rPr>
        <w:t xml:space="preserve">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1E2C31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3E0BBF" w:rsidRDefault="003E0BBF" w:rsidP="003E0BBF">
      <w:pPr>
        <w:pStyle w:val="Default"/>
        <w:tabs>
          <w:tab w:val="left" w:pos="1134"/>
        </w:tabs>
        <w:spacing w:before="40"/>
        <w:ind w:left="709"/>
        <w:rPr>
          <w:rFonts w:ascii="Garamond" w:hAnsi="Garamond" w:cs="Times New Roman"/>
          <w:bCs/>
          <w:color w:val="auto"/>
        </w:rPr>
      </w:pPr>
    </w:p>
    <w:p w:rsidR="003E0BBF" w:rsidRPr="003E0BBF" w:rsidRDefault="003E0BBF" w:rsidP="003E0BBF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 xml:space="preserve"> „Przemysł Jutra”</w:t>
      </w:r>
      <w:r w:rsidRPr="00610824">
        <w:rPr>
          <w:rFonts w:ascii="Garamond" w:hAnsi="Garamond" w:cs="Times New Roman"/>
          <w:b/>
          <w:bCs/>
          <w:color w:val="auto"/>
        </w:rPr>
        <w:t>: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3E0BBF" w:rsidRPr="00A35442" w:rsidRDefault="003E0BBF" w:rsidP="003E0BBF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lastRenderedPageBreak/>
        <w:t>Sekcja E dział 38,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3E0BBF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3E0BBF" w:rsidRDefault="003E0BBF" w:rsidP="003E0BBF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3E0BBF" w:rsidRPr="00610824" w:rsidRDefault="003E0BBF" w:rsidP="003E0BBF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3E0BBF" w:rsidRPr="00610824" w:rsidRDefault="003E0BBF" w:rsidP="003E0BBF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3E0BBF" w:rsidRDefault="003E0BBF" w:rsidP="003E0BBF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3E0BBF" w:rsidRDefault="003E0BBF" w:rsidP="003E0BBF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3E0BBF" w:rsidRDefault="003E0BBF" w:rsidP="003E0BBF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3E0BBF" w:rsidRPr="001F5997" w:rsidRDefault="003E0BBF" w:rsidP="003E0BBF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3E0BBF" w:rsidRPr="00610824" w:rsidRDefault="003E0BBF" w:rsidP="003E0BBF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3E0BBF" w:rsidRPr="00610824" w:rsidRDefault="003E0BBF" w:rsidP="003E0BBF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3E0BBF" w:rsidRPr="00610824" w:rsidRDefault="003E0BBF" w:rsidP="003E0BBF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3E0BBF" w:rsidRPr="00610824" w:rsidRDefault="003E0BBF" w:rsidP="003E0BBF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3E0BBF" w:rsidRDefault="003E0BBF" w:rsidP="003E0BBF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3E0BBF" w:rsidRDefault="003E0BBF" w:rsidP="003E0BB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3E0BBF" w:rsidRPr="001F5997" w:rsidRDefault="003E0BBF" w:rsidP="003E0BBF">
      <w:pPr>
        <w:pStyle w:val="Default"/>
        <w:numPr>
          <w:ilvl w:val="0"/>
          <w:numId w:val="22"/>
        </w:numPr>
        <w:tabs>
          <w:tab w:val="left" w:pos="1134"/>
        </w:tabs>
        <w:rPr>
          <w:rFonts w:ascii="Garamond" w:hAnsi="Garamond" w:cs="Times New Roman"/>
          <w:b/>
          <w:bCs/>
          <w:color w:val="auto"/>
        </w:rPr>
      </w:pPr>
      <w:r w:rsidRPr="001F5997">
        <w:rPr>
          <w:rFonts w:ascii="Garamond" w:hAnsi="Garamond" w:cs="Times New Roman"/>
          <w:b/>
          <w:bCs/>
          <w:color w:val="auto"/>
        </w:rPr>
        <w:t>„Wyspecjalizowane procesy logistyczne”</w:t>
      </w:r>
      <w:r>
        <w:rPr>
          <w:rFonts w:ascii="Garamond" w:hAnsi="Garamond" w:cs="Times New Roman"/>
          <w:b/>
          <w:bCs/>
          <w:color w:val="auto"/>
        </w:rPr>
        <w:t>:</w:t>
      </w:r>
    </w:p>
    <w:p w:rsidR="003E0BBF" w:rsidRPr="001F5997" w:rsidRDefault="003E0BBF" w:rsidP="003E0BBF">
      <w:pPr>
        <w:pStyle w:val="Default"/>
        <w:numPr>
          <w:ilvl w:val="0"/>
          <w:numId w:val="33"/>
        </w:numPr>
        <w:tabs>
          <w:tab w:val="left" w:pos="1418"/>
        </w:tabs>
        <w:ind w:hanging="873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H, działy 49-52,</w:t>
      </w:r>
    </w:p>
    <w:p w:rsidR="003E0BBF" w:rsidRPr="001F5997" w:rsidRDefault="003E0BBF" w:rsidP="003E0BBF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3E0BBF" w:rsidRDefault="003E0BBF" w:rsidP="003E0BBF">
      <w:pPr>
        <w:pStyle w:val="Default"/>
        <w:numPr>
          <w:ilvl w:val="0"/>
          <w:numId w:val="28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C dział 26-27</w:t>
      </w:r>
      <w:r>
        <w:rPr>
          <w:rFonts w:ascii="Garamond" w:hAnsi="Garamond" w:cs="Times New Roman"/>
          <w:bCs/>
          <w:color w:val="auto"/>
        </w:rPr>
        <w:t>,</w:t>
      </w:r>
      <w:r w:rsidRPr="001F5997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28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C 28, 33</w:t>
      </w:r>
      <w:r>
        <w:rPr>
          <w:rFonts w:ascii="Garamond" w:hAnsi="Garamond" w:cs="Times New Roman"/>
          <w:bCs/>
          <w:color w:val="auto"/>
        </w:rPr>
        <w:t>,</w:t>
      </w:r>
      <w:r w:rsidRPr="001F5997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28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C dział 29, 30</w:t>
      </w:r>
      <w:r>
        <w:rPr>
          <w:rFonts w:ascii="Garamond" w:hAnsi="Garamond" w:cs="Times New Roman"/>
          <w:bCs/>
          <w:color w:val="auto"/>
        </w:rPr>
        <w:t>,</w:t>
      </w:r>
    </w:p>
    <w:p w:rsidR="003E0BBF" w:rsidRDefault="003E0BBF" w:rsidP="003E0BBF">
      <w:pPr>
        <w:pStyle w:val="Default"/>
        <w:numPr>
          <w:ilvl w:val="0"/>
          <w:numId w:val="28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J dział 62</w:t>
      </w:r>
      <w:r>
        <w:rPr>
          <w:rFonts w:ascii="Garamond" w:hAnsi="Garamond" w:cs="Times New Roman"/>
          <w:bCs/>
          <w:color w:val="auto"/>
        </w:rPr>
        <w:t>,</w:t>
      </w:r>
      <w:r w:rsidRPr="001F5997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28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M dział 71-72.</w:t>
      </w:r>
    </w:p>
    <w:p w:rsidR="003E0BBF" w:rsidRDefault="003E0BBF" w:rsidP="003E0BB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3E0BBF" w:rsidRDefault="003E0BBF" w:rsidP="003E0BBF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3E0BBF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Pr="00CE1CCA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3E0BBF" w:rsidRPr="001F5997" w:rsidRDefault="003E0BBF" w:rsidP="003E0BBF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3E0BBF" w:rsidRDefault="003E0BBF" w:rsidP="003E0BBF">
      <w:pPr>
        <w:pStyle w:val="Default"/>
        <w:tabs>
          <w:tab w:val="left" w:pos="1418"/>
        </w:tabs>
        <w:rPr>
          <w:rFonts w:ascii="Garamond" w:hAnsi="Garamond" w:cs="Times New Roman"/>
          <w:bCs/>
          <w:color w:val="auto"/>
        </w:rPr>
      </w:pPr>
    </w:p>
    <w:p w:rsidR="003E0BBF" w:rsidRDefault="003E0BBF" w:rsidP="003E0BBF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„N</w:t>
      </w:r>
      <w:r>
        <w:rPr>
          <w:rFonts w:ascii="Garamond" w:hAnsi="Garamond"/>
          <w:b/>
        </w:rPr>
        <w:t>owoczesne technologie medyczne”</w:t>
      </w:r>
      <w:r w:rsidRPr="00CE1CCA">
        <w:rPr>
          <w:rFonts w:ascii="Garamond" w:hAnsi="Garamond"/>
          <w:b/>
        </w:rPr>
        <w:t>:</w:t>
      </w:r>
    </w:p>
    <w:p w:rsidR="003E0BBF" w:rsidRDefault="003E0BBF" w:rsidP="003E0BBF">
      <w:pPr>
        <w:pStyle w:val="Default"/>
        <w:numPr>
          <w:ilvl w:val="0"/>
          <w:numId w:val="31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 xml:space="preserve">Sekcja C dział 21 </w:t>
      </w:r>
    </w:p>
    <w:p w:rsidR="003E0BBF" w:rsidRPr="00CE1CCA" w:rsidRDefault="003E0BBF" w:rsidP="003E0BBF">
      <w:pPr>
        <w:pStyle w:val="Default"/>
        <w:numPr>
          <w:ilvl w:val="0"/>
          <w:numId w:val="31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Q dział 86,</w:t>
      </w:r>
    </w:p>
    <w:p w:rsidR="003E0BBF" w:rsidRPr="001F5997" w:rsidRDefault="003E0BBF" w:rsidP="003E0BBF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3E0BBF" w:rsidRDefault="003E0BBF" w:rsidP="003E0BBF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26-28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62-63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Pr="00CE1CCA" w:rsidRDefault="003E0BBF" w:rsidP="003E0BBF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72, 74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3E0BBF" w:rsidRDefault="003E0BBF" w:rsidP="003E0BBF">
      <w:pPr>
        <w:pStyle w:val="Default"/>
        <w:tabs>
          <w:tab w:val="left" w:pos="1134"/>
        </w:tabs>
        <w:spacing w:before="40"/>
        <w:ind w:left="709"/>
        <w:rPr>
          <w:rFonts w:ascii="Garamond" w:hAnsi="Garamond" w:cs="Times New Roman"/>
          <w:bCs/>
          <w:color w:val="auto"/>
        </w:rPr>
      </w:pPr>
    </w:p>
    <w:p w:rsidR="003E0BBF" w:rsidRDefault="003E0BBF" w:rsidP="003E0BBF">
      <w:pPr>
        <w:pStyle w:val="Default"/>
        <w:tabs>
          <w:tab w:val="left" w:pos="1134"/>
        </w:tabs>
        <w:spacing w:before="40"/>
        <w:ind w:left="709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</w:t>
      </w:r>
      <w:r w:rsidRPr="005F7293">
        <w:rPr>
          <w:rStyle w:val="Uwydatnienie"/>
          <w:rFonts w:ascii="Garamond" w:hAnsi="Garamond"/>
          <w:i w:val="0"/>
        </w:rPr>
        <w:lastRenderedPageBreak/>
        <w:t xml:space="preserve">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A94975" w:rsidP="001242FF">
      <w:pPr>
        <w:pStyle w:val="NormalnyWeb"/>
        <w:spacing w:before="120" w:beforeAutospacing="0" w:after="120" w:afterAutospacing="0"/>
        <w:ind w:left="3398" w:firstLine="142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  </w:t>
      </w:r>
      <w:r w:rsidR="001242FF"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konsumentów”, „Przemysł Jutra”, „Wnętrza przyszłości, „Wyspecjalizowane procesy logistyczne”, „Rozwój oparty na ICT”</w:t>
      </w:r>
      <w:r w:rsidR="00D03A4D">
        <w:t xml:space="preserve"> </w:t>
      </w:r>
      <w:r w:rsidR="00D03A4D" w:rsidRPr="002765BC">
        <w:rPr>
          <w:rFonts w:ascii="Garamond" w:hAnsi="Garamond"/>
        </w:rPr>
        <w:t xml:space="preserve">oraz „Nowoczesne technologie medyczne” </w:t>
      </w:r>
      <w:r w:rsidR="00886FAA">
        <w:rPr>
          <w:rFonts w:ascii="Garamond" w:hAnsi="Garamond"/>
        </w:rPr>
        <w:t xml:space="preserve"> udział w targach </w:t>
      </w:r>
      <w:r w:rsidR="00727325" w:rsidRPr="00727325">
        <w:rPr>
          <w:rFonts w:ascii="Garamond" w:hAnsi="Garamond"/>
          <w:b/>
        </w:rPr>
        <w:t>wielobranżowych</w:t>
      </w:r>
      <w:r w:rsidR="00727325">
        <w:rPr>
          <w:rFonts w:ascii="Garamond" w:hAnsi="Garamond"/>
        </w:rPr>
        <w:t xml:space="preserve"> </w:t>
      </w:r>
      <w:r w:rsidR="00D03A4D">
        <w:rPr>
          <w:rFonts w:ascii="Garamond" w:hAnsi="Garamond"/>
          <w:b/>
        </w:rPr>
        <w:t>EXPOCOMER 2019</w:t>
      </w:r>
      <w:r w:rsidR="00327437" w:rsidRPr="00327437">
        <w:rPr>
          <w:rFonts w:ascii="Garamond" w:hAnsi="Garamond"/>
          <w:b/>
        </w:rPr>
        <w:t xml:space="preserve">, </w:t>
      </w:r>
      <w:r w:rsidR="00D03A4D">
        <w:rPr>
          <w:rFonts w:ascii="Garamond" w:hAnsi="Garamond"/>
          <w:b/>
        </w:rPr>
        <w:t>27</w:t>
      </w:r>
      <w:r w:rsidR="00327437" w:rsidRPr="00327437">
        <w:rPr>
          <w:rFonts w:ascii="Garamond" w:hAnsi="Garamond"/>
          <w:b/>
        </w:rPr>
        <w:t xml:space="preserve"> - </w:t>
      </w:r>
      <w:r w:rsidR="00D03A4D">
        <w:rPr>
          <w:rFonts w:ascii="Garamond" w:hAnsi="Garamond"/>
          <w:b/>
        </w:rPr>
        <w:t>30</w:t>
      </w:r>
      <w:r w:rsidR="00327437" w:rsidRPr="00327437">
        <w:rPr>
          <w:rFonts w:ascii="Garamond" w:hAnsi="Garamond"/>
          <w:b/>
        </w:rPr>
        <w:t xml:space="preserve"> </w:t>
      </w:r>
      <w:r w:rsidR="00D03A4D">
        <w:rPr>
          <w:rFonts w:ascii="Garamond" w:hAnsi="Garamond"/>
          <w:b/>
        </w:rPr>
        <w:t>marca 2019</w:t>
      </w:r>
      <w:r w:rsidR="00327437" w:rsidRPr="00327437">
        <w:rPr>
          <w:rFonts w:ascii="Garamond" w:hAnsi="Garamond"/>
          <w:b/>
        </w:rPr>
        <w:t xml:space="preserve"> r.</w:t>
      </w:r>
      <w:r w:rsidR="00DF6629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D03A4D">
        <w:rPr>
          <w:rFonts w:ascii="Garamond" w:hAnsi="Garamond"/>
          <w:b/>
        </w:rPr>
        <w:t>Panama, Panama City.</w:t>
      </w:r>
    </w:p>
    <w:p w:rsidR="00D26CE0" w:rsidRPr="00A35442" w:rsidRDefault="001242FF" w:rsidP="001242FF">
      <w:pPr>
        <w:pStyle w:val="NormalnyWeb"/>
        <w:spacing w:before="120" w:beforeAutospacing="0" w:after="120" w:afterAutospacing="0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A94975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73166A">
        <w:rPr>
          <w:rStyle w:val="Uwydatnienie"/>
          <w:rFonts w:ascii="Garamond" w:hAnsi="Garamond"/>
          <w:i w:val="0"/>
          <w:iCs w:val="0"/>
        </w:rPr>
        <w:t>16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D03A4D">
        <w:rPr>
          <w:rStyle w:val="Uwydatnienie"/>
          <w:rFonts w:ascii="Garamond" w:hAnsi="Garamond"/>
          <w:i w:val="0"/>
          <w:iCs w:val="0"/>
        </w:rPr>
        <w:t>stycznia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  <w:bookmarkStart w:id="0" w:name="_GoBack"/>
      <w:bookmarkEnd w:id="0"/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1E2C31">
      <w:rPr>
        <w:rFonts w:ascii="Garamond" w:hAnsi="Garamond"/>
        <w:noProof/>
        <w:sz w:val="20"/>
        <w:szCs w:val="20"/>
      </w:rPr>
      <w:t>5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850E0"/>
    <w:rsid w:val="003D1D71"/>
    <w:rsid w:val="003E0BBF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DF6629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B1EFE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A636-8DC0-43C4-B2D0-383B2C1C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1380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10287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Woroch Agata</cp:lastModifiedBy>
  <cp:revision>10</cp:revision>
  <cp:lastPrinted>2019-01-04T13:45:00Z</cp:lastPrinted>
  <dcterms:created xsi:type="dcterms:W3CDTF">2019-01-04T09:29:00Z</dcterms:created>
  <dcterms:modified xsi:type="dcterms:W3CDTF">2019-01-07T06:49:00Z</dcterms:modified>
</cp:coreProperties>
</file>