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7D" w:rsidRDefault="00A35E7D" w:rsidP="00847417">
      <w:pPr>
        <w:ind w:left="-142"/>
        <w:jc w:val="center"/>
        <w:rPr>
          <w:rFonts w:ascii="Garamond" w:hAnsi="Garamond"/>
          <w:b/>
          <w:bCs/>
        </w:rPr>
      </w:pPr>
    </w:p>
    <w:p w:rsidR="00E77468" w:rsidRPr="00A35442" w:rsidRDefault="00285CD9" w:rsidP="00847417">
      <w:pPr>
        <w:ind w:left="-142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847417">
      <w:pPr>
        <w:ind w:left="-14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F777D1">
        <w:rPr>
          <w:rFonts w:ascii="Garamond" w:hAnsi="Garamond"/>
          <w:b/>
          <w:bCs/>
        </w:rPr>
        <w:t>8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327437" w:rsidRDefault="00300252" w:rsidP="00847417">
      <w:pPr>
        <w:ind w:left="-142"/>
        <w:jc w:val="center"/>
        <w:rPr>
          <w:rFonts w:ascii="Garamond" w:hAnsi="Garamond"/>
          <w:b/>
          <w:bCs/>
          <w:sz w:val="16"/>
          <w:szCs w:val="16"/>
        </w:rPr>
      </w:pPr>
    </w:p>
    <w:p w:rsidR="00BC4413" w:rsidRPr="001B1BDF" w:rsidRDefault="00576C50" w:rsidP="00BC4413">
      <w:pPr>
        <w:ind w:right="283"/>
        <w:jc w:val="both"/>
        <w:rPr>
          <w:rFonts w:ascii="Garamond" w:hAnsi="Garamond"/>
          <w:b/>
          <w:bCs/>
        </w:rPr>
      </w:pPr>
      <w:r w:rsidRPr="002765BC">
        <w:rPr>
          <w:rFonts w:ascii="Garamond" w:hAnsi="Garamond"/>
          <w:b/>
        </w:rPr>
        <w:t>Obszar Inteligentnych Specjalizacji:</w:t>
      </w:r>
      <w:r w:rsidR="00327437">
        <w:rPr>
          <w:rFonts w:ascii="Garamond" w:hAnsi="Garamond"/>
          <w:b/>
        </w:rPr>
        <w:t xml:space="preserve"> </w:t>
      </w:r>
      <w:r w:rsidR="00BC4413" w:rsidRPr="001B1BDF">
        <w:rPr>
          <w:rFonts w:ascii="Garamond" w:hAnsi="Garamond"/>
          <w:b/>
          <w:bCs/>
        </w:rPr>
        <w:t>„Przemysł jutra”, „Wnętrza przyszłości”, „Rozwój oparty na ICT”.</w:t>
      </w:r>
    </w:p>
    <w:p w:rsidR="001F5997" w:rsidRPr="001B1BDF" w:rsidRDefault="001F5997" w:rsidP="00847417">
      <w:pPr>
        <w:ind w:left="-142"/>
        <w:jc w:val="center"/>
        <w:rPr>
          <w:rFonts w:ascii="Garamond" w:hAnsi="Garamond"/>
          <w:b/>
        </w:rPr>
      </w:pPr>
    </w:p>
    <w:p w:rsidR="00BF3171" w:rsidRPr="001B1BDF" w:rsidRDefault="00BF3171" w:rsidP="00847417">
      <w:pPr>
        <w:ind w:left="-142"/>
        <w:jc w:val="center"/>
        <w:rPr>
          <w:rFonts w:ascii="Garamond" w:hAnsi="Garamond"/>
          <w:b/>
          <w:sz w:val="16"/>
          <w:szCs w:val="16"/>
        </w:rPr>
      </w:pPr>
    </w:p>
    <w:p w:rsidR="00BC4413" w:rsidRPr="001B1BDF" w:rsidRDefault="00BC4413" w:rsidP="00BC4413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</w:rPr>
      </w:pPr>
      <w:r w:rsidRPr="001B1BDF">
        <w:rPr>
          <w:rFonts w:ascii="Garamond" w:hAnsi="Garamond"/>
          <w:b/>
        </w:rPr>
        <w:t xml:space="preserve">Targi </w:t>
      </w:r>
      <w:proofErr w:type="spellStart"/>
      <w:r w:rsidRPr="001B1BDF">
        <w:rPr>
          <w:rFonts w:ascii="Garamond" w:hAnsi="Garamond"/>
          <w:b/>
        </w:rPr>
        <w:t>Targi</w:t>
      </w:r>
      <w:proofErr w:type="spellEnd"/>
      <w:r w:rsidRPr="001B1BDF">
        <w:rPr>
          <w:rFonts w:ascii="Garamond" w:hAnsi="Garamond"/>
          <w:b/>
        </w:rPr>
        <w:t xml:space="preserve"> </w:t>
      </w:r>
      <w:proofErr w:type="spellStart"/>
      <w:r w:rsidRPr="001B1BDF">
        <w:rPr>
          <w:rFonts w:ascii="Garamond" w:hAnsi="Garamond"/>
          <w:b/>
        </w:rPr>
        <w:t>Vietbuild</w:t>
      </w:r>
      <w:proofErr w:type="spellEnd"/>
      <w:r w:rsidRPr="001B1BDF">
        <w:rPr>
          <w:rFonts w:ascii="Garamond" w:hAnsi="Garamond"/>
          <w:b/>
        </w:rPr>
        <w:t xml:space="preserve"> HCMC, Ho Chi Minh (Sajgon), Socjalistyczna Republika Wietnamu,  </w:t>
      </w:r>
      <w:r w:rsidR="00AB41E5">
        <w:rPr>
          <w:rFonts w:ascii="Garamond" w:hAnsi="Garamond"/>
          <w:b/>
        </w:rPr>
        <w:t xml:space="preserve">                    </w:t>
      </w:r>
      <w:r w:rsidRPr="001B1BDF">
        <w:rPr>
          <w:rFonts w:ascii="Garamond" w:hAnsi="Garamond"/>
          <w:b/>
        </w:rPr>
        <w:t>26-30 września  2018 r.</w:t>
      </w:r>
    </w:p>
    <w:p w:rsidR="004E6969" w:rsidRPr="001B1BDF" w:rsidRDefault="004E6969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847417" w:rsidRPr="00A35442" w:rsidRDefault="00847417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4E6969" w:rsidRPr="00A35442" w:rsidRDefault="004E6969" w:rsidP="008E7141">
      <w:pPr>
        <w:numPr>
          <w:ilvl w:val="0"/>
          <w:numId w:val="2"/>
        </w:numPr>
        <w:autoSpaceDE w:val="0"/>
        <w:autoSpaceDN w:val="0"/>
        <w:adjustRightInd w:val="0"/>
        <w:ind w:left="-142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8E7141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8E7141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8E7141">
      <w:pPr>
        <w:numPr>
          <w:ilvl w:val="0"/>
          <w:numId w:val="1"/>
        </w:num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327437" w:rsidRDefault="000F4B29" w:rsidP="00847417">
      <w:pPr>
        <w:autoSpaceDE w:val="0"/>
        <w:autoSpaceDN w:val="0"/>
        <w:adjustRightInd w:val="0"/>
        <w:ind w:left="284"/>
        <w:jc w:val="both"/>
      </w:pPr>
      <w:hyperlink r:id="rId8" w:history="1">
        <w:r w:rsidR="00847417" w:rsidRPr="00847417">
          <w:rPr>
            <w:rStyle w:val="Hipercze"/>
          </w:rPr>
          <w:t>http://iw.org.pl/wp-content/uploads/2018/04/ulotka-IS-PKD.pdf</w:t>
        </w:r>
      </w:hyperlink>
    </w:p>
    <w:p w:rsidR="008D1083" w:rsidRPr="00A35442" w:rsidRDefault="008D1083" w:rsidP="00847417">
      <w:p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</w:p>
    <w:p w:rsidR="002D2DD5" w:rsidRPr="00A35442" w:rsidRDefault="002D2DD5" w:rsidP="008E7141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-142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610824" w:rsidRDefault="00434198" w:rsidP="008E7141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6E3E5E" w:rsidRPr="000C4DBC" w:rsidRDefault="006E3E5E" w:rsidP="00847417">
      <w:pPr>
        <w:pStyle w:val="Default"/>
        <w:ind w:left="-142"/>
        <w:rPr>
          <w:rFonts w:ascii="Garamond" w:hAnsi="Garamond" w:cs="Times New Roman"/>
          <w:bCs/>
          <w:color w:val="auto"/>
          <w:sz w:val="16"/>
          <w:szCs w:val="16"/>
        </w:rPr>
      </w:pPr>
    </w:p>
    <w:p w:rsidR="005D725F" w:rsidRDefault="005D725F" w:rsidP="008E7141">
      <w:pPr>
        <w:pStyle w:val="Default"/>
        <w:numPr>
          <w:ilvl w:val="0"/>
          <w:numId w:val="7"/>
        </w:numPr>
        <w:ind w:left="284" w:firstLine="0"/>
        <w:rPr>
          <w:rFonts w:ascii="Garamond" w:hAnsi="Garamond" w:cs="Times New Roman"/>
          <w:b/>
          <w:bCs/>
          <w:color w:val="auto"/>
        </w:rPr>
      </w:pPr>
      <w:r>
        <w:rPr>
          <w:rFonts w:ascii="Garamond" w:hAnsi="Garamond" w:cs="Times New Roman"/>
          <w:b/>
          <w:bCs/>
          <w:color w:val="auto"/>
        </w:rPr>
        <w:t>„Przemysł jutra”</w:t>
      </w:r>
    </w:p>
    <w:p w:rsidR="005D725F" w:rsidRDefault="005D725F" w:rsidP="005D725F">
      <w:pPr>
        <w:pStyle w:val="Default"/>
        <w:ind w:left="708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Główne PKD</w:t>
      </w:r>
    </w:p>
    <w:p w:rsidR="005D725F" w:rsidRPr="005D725F" w:rsidRDefault="005D725F" w:rsidP="008E7141">
      <w:pPr>
        <w:pStyle w:val="Default"/>
        <w:numPr>
          <w:ilvl w:val="0"/>
          <w:numId w:val="13"/>
        </w:numPr>
        <w:rPr>
          <w:rFonts w:ascii="Garamond" w:hAnsi="Garamond" w:cs="Times New Roman"/>
          <w:bCs/>
          <w:color w:val="auto"/>
        </w:rPr>
      </w:pPr>
      <w:r w:rsidRPr="005D725F">
        <w:rPr>
          <w:rFonts w:ascii="Garamond" w:hAnsi="Garamond"/>
        </w:rPr>
        <w:t xml:space="preserve">Sekcja C dział 24-25 </w:t>
      </w:r>
    </w:p>
    <w:p w:rsidR="005D725F" w:rsidRPr="005D725F" w:rsidRDefault="005D725F" w:rsidP="008E7141">
      <w:pPr>
        <w:pStyle w:val="Default"/>
        <w:numPr>
          <w:ilvl w:val="0"/>
          <w:numId w:val="13"/>
        </w:numPr>
        <w:rPr>
          <w:rFonts w:ascii="Garamond" w:hAnsi="Garamond" w:cs="Times New Roman"/>
          <w:bCs/>
          <w:color w:val="auto"/>
        </w:rPr>
      </w:pPr>
      <w:r w:rsidRPr="005D725F">
        <w:rPr>
          <w:rFonts w:ascii="Garamond" w:hAnsi="Garamond"/>
        </w:rPr>
        <w:t xml:space="preserve">Sekcja C dział 27-30 </w:t>
      </w:r>
    </w:p>
    <w:p w:rsidR="005D725F" w:rsidRPr="005D725F" w:rsidRDefault="005D725F" w:rsidP="008E7141">
      <w:pPr>
        <w:pStyle w:val="Default"/>
        <w:numPr>
          <w:ilvl w:val="0"/>
          <w:numId w:val="13"/>
        </w:numPr>
        <w:rPr>
          <w:rFonts w:ascii="Garamond" w:hAnsi="Garamond" w:cs="Times New Roman"/>
          <w:bCs/>
          <w:color w:val="auto"/>
        </w:rPr>
      </w:pPr>
      <w:r>
        <w:rPr>
          <w:rFonts w:ascii="Garamond" w:hAnsi="Garamond"/>
        </w:rPr>
        <w:t xml:space="preserve">Sekcja C dział 33 </w:t>
      </w:r>
    </w:p>
    <w:p w:rsidR="005D725F" w:rsidRDefault="005D725F" w:rsidP="005D725F">
      <w:pPr>
        <w:pStyle w:val="Default"/>
        <w:ind w:left="708"/>
        <w:rPr>
          <w:rFonts w:ascii="Garamond" w:hAnsi="Garamond"/>
        </w:rPr>
      </w:pPr>
      <w:r w:rsidRPr="005D725F">
        <w:rPr>
          <w:rFonts w:ascii="Garamond" w:hAnsi="Garamond"/>
        </w:rPr>
        <w:t xml:space="preserve">Inne PKD dla obszaru, uwzględniane tylko w przypadku, jeśli proponowane rozwiązania służą rozwojowi głównego obszaru specjalizacji: </w:t>
      </w:r>
    </w:p>
    <w:p w:rsidR="005D725F" w:rsidRPr="005D725F" w:rsidRDefault="005D725F" w:rsidP="008E7141">
      <w:pPr>
        <w:pStyle w:val="Default"/>
        <w:numPr>
          <w:ilvl w:val="0"/>
          <w:numId w:val="14"/>
        </w:numPr>
        <w:rPr>
          <w:rFonts w:ascii="Garamond" w:hAnsi="Garamond" w:cs="Times New Roman"/>
          <w:bCs/>
          <w:color w:val="auto"/>
        </w:rPr>
      </w:pPr>
      <w:r w:rsidRPr="005D725F">
        <w:rPr>
          <w:rFonts w:ascii="Garamond" w:hAnsi="Garamond"/>
        </w:rPr>
        <w:t xml:space="preserve">Sekcja C dział 20, 22-23 </w:t>
      </w:r>
    </w:p>
    <w:p w:rsidR="005D725F" w:rsidRPr="005D725F" w:rsidRDefault="005D725F" w:rsidP="008E7141">
      <w:pPr>
        <w:pStyle w:val="Default"/>
        <w:numPr>
          <w:ilvl w:val="0"/>
          <w:numId w:val="14"/>
        </w:numPr>
        <w:rPr>
          <w:rFonts w:ascii="Garamond" w:hAnsi="Garamond" w:cs="Times New Roman"/>
          <w:bCs/>
          <w:color w:val="auto"/>
        </w:rPr>
      </w:pPr>
      <w:r w:rsidRPr="005D725F">
        <w:rPr>
          <w:rFonts w:ascii="Garamond" w:hAnsi="Garamond"/>
        </w:rPr>
        <w:t xml:space="preserve">Sekcja C dział 26 </w:t>
      </w:r>
    </w:p>
    <w:p w:rsidR="005D725F" w:rsidRPr="005D725F" w:rsidRDefault="005D725F" w:rsidP="008E7141">
      <w:pPr>
        <w:pStyle w:val="Default"/>
        <w:numPr>
          <w:ilvl w:val="0"/>
          <w:numId w:val="14"/>
        </w:numPr>
        <w:rPr>
          <w:rFonts w:ascii="Garamond" w:hAnsi="Garamond" w:cs="Times New Roman"/>
          <w:bCs/>
          <w:color w:val="auto"/>
        </w:rPr>
      </w:pPr>
      <w:r w:rsidRPr="005D725F">
        <w:rPr>
          <w:rFonts w:ascii="Garamond" w:hAnsi="Garamond"/>
        </w:rPr>
        <w:t xml:space="preserve">Sekcja E dział 38 </w:t>
      </w:r>
    </w:p>
    <w:p w:rsidR="00AB41E5" w:rsidRPr="00AB41E5" w:rsidRDefault="005D725F" w:rsidP="008E7141">
      <w:pPr>
        <w:pStyle w:val="Default"/>
        <w:numPr>
          <w:ilvl w:val="0"/>
          <w:numId w:val="14"/>
        </w:numPr>
        <w:rPr>
          <w:rFonts w:ascii="Garamond" w:hAnsi="Garamond" w:cs="Times New Roman"/>
          <w:bCs/>
          <w:color w:val="auto"/>
        </w:rPr>
      </w:pPr>
      <w:r w:rsidRPr="00AB41E5">
        <w:rPr>
          <w:rFonts w:ascii="Garamond" w:hAnsi="Garamond"/>
        </w:rPr>
        <w:t xml:space="preserve">Sekcja J dział 62 </w:t>
      </w:r>
    </w:p>
    <w:p w:rsidR="005D725F" w:rsidRPr="00AB41E5" w:rsidRDefault="00AB41E5" w:rsidP="008E7141">
      <w:pPr>
        <w:pStyle w:val="Default"/>
        <w:numPr>
          <w:ilvl w:val="0"/>
          <w:numId w:val="14"/>
        </w:numPr>
        <w:rPr>
          <w:rFonts w:ascii="Garamond" w:hAnsi="Garamond" w:cs="Times New Roman"/>
          <w:bCs/>
          <w:color w:val="auto"/>
        </w:rPr>
      </w:pPr>
      <w:r>
        <w:rPr>
          <w:rFonts w:ascii="Garamond" w:hAnsi="Garamond"/>
        </w:rPr>
        <w:t>S</w:t>
      </w:r>
      <w:r w:rsidR="005D725F" w:rsidRPr="00AB41E5">
        <w:rPr>
          <w:rFonts w:ascii="Garamond" w:hAnsi="Garamond"/>
        </w:rPr>
        <w:t>ekcja M dział 71-72</w:t>
      </w:r>
    </w:p>
    <w:p w:rsidR="00BC4413" w:rsidRPr="00BC4413" w:rsidRDefault="00BC4413" w:rsidP="008E7141">
      <w:pPr>
        <w:pStyle w:val="Default"/>
        <w:numPr>
          <w:ilvl w:val="0"/>
          <w:numId w:val="7"/>
        </w:numPr>
        <w:ind w:left="284" w:firstLine="0"/>
        <w:rPr>
          <w:rFonts w:ascii="Garamond" w:hAnsi="Garamond" w:cs="Times New Roman"/>
          <w:b/>
          <w:bCs/>
          <w:color w:val="auto"/>
        </w:rPr>
      </w:pPr>
      <w:r>
        <w:rPr>
          <w:rFonts w:ascii="Garamond" w:hAnsi="Garamond"/>
          <w:b/>
        </w:rPr>
        <w:t>„</w:t>
      </w:r>
      <w:r w:rsidRPr="00BC4413">
        <w:rPr>
          <w:rFonts w:ascii="Garamond" w:hAnsi="Garamond"/>
          <w:b/>
        </w:rPr>
        <w:t>Wnętrza przyszłości</w:t>
      </w:r>
      <w:r w:rsidR="005D725F">
        <w:rPr>
          <w:rFonts w:ascii="Garamond" w:hAnsi="Garamond"/>
          <w:b/>
        </w:rPr>
        <w:t>”</w:t>
      </w:r>
      <w:r w:rsidRPr="00BC4413">
        <w:rPr>
          <w:rFonts w:ascii="Garamond" w:hAnsi="Garamond"/>
          <w:b/>
        </w:rPr>
        <w:t xml:space="preserve">: </w:t>
      </w:r>
    </w:p>
    <w:p w:rsidR="00BC4413" w:rsidRPr="00BC4413" w:rsidRDefault="00BC4413" w:rsidP="00961E3F">
      <w:pPr>
        <w:pStyle w:val="Default"/>
        <w:ind w:left="360" w:firstLine="348"/>
        <w:rPr>
          <w:rFonts w:ascii="Garamond" w:hAnsi="Garamond" w:cs="Times New Roman"/>
          <w:bCs/>
          <w:color w:val="auto"/>
        </w:rPr>
      </w:pPr>
      <w:r w:rsidRPr="00BC4413">
        <w:rPr>
          <w:rFonts w:ascii="Garamond" w:hAnsi="Garamond"/>
        </w:rPr>
        <w:t xml:space="preserve">Główne PKD </w:t>
      </w:r>
    </w:p>
    <w:p w:rsidR="00BC4413" w:rsidRPr="00BC4413" w:rsidRDefault="00BC4413" w:rsidP="008E7141">
      <w:pPr>
        <w:pStyle w:val="Default"/>
        <w:numPr>
          <w:ilvl w:val="0"/>
          <w:numId w:val="11"/>
        </w:numPr>
        <w:rPr>
          <w:rFonts w:ascii="Garamond" w:hAnsi="Garamond" w:cs="Times New Roman"/>
          <w:bCs/>
          <w:color w:val="auto"/>
        </w:rPr>
      </w:pPr>
      <w:r w:rsidRPr="00BC4413">
        <w:rPr>
          <w:rFonts w:ascii="Garamond" w:hAnsi="Garamond"/>
        </w:rPr>
        <w:t xml:space="preserve">Sekcja A dział 02 </w:t>
      </w:r>
    </w:p>
    <w:p w:rsidR="00BC4413" w:rsidRPr="00BC4413" w:rsidRDefault="00BC4413" w:rsidP="008E7141">
      <w:pPr>
        <w:pStyle w:val="Default"/>
        <w:numPr>
          <w:ilvl w:val="0"/>
          <w:numId w:val="11"/>
        </w:numPr>
        <w:rPr>
          <w:rFonts w:ascii="Garamond" w:hAnsi="Garamond" w:cs="Times New Roman"/>
          <w:bCs/>
          <w:color w:val="auto"/>
        </w:rPr>
      </w:pPr>
      <w:r w:rsidRPr="00BC4413">
        <w:rPr>
          <w:rFonts w:ascii="Garamond" w:hAnsi="Garamond"/>
        </w:rPr>
        <w:t xml:space="preserve">Sekcja C dział 13 </w:t>
      </w:r>
    </w:p>
    <w:p w:rsidR="00BC4413" w:rsidRPr="00BC4413" w:rsidRDefault="00BC4413" w:rsidP="008E7141">
      <w:pPr>
        <w:pStyle w:val="Default"/>
        <w:numPr>
          <w:ilvl w:val="0"/>
          <w:numId w:val="11"/>
        </w:numPr>
        <w:rPr>
          <w:rFonts w:ascii="Garamond" w:hAnsi="Garamond" w:cs="Times New Roman"/>
          <w:bCs/>
          <w:color w:val="auto"/>
        </w:rPr>
      </w:pPr>
      <w:r w:rsidRPr="00BC4413">
        <w:rPr>
          <w:rFonts w:ascii="Garamond" w:hAnsi="Garamond"/>
        </w:rPr>
        <w:t xml:space="preserve">Sekcja C dział 16-18 </w:t>
      </w:r>
    </w:p>
    <w:p w:rsidR="00BC4413" w:rsidRPr="00BC4413" w:rsidRDefault="00BC4413" w:rsidP="008E7141">
      <w:pPr>
        <w:pStyle w:val="Default"/>
        <w:numPr>
          <w:ilvl w:val="0"/>
          <w:numId w:val="11"/>
        </w:numPr>
        <w:rPr>
          <w:rFonts w:ascii="Garamond" w:hAnsi="Garamond" w:cs="Times New Roman"/>
          <w:bCs/>
          <w:color w:val="auto"/>
        </w:rPr>
      </w:pPr>
      <w:r w:rsidRPr="00BC4413">
        <w:rPr>
          <w:rFonts w:ascii="Garamond" w:hAnsi="Garamond"/>
        </w:rPr>
        <w:t xml:space="preserve">Sekcja C dział 22 </w:t>
      </w:r>
    </w:p>
    <w:p w:rsidR="00BC4413" w:rsidRPr="00BC4413" w:rsidRDefault="00BC4413" w:rsidP="008E7141">
      <w:pPr>
        <w:pStyle w:val="Default"/>
        <w:numPr>
          <w:ilvl w:val="0"/>
          <w:numId w:val="11"/>
        </w:numPr>
        <w:rPr>
          <w:rFonts w:ascii="Garamond" w:hAnsi="Garamond" w:cs="Times New Roman"/>
          <w:bCs/>
          <w:color w:val="auto"/>
        </w:rPr>
      </w:pPr>
      <w:r w:rsidRPr="00BC4413">
        <w:rPr>
          <w:rFonts w:ascii="Garamond" w:hAnsi="Garamond"/>
        </w:rPr>
        <w:t xml:space="preserve">Sekcja C dział 25 </w:t>
      </w:r>
    </w:p>
    <w:p w:rsidR="00BC4413" w:rsidRPr="00BC4413" w:rsidRDefault="00BC4413" w:rsidP="008E7141">
      <w:pPr>
        <w:pStyle w:val="Default"/>
        <w:numPr>
          <w:ilvl w:val="0"/>
          <w:numId w:val="11"/>
        </w:numPr>
        <w:rPr>
          <w:rFonts w:ascii="Garamond" w:hAnsi="Garamond" w:cs="Times New Roman"/>
          <w:bCs/>
          <w:color w:val="auto"/>
        </w:rPr>
      </w:pPr>
      <w:r w:rsidRPr="00BC4413">
        <w:rPr>
          <w:rFonts w:ascii="Garamond" w:hAnsi="Garamond"/>
        </w:rPr>
        <w:t xml:space="preserve">Sekcja C dział 31  </w:t>
      </w:r>
    </w:p>
    <w:p w:rsidR="00BC4413" w:rsidRDefault="00BC4413" w:rsidP="00BC4413">
      <w:pPr>
        <w:pStyle w:val="Default"/>
        <w:ind w:left="644"/>
        <w:rPr>
          <w:rFonts w:ascii="Garamond" w:hAnsi="Garamond"/>
        </w:rPr>
      </w:pPr>
      <w:r w:rsidRPr="00BC4413">
        <w:rPr>
          <w:rFonts w:ascii="Garamond" w:hAnsi="Garamond"/>
        </w:rPr>
        <w:lastRenderedPageBreak/>
        <w:t xml:space="preserve">Inne PKD dla obszaru, uwzględniane tylko w przypadku, jeśli proponowane rozwiązania służą rozwojowi głównego obszaru specjalizacji: </w:t>
      </w:r>
    </w:p>
    <w:p w:rsidR="00BC4413" w:rsidRPr="00BC4413" w:rsidRDefault="00BC4413" w:rsidP="008E7141">
      <w:pPr>
        <w:pStyle w:val="Default"/>
        <w:numPr>
          <w:ilvl w:val="0"/>
          <w:numId w:val="12"/>
        </w:numPr>
        <w:rPr>
          <w:rFonts w:ascii="Garamond" w:hAnsi="Garamond" w:cs="Times New Roman"/>
          <w:bCs/>
          <w:color w:val="auto"/>
        </w:rPr>
      </w:pPr>
      <w:r w:rsidRPr="00BC4413">
        <w:rPr>
          <w:rFonts w:ascii="Garamond" w:hAnsi="Garamond"/>
        </w:rPr>
        <w:t xml:space="preserve">Sekcja C dział 15, 23-24 </w:t>
      </w:r>
    </w:p>
    <w:p w:rsidR="00BC4413" w:rsidRPr="00BC4413" w:rsidRDefault="00BC4413" w:rsidP="008E7141">
      <w:pPr>
        <w:pStyle w:val="Default"/>
        <w:numPr>
          <w:ilvl w:val="0"/>
          <w:numId w:val="12"/>
        </w:numPr>
        <w:rPr>
          <w:rFonts w:ascii="Garamond" w:hAnsi="Garamond" w:cs="Times New Roman"/>
          <w:bCs/>
          <w:color w:val="auto"/>
        </w:rPr>
      </w:pPr>
      <w:r w:rsidRPr="00BC4413">
        <w:rPr>
          <w:rFonts w:ascii="Garamond" w:hAnsi="Garamond"/>
        </w:rPr>
        <w:t xml:space="preserve">Sekcja E dział 38 </w:t>
      </w:r>
    </w:p>
    <w:p w:rsidR="00BC4413" w:rsidRPr="00BC4413" w:rsidRDefault="00BC4413" w:rsidP="008E7141">
      <w:pPr>
        <w:pStyle w:val="Default"/>
        <w:numPr>
          <w:ilvl w:val="0"/>
          <w:numId w:val="12"/>
        </w:numPr>
        <w:rPr>
          <w:rFonts w:ascii="Garamond" w:hAnsi="Garamond" w:cs="Times New Roman"/>
          <w:bCs/>
          <w:color w:val="auto"/>
        </w:rPr>
      </w:pPr>
      <w:r w:rsidRPr="00BC4413">
        <w:rPr>
          <w:rFonts w:ascii="Garamond" w:hAnsi="Garamond"/>
        </w:rPr>
        <w:t xml:space="preserve">Sekcja J dział 62 </w:t>
      </w:r>
    </w:p>
    <w:p w:rsidR="00BC4413" w:rsidRPr="00961E3F" w:rsidRDefault="00BC4413" w:rsidP="008E7141">
      <w:pPr>
        <w:pStyle w:val="Default"/>
        <w:numPr>
          <w:ilvl w:val="0"/>
          <w:numId w:val="12"/>
        </w:numPr>
        <w:rPr>
          <w:rFonts w:ascii="Garamond" w:hAnsi="Garamond" w:cs="Times New Roman"/>
          <w:bCs/>
          <w:color w:val="auto"/>
        </w:rPr>
      </w:pPr>
      <w:r w:rsidRPr="00BC4413">
        <w:rPr>
          <w:rFonts w:ascii="Garamond" w:hAnsi="Garamond"/>
        </w:rPr>
        <w:t>Sekcja M dział 71-72</w:t>
      </w:r>
    </w:p>
    <w:p w:rsidR="00961E3F" w:rsidRDefault="00961E3F" w:rsidP="00961E3F">
      <w:pPr>
        <w:pStyle w:val="Default"/>
        <w:rPr>
          <w:rFonts w:ascii="Garamond" w:hAnsi="Garamond"/>
        </w:rPr>
      </w:pPr>
    </w:p>
    <w:p w:rsidR="00961E3F" w:rsidRPr="00961E3F" w:rsidRDefault="00961E3F" w:rsidP="008E7141">
      <w:pPr>
        <w:pStyle w:val="Default"/>
        <w:numPr>
          <w:ilvl w:val="0"/>
          <w:numId w:val="7"/>
        </w:numPr>
        <w:ind w:left="709" w:hanging="425"/>
        <w:rPr>
          <w:rFonts w:ascii="Garamond" w:hAnsi="Garamond" w:cs="Times New Roman"/>
          <w:b/>
          <w:bCs/>
          <w:color w:val="auto"/>
        </w:rPr>
      </w:pPr>
      <w:r w:rsidRPr="00961E3F">
        <w:rPr>
          <w:rFonts w:ascii="Garamond" w:hAnsi="Garamond"/>
          <w:b/>
        </w:rPr>
        <w:t>„Rozwój oparty na ICT”</w:t>
      </w:r>
    </w:p>
    <w:p w:rsidR="00ED4487" w:rsidRDefault="00ED4487" w:rsidP="00961E3F">
      <w:pPr>
        <w:pStyle w:val="Default"/>
        <w:ind w:left="709"/>
        <w:rPr>
          <w:rFonts w:ascii="Garamond" w:hAnsi="Garamond"/>
        </w:rPr>
      </w:pPr>
      <w:r w:rsidRPr="00ED4487">
        <w:rPr>
          <w:rFonts w:ascii="Garamond" w:hAnsi="Garamond"/>
        </w:rPr>
        <w:t xml:space="preserve">Główne PKD </w:t>
      </w:r>
    </w:p>
    <w:p w:rsidR="00ED4487" w:rsidRPr="00ED4487" w:rsidRDefault="00ED4487" w:rsidP="008E7141">
      <w:pPr>
        <w:pStyle w:val="Default"/>
        <w:numPr>
          <w:ilvl w:val="0"/>
          <w:numId w:val="15"/>
        </w:numPr>
        <w:rPr>
          <w:rFonts w:ascii="Garamond" w:hAnsi="Garamond" w:cs="Times New Roman"/>
          <w:bCs/>
          <w:color w:val="auto"/>
        </w:rPr>
      </w:pPr>
      <w:r w:rsidRPr="00ED4487">
        <w:rPr>
          <w:rFonts w:ascii="Garamond" w:hAnsi="Garamond"/>
        </w:rPr>
        <w:t xml:space="preserve">Sekcja C dział 26 </w:t>
      </w:r>
    </w:p>
    <w:p w:rsidR="00ED4487" w:rsidRPr="00ED4487" w:rsidRDefault="00ED4487" w:rsidP="008E7141">
      <w:pPr>
        <w:pStyle w:val="Default"/>
        <w:numPr>
          <w:ilvl w:val="0"/>
          <w:numId w:val="15"/>
        </w:numPr>
        <w:rPr>
          <w:rFonts w:ascii="Garamond" w:hAnsi="Garamond" w:cs="Times New Roman"/>
          <w:bCs/>
          <w:color w:val="auto"/>
        </w:rPr>
      </w:pPr>
      <w:r w:rsidRPr="00ED4487">
        <w:rPr>
          <w:rFonts w:ascii="Garamond" w:hAnsi="Garamond"/>
        </w:rPr>
        <w:t xml:space="preserve">Sekcja J dział 61-63 </w:t>
      </w:r>
    </w:p>
    <w:p w:rsidR="00ED4487" w:rsidRPr="00ED4487" w:rsidRDefault="00ED4487" w:rsidP="00ED4487">
      <w:pPr>
        <w:pStyle w:val="Default"/>
        <w:ind w:left="708"/>
        <w:rPr>
          <w:rFonts w:ascii="Garamond" w:hAnsi="Garamond"/>
        </w:rPr>
      </w:pPr>
      <w:r w:rsidRPr="00ED4487">
        <w:rPr>
          <w:rFonts w:ascii="Garamond" w:hAnsi="Garamond"/>
        </w:rPr>
        <w:t xml:space="preserve">Inne PKD dla obszaru, uwzględniane tylko w przypadku, jeśli proponowane rozwiązania służą rozwojowi głównego obszaru specjalizacji: </w:t>
      </w:r>
    </w:p>
    <w:p w:rsidR="00ED4487" w:rsidRPr="00ED4487" w:rsidRDefault="00ED4487" w:rsidP="008E7141">
      <w:pPr>
        <w:pStyle w:val="Default"/>
        <w:numPr>
          <w:ilvl w:val="0"/>
          <w:numId w:val="16"/>
        </w:numPr>
        <w:rPr>
          <w:rFonts w:ascii="Garamond" w:hAnsi="Garamond" w:cs="Times New Roman"/>
          <w:bCs/>
          <w:color w:val="auto"/>
        </w:rPr>
      </w:pPr>
      <w:r w:rsidRPr="00ED4487">
        <w:rPr>
          <w:rFonts w:ascii="Garamond" w:hAnsi="Garamond"/>
        </w:rPr>
        <w:t xml:space="preserve">Sekcja C dział 22-25 </w:t>
      </w:r>
    </w:p>
    <w:p w:rsidR="00ED4487" w:rsidRPr="00ED4487" w:rsidRDefault="00ED4487" w:rsidP="008E7141">
      <w:pPr>
        <w:pStyle w:val="Default"/>
        <w:numPr>
          <w:ilvl w:val="0"/>
          <w:numId w:val="16"/>
        </w:numPr>
        <w:rPr>
          <w:rFonts w:ascii="Garamond" w:hAnsi="Garamond" w:cs="Times New Roman"/>
          <w:bCs/>
          <w:color w:val="auto"/>
        </w:rPr>
      </w:pPr>
      <w:r w:rsidRPr="00ED4487">
        <w:rPr>
          <w:rFonts w:ascii="Garamond" w:hAnsi="Garamond"/>
        </w:rPr>
        <w:t xml:space="preserve">Sekcja C dział 28, 33 </w:t>
      </w:r>
    </w:p>
    <w:p w:rsidR="00ED4487" w:rsidRPr="00ED4487" w:rsidRDefault="00ED4487" w:rsidP="008E7141">
      <w:pPr>
        <w:pStyle w:val="Default"/>
        <w:numPr>
          <w:ilvl w:val="0"/>
          <w:numId w:val="16"/>
        </w:numPr>
        <w:rPr>
          <w:rFonts w:ascii="Garamond" w:hAnsi="Garamond" w:cs="Times New Roman"/>
          <w:bCs/>
          <w:color w:val="auto"/>
        </w:rPr>
      </w:pPr>
      <w:r w:rsidRPr="00ED4487">
        <w:rPr>
          <w:rFonts w:ascii="Garamond" w:hAnsi="Garamond"/>
        </w:rPr>
        <w:t xml:space="preserve">Sekcja J dział 59 </w:t>
      </w:r>
    </w:p>
    <w:p w:rsidR="00961E3F" w:rsidRPr="00ED4487" w:rsidRDefault="00ED4487" w:rsidP="008E7141">
      <w:pPr>
        <w:pStyle w:val="Default"/>
        <w:numPr>
          <w:ilvl w:val="0"/>
          <w:numId w:val="16"/>
        </w:numPr>
        <w:rPr>
          <w:rFonts w:ascii="Garamond" w:hAnsi="Garamond" w:cs="Times New Roman"/>
          <w:bCs/>
          <w:color w:val="auto"/>
        </w:rPr>
      </w:pPr>
      <w:r w:rsidRPr="00ED4487">
        <w:rPr>
          <w:rFonts w:ascii="Garamond" w:hAnsi="Garamond"/>
        </w:rPr>
        <w:t>Sekcja M dział 72</w:t>
      </w:r>
    </w:p>
    <w:p w:rsidR="002D2DD5" w:rsidRPr="005F7293" w:rsidRDefault="002D2DD5" w:rsidP="008E7141">
      <w:pPr>
        <w:pStyle w:val="NormalnyWeb"/>
        <w:numPr>
          <w:ilvl w:val="0"/>
          <w:numId w:val="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ED4487">
        <w:rPr>
          <w:rFonts w:ascii="Garamond" w:hAnsi="Garamond"/>
        </w:rPr>
        <w:t>Warunkiem</w:t>
      </w:r>
      <w:r w:rsidRPr="00A35442">
        <w:rPr>
          <w:rFonts w:ascii="Garamond" w:hAnsi="Garamond"/>
        </w:rPr>
        <w:t xml:space="preserve"> udziału w naborze jest przesłanie na adres Organizatora</w:t>
      </w:r>
      <w:r w:rsidR="00575975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575975">
        <w:rPr>
          <w:rFonts w:ascii="Garamond" w:hAnsi="Garamond"/>
        </w:rPr>
        <w:t>,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5F7293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5F7293" w:rsidRPr="005F7293" w:rsidRDefault="005F7293" w:rsidP="00847417">
      <w:pPr>
        <w:pStyle w:val="NormalnyWeb"/>
        <w:spacing w:before="120" w:beforeAutospacing="0" w:after="120" w:afterAutospacing="0"/>
        <w:ind w:left="-142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210288" w:rsidP="008E7141">
      <w:pPr>
        <w:pStyle w:val="NormalnyWeb"/>
        <w:numPr>
          <w:ilvl w:val="0"/>
          <w:numId w:val="2"/>
        </w:numPr>
        <w:spacing w:before="120" w:beforeAutospacing="0" w:after="120" w:afterAutospacing="0"/>
        <w:ind w:left="-142" w:firstLine="0"/>
        <w:jc w:val="center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1B1BDF" w:rsidRPr="001B1BDF" w:rsidRDefault="007D531C" w:rsidP="001B1BDF">
      <w:pPr>
        <w:ind w:right="283"/>
        <w:jc w:val="both"/>
        <w:rPr>
          <w:rFonts w:ascii="Garamond" w:hAnsi="Garamond"/>
          <w:bCs/>
        </w:rPr>
      </w:pPr>
      <w:r w:rsidRPr="00A35442">
        <w:rPr>
          <w:rFonts w:ascii="Garamond" w:hAnsi="Garamond"/>
        </w:rPr>
        <w:t>W roku 201</w:t>
      </w:r>
      <w:r w:rsidR="00F777D1">
        <w:rPr>
          <w:rFonts w:ascii="Garamond" w:hAnsi="Garamond"/>
        </w:rPr>
        <w:t>8</w:t>
      </w:r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1B1BDF" w:rsidRPr="001B1BDF">
        <w:rPr>
          <w:rFonts w:ascii="Garamond" w:hAnsi="Garamond"/>
          <w:bCs/>
        </w:rPr>
        <w:t>„Przemysł jutra”, „Wnętrza przys</w:t>
      </w:r>
      <w:r w:rsidR="001B1BDF">
        <w:rPr>
          <w:rFonts w:ascii="Garamond" w:hAnsi="Garamond"/>
          <w:bCs/>
        </w:rPr>
        <w:t xml:space="preserve">złości”, „Rozwój oparty na ICT” udział w targach </w:t>
      </w:r>
      <w:proofErr w:type="spellStart"/>
      <w:r w:rsidR="001B1BDF" w:rsidRPr="001B1BDF">
        <w:rPr>
          <w:rFonts w:ascii="Garamond" w:hAnsi="Garamond"/>
          <w:b/>
        </w:rPr>
        <w:t>Vietbuild</w:t>
      </w:r>
      <w:proofErr w:type="spellEnd"/>
      <w:r w:rsidR="001B1BDF" w:rsidRPr="001B1BDF">
        <w:rPr>
          <w:rFonts w:ascii="Garamond" w:hAnsi="Garamond"/>
          <w:b/>
        </w:rPr>
        <w:t xml:space="preserve"> HCMC, Ho Chi Minh (Sajgon), Socjalistyczna Republika Wietnamu,  26-30 września  2018 r.</w:t>
      </w:r>
    </w:p>
    <w:p w:rsidR="001B1BDF" w:rsidRDefault="001B1BDF" w:rsidP="001B1BDF">
      <w:pPr>
        <w:pStyle w:val="NormalnyWeb"/>
        <w:spacing w:before="120" w:beforeAutospacing="0"/>
        <w:jc w:val="both"/>
        <w:rPr>
          <w:rFonts w:ascii="Garamond" w:hAnsi="Garamond"/>
          <w:bCs/>
        </w:rPr>
      </w:pPr>
    </w:p>
    <w:p w:rsidR="00D26CE0" w:rsidRPr="00A35442" w:rsidRDefault="00D26CE0" w:rsidP="008E7141">
      <w:pPr>
        <w:pStyle w:val="NormalnyWeb"/>
        <w:numPr>
          <w:ilvl w:val="0"/>
          <w:numId w:val="2"/>
        </w:numPr>
        <w:spacing w:before="120" w:beforeAutospacing="0" w:after="120" w:afterAutospacing="0"/>
        <w:ind w:left="-142" w:firstLine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Nabór</w:t>
      </w:r>
    </w:p>
    <w:p w:rsidR="00D07AEE" w:rsidRDefault="00D07AEE" w:rsidP="008E7141">
      <w:pPr>
        <w:pStyle w:val="NormalnyWeb"/>
        <w:numPr>
          <w:ilvl w:val="0"/>
          <w:numId w:val="4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>do dn</w:t>
      </w:r>
      <w:bookmarkStart w:id="0" w:name="_GoBack"/>
      <w:bookmarkEnd w:id="0"/>
      <w:r w:rsidR="009534D6">
        <w:rPr>
          <w:rStyle w:val="Uwydatnienie"/>
          <w:rFonts w:ascii="Garamond" w:hAnsi="Garamond"/>
          <w:i w:val="0"/>
          <w:iCs w:val="0"/>
        </w:rPr>
        <w:t xml:space="preserve">ia </w:t>
      </w:r>
      <w:r w:rsidR="00AD0524">
        <w:rPr>
          <w:rStyle w:val="Uwydatnienie"/>
          <w:rFonts w:ascii="Garamond" w:hAnsi="Garamond"/>
          <w:i w:val="0"/>
          <w:iCs w:val="0"/>
        </w:rPr>
        <w:t>28</w:t>
      </w:r>
      <w:r w:rsidR="009534D6">
        <w:rPr>
          <w:rStyle w:val="Uwydatnienie"/>
          <w:rFonts w:ascii="Garamond" w:hAnsi="Garamond"/>
          <w:i w:val="0"/>
          <w:iCs w:val="0"/>
        </w:rPr>
        <w:t xml:space="preserve"> </w:t>
      </w:r>
      <w:r w:rsidR="00575975">
        <w:rPr>
          <w:rStyle w:val="Uwydatnienie"/>
          <w:rFonts w:ascii="Garamond" w:hAnsi="Garamond"/>
          <w:i w:val="0"/>
          <w:iCs w:val="0"/>
        </w:rPr>
        <w:t>maja</w:t>
      </w:r>
      <w:r w:rsidR="009534D6">
        <w:rPr>
          <w:rStyle w:val="Uwydatnienie"/>
          <w:rFonts w:ascii="Garamond" w:hAnsi="Garamond"/>
          <w:i w:val="0"/>
          <w:iCs w:val="0"/>
        </w:rPr>
        <w:t xml:space="preserve"> 201</w:t>
      </w:r>
      <w:r w:rsidR="00575975">
        <w:rPr>
          <w:rStyle w:val="Uwydatnienie"/>
          <w:rFonts w:ascii="Garamond" w:hAnsi="Garamond"/>
          <w:i w:val="0"/>
          <w:iCs w:val="0"/>
        </w:rPr>
        <w:t>8</w:t>
      </w:r>
      <w:r w:rsidR="009534D6">
        <w:rPr>
          <w:rStyle w:val="Uwydatnienie"/>
          <w:rFonts w:ascii="Garamond" w:hAnsi="Garamond"/>
          <w:i w:val="0"/>
          <w:iCs w:val="0"/>
        </w:rPr>
        <w:t xml:space="preserve"> r.</w:t>
      </w:r>
    </w:p>
    <w:p w:rsidR="004F1C22" w:rsidRPr="00A35442" w:rsidRDefault="004F1C22" w:rsidP="008E7141">
      <w:pPr>
        <w:pStyle w:val="NormalnyWeb"/>
        <w:numPr>
          <w:ilvl w:val="0"/>
          <w:numId w:val="4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5975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8E7141">
      <w:pPr>
        <w:pStyle w:val="NormalnyWeb"/>
        <w:numPr>
          <w:ilvl w:val="0"/>
          <w:numId w:val="4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8E7141">
      <w:pPr>
        <w:pStyle w:val="NormalnyWeb"/>
        <w:numPr>
          <w:ilvl w:val="0"/>
          <w:numId w:val="4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8E7141">
      <w:pPr>
        <w:pStyle w:val="NormalnyWeb"/>
        <w:numPr>
          <w:ilvl w:val="0"/>
          <w:numId w:val="4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8E7141">
      <w:pPr>
        <w:pStyle w:val="NormalnyWeb"/>
        <w:numPr>
          <w:ilvl w:val="0"/>
          <w:numId w:val="4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8D1083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Organizatora podpisanej umowy </w:t>
      </w:r>
      <w:r w:rsidR="000C4DBC">
        <w:rPr>
          <w:rFonts w:ascii="Garamond" w:hAnsi="Garamond"/>
        </w:rPr>
        <w:br/>
      </w:r>
      <w:r w:rsidRPr="00A35442">
        <w:rPr>
          <w:rFonts w:ascii="Garamond" w:hAnsi="Garamond"/>
        </w:rPr>
        <w:t>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8E7141">
      <w:pPr>
        <w:pStyle w:val="NormalnyWeb"/>
        <w:numPr>
          <w:ilvl w:val="0"/>
          <w:numId w:val="4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6530FC" w:rsidRDefault="006530FC" w:rsidP="00B82FB6">
      <w:pPr>
        <w:pStyle w:val="NormalnyWeb"/>
        <w:spacing w:before="120" w:beforeAutospacing="0" w:after="120" w:afterAutospacing="0"/>
        <w:ind w:left="284"/>
        <w:jc w:val="both"/>
        <w:rPr>
          <w:rFonts w:ascii="Garamond" w:hAnsi="Garamond"/>
        </w:rPr>
      </w:pPr>
    </w:p>
    <w:p w:rsidR="005F7293" w:rsidRPr="000C4DBC" w:rsidRDefault="005F7293" w:rsidP="00847417">
      <w:pPr>
        <w:pStyle w:val="NormalnyWeb"/>
        <w:spacing w:before="120" w:beforeAutospacing="0" w:after="120" w:afterAutospacing="0"/>
        <w:ind w:left="-142"/>
        <w:jc w:val="both"/>
        <w:rPr>
          <w:rFonts w:ascii="Garamond" w:hAnsi="Garamond"/>
          <w:sz w:val="16"/>
          <w:szCs w:val="16"/>
        </w:rPr>
      </w:pPr>
    </w:p>
    <w:p w:rsidR="00D26CE0" w:rsidRPr="00A35442" w:rsidRDefault="00122477" w:rsidP="00847417">
      <w:pPr>
        <w:pStyle w:val="NormalnyWeb"/>
        <w:spacing w:before="120" w:beforeAutospacing="0" w:after="120" w:afterAutospacing="0"/>
        <w:ind w:left="-142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lastRenderedPageBreak/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8E714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>argów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0F4B29" w:rsidP="008E714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619.2pt;margin-top:13.6pt;width:341.95pt;height:43.4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<v:textbox style="mso-fit-shape-to-text:t">
              <w:txbxContent>
                <w:p w:rsidR="004F1C22" w:rsidRPr="004F1C22" w:rsidRDefault="004F1C22" w:rsidP="004F1C22">
                  <w:pPr>
                    <w:spacing w:before="100" w:beforeAutospacing="1" w:after="100" w:afterAutospacing="1"/>
                    <w:jc w:val="both"/>
                    <w:rPr>
                      <w:rFonts w:ascii="Garamond" w:hAnsi="Garamond"/>
                      <w:b/>
                    </w:rPr>
                  </w:pPr>
                  <w:r w:rsidRPr="004F1C22">
                    <w:rPr>
                      <w:rFonts w:ascii="Garamond" w:hAnsi="Garamond"/>
                      <w:b/>
                    </w:rPr>
                    <w:t>Targi AGROEXPO CORFERIAS, Bogota (Kolumbia), 13-23 lipca 2017 r.</w:t>
                  </w:r>
                </w:p>
                <w:p w:rsidR="00E61B0C" w:rsidRPr="00E61B0C" w:rsidRDefault="00E61B0C" w:rsidP="00E61B0C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8E714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3D1D71">
        <w:rPr>
          <w:rFonts w:ascii="Garamond" w:eastAsia="TimesNewRoman" w:hAnsi="Garamond"/>
        </w:rPr>
        <w:t xml:space="preserve">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Pr="000C4DBC" w:rsidRDefault="00F94EC9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  <w:sz w:val="16"/>
          <w:szCs w:val="16"/>
        </w:rPr>
      </w:pPr>
    </w:p>
    <w:p w:rsidR="002B14CF" w:rsidRPr="00A35442" w:rsidRDefault="00122477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8E7141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6D104A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8E7141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elementów promocyjnych np. produktów, próbek, min. 4 folderów/prospektów, min. 10 ulotek/dzień, wizytówek oraz w zależności od dostępności miejsca </w:t>
      </w:r>
      <w:proofErr w:type="spellStart"/>
      <w:r w:rsidRPr="009534D6">
        <w:rPr>
          <w:rFonts w:ascii="Garamond" w:hAnsi="Garamond"/>
          <w:color w:val="000000" w:themeColor="text1"/>
        </w:rPr>
        <w:t>roll-upu</w:t>
      </w:r>
      <w:proofErr w:type="spellEnd"/>
      <w:r w:rsidRPr="009534D6">
        <w:rPr>
          <w:rFonts w:ascii="Garamond" w:hAnsi="Garamond"/>
          <w:color w:val="000000" w:themeColor="text1"/>
        </w:rPr>
        <w:t>.</w:t>
      </w:r>
    </w:p>
    <w:p w:rsidR="00285CD9" w:rsidRPr="00A35442" w:rsidRDefault="00285CD9" w:rsidP="008E7141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8E7141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</w:t>
      </w:r>
      <w:r w:rsidR="00841C0D">
        <w:rPr>
          <w:rFonts w:ascii="Garamond" w:eastAsia="TimesNewRoman" w:hAnsi="Garamond"/>
        </w:rPr>
        <w:br/>
      </w:r>
      <w:r w:rsidRPr="00A35442">
        <w:rPr>
          <w:rFonts w:ascii="Garamond" w:eastAsia="TimesNewRoman" w:hAnsi="Garamond"/>
        </w:rPr>
        <w:t>a w przypadku braku takiego działu – w innym miejscu, wskazanym przez Beneficjenta i zatwierdzonym przez Organizatora.</w:t>
      </w:r>
    </w:p>
    <w:p w:rsidR="00285CD9" w:rsidRPr="00A35442" w:rsidRDefault="00285CD9" w:rsidP="008E7141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8E7141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8E7141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0C4DBC" w:rsidRDefault="000C4DBC" w:rsidP="00847417">
      <w:pPr>
        <w:autoSpaceDE w:val="0"/>
        <w:autoSpaceDN w:val="0"/>
        <w:adjustRightInd w:val="0"/>
        <w:spacing w:before="120" w:after="120"/>
        <w:ind w:left="-142"/>
        <w:jc w:val="both"/>
        <w:rPr>
          <w:rFonts w:ascii="Garamond" w:eastAsia="TimesNewRoman" w:hAnsi="Garamond"/>
        </w:rPr>
      </w:pPr>
    </w:p>
    <w:p w:rsidR="00EE650E" w:rsidRPr="00EE650E" w:rsidRDefault="00EE650E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9534D6" w:rsidRDefault="00EE650E" w:rsidP="008E7141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8E7141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lastRenderedPageBreak/>
        <w:t>Organizator nie ponosi odpowiedzialności za działania organów władz miejscowych, które skutkują wykluczeniem uczestników z udziału w Wyjeździe.</w:t>
      </w:r>
    </w:p>
    <w:p w:rsidR="00EE650E" w:rsidRPr="009534D6" w:rsidRDefault="00EE650E" w:rsidP="008E7141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841C0D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8E7141">
      <w:pPr>
        <w:numPr>
          <w:ilvl w:val="0"/>
          <w:numId w:val="8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8E7141">
      <w:pPr>
        <w:numPr>
          <w:ilvl w:val="0"/>
          <w:numId w:val="9"/>
        </w:numPr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8E7141">
      <w:pPr>
        <w:numPr>
          <w:ilvl w:val="0"/>
          <w:numId w:val="9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8E7141">
      <w:pPr>
        <w:numPr>
          <w:ilvl w:val="0"/>
          <w:numId w:val="9"/>
        </w:numPr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8E7141">
      <w:pPr>
        <w:pStyle w:val="Akapitzlist"/>
        <w:numPr>
          <w:ilvl w:val="0"/>
          <w:numId w:val="8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8E7141">
      <w:pPr>
        <w:pStyle w:val="Akapitzlist"/>
        <w:numPr>
          <w:ilvl w:val="0"/>
          <w:numId w:val="8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8E7141">
      <w:pPr>
        <w:numPr>
          <w:ilvl w:val="0"/>
          <w:numId w:val="10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8E7141">
      <w:pPr>
        <w:numPr>
          <w:ilvl w:val="0"/>
          <w:numId w:val="10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Pr="009534D6" w:rsidRDefault="00C32D72" w:rsidP="008E7141">
      <w:pPr>
        <w:numPr>
          <w:ilvl w:val="0"/>
          <w:numId w:val="10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D22167" w:rsidRPr="009534D6" w:rsidRDefault="00831AD5" w:rsidP="00841C0D">
      <w:pPr>
        <w:ind w:left="5103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41C0D">
      <w:pPr>
        <w:ind w:left="5103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0C4DBC">
      <w:headerReference w:type="default" r:id="rId9"/>
      <w:footerReference w:type="default" r:id="rId10"/>
      <w:pgSz w:w="11906" w:h="16838"/>
      <w:pgMar w:top="1702" w:right="991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3EC" w:rsidRDefault="00AB13EC" w:rsidP="00E77468">
      <w:r>
        <w:separator/>
      </w:r>
    </w:p>
  </w:endnote>
  <w:endnote w:type="continuationSeparator" w:id="0">
    <w:p w:rsidR="00AB13EC" w:rsidRDefault="00AB13EC" w:rsidP="00E77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885" w:rsidRPr="00E61B0C" w:rsidRDefault="000F4B29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B82FB6">
      <w:rPr>
        <w:rFonts w:ascii="Garamond" w:hAnsi="Garamond"/>
        <w:noProof/>
        <w:sz w:val="20"/>
        <w:szCs w:val="20"/>
      </w:rPr>
      <w:t>2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3EC" w:rsidRDefault="00AB13EC" w:rsidP="00E77468">
      <w:r>
        <w:separator/>
      </w:r>
    </w:p>
  </w:footnote>
  <w:footnote w:type="continuationSeparator" w:id="0">
    <w:p w:rsidR="00AB13EC" w:rsidRDefault="00AB13EC" w:rsidP="00E77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3" name="Obraz 13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E1103"/>
    <w:multiLevelType w:val="hybridMultilevel"/>
    <w:tmpl w:val="8AB6F25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17562"/>
    <w:multiLevelType w:val="hybridMultilevel"/>
    <w:tmpl w:val="15AE23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F6C6A"/>
    <w:multiLevelType w:val="hybridMultilevel"/>
    <w:tmpl w:val="ED80CC6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33A042A7"/>
    <w:multiLevelType w:val="hybridMultilevel"/>
    <w:tmpl w:val="822678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16544"/>
    <w:multiLevelType w:val="hybridMultilevel"/>
    <w:tmpl w:val="B67E9DC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2881ED9"/>
    <w:multiLevelType w:val="hybridMultilevel"/>
    <w:tmpl w:val="88C430F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62E35D76"/>
    <w:multiLevelType w:val="hybridMultilevel"/>
    <w:tmpl w:val="6EB697C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3"/>
  </w:num>
  <w:num w:numId="5">
    <w:abstractNumId w:val="15"/>
  </w:num>
  <w:num w:numId="6">
    <w:abstractNumId w:val="0"/>
  </w:num>
  <w:num w:numId="7">
    <w:abstractNumId w:val="11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2"/>
  </w:num>
  <w:num w:numId="13">
    <w:abstractNumId w:val="12"/>
  </w:num>
  <w:num w:numId="14">
    <w:abstractNumId w:val="14"/>
  </w:num>
  <w:num w:numId="15">
    <w:abstractNumId w:val="4"/>
  </w:num>
  <w:num w:numId="16">
    <w:abstractNumId w:val="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C06B5"/>
    <w:rsid w:val="000C15D9"/>
    <w:rsid w:val="000C4DBC"/>
    <w:rsid w:val="000F4B29"/>
    <w:rsid w:val="000F7D07"/>
    <w:rsid w:val="00117A60"/>
    <w:rsid w:val="00120038"/>
    <w:rsid w:val="00122477"/>
    <w:rsid w:val="00125564"/>
    <w:rsid w:val="00143290"/>
    <w:rsid w:val="00154335"/>
    <w:rsid w:val="00173ACF"/>
    <w:rsid w:val="00190D0E"/>
    <w:rsid w:val="001934E6"/>
    <w:rsid w:val="001966D4"/>
    <w:rsid w:val="001B1BDF"/>
    <w:rsid w:val="001D0090"/>
    <w:rsid w:val="001D03FC"/>
    <w:rsid w:val="001D4B8B"/>
    <w:rsid w:val="001E08CB"/>
    <w:rsid w:val="001F5997"/>
    <w:rsid w:val="001F5A8B"/>
    <w:rsid w:val="00210288"/>
    <w:rsid w:val="00270FE8"/>
    <w:rsid w:val="002765BC"/>
    <w:rsid w:val="0028130B"/>
    <w:rsid w:val="00285CD9"/>
    <w:rsid w:val="00285D3A"/>
    <w:rsid w:val="002873C4"/>
    <w:rsid w:val="002B14CF"/>
    <w:rsid w:val="002B54EB"/>
    <w:rsid w:val="002D2DD5"/>
    <w:rsid w:val="002D759E"/>
    <w:rsid w:val="00300252"/>
    <w:rsid w:val="00327437"/>
    <w:rsid w:val="003651DA"/>
    <w:rsid w:val="00367B70"/>
    <w:rsid w:val="00380136"/>
    <w:rsid w:val="00380BDC"/>
    <w:rsid w:val="003D1D71"/>
    <w:rsid w:val="0040205A"/>
    <w:rsid w:val="00423C6D"/>
    <w:rsid w:val="004328F0"/>
    <w:rsid w:val="00434198"/>
    <w:rsid w:val="00434884"/>
    <w:rsid w:val="00446323"/>
    <w:rsid w:val="00450257"/>
    <w:rsid w:val="004626D4"/>
    <w:rsid w:val="004719D9"/>
    <w:rsid w:val="00484021"/>
    <w:rsid w:val="00491362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6CE4"/>
    <w:rsid w:val="0055191D"/>
    <w:rsid w:val="00575975"/>
    <w:rsid w:val="00576C50"/>
    <w:rsid w:val="00577EAD"/>
    <w:rsid w:val="005A44A6"/>
    <w:rsid w:val="005D18B1"/>
    <w:rsid w:val="005D725F"/>
    <w:rsid w:val="005F7293"/>
    <w:rsid w:val="00605AF4"/>
    <w:rsid w:val="00610824"/>
    <w:rsid w:val="00635AA2"/>
    <w:rsid w:val="00640F47"/>
    <w:rsid w:val="006530FC"/>
    <w:rsid w:val="00656854"/>
    <w:rsid w:val="0067055D"/>
    <w:rsid w:val="00684210"/>
    <w:rsid w:val="00687883"/>
    <w:rsid w:val="006A17AE"/>
    <w:rsid w:val="006A4CD7"/>
    <w:rsid w:val="006A5D61"/>
    <w:rsid w:val="006A70BD"/>
    <w:rsid w:val="006B6740"/>
    <w:rsid w:val="006C16F4"/>
    <w:rsid w:val="006C3B4F"/>
    <w:rsid w:val="006D104A"/>
    <w:rsid w:val="006E285C"/>
    <w:rsid w:val="006E3E5E"/>
    <w:rsid w:val="006E4175"/>
    <w:rsid w:val="00701C48"/>
    <w:rsid w:val="00710F02"/>
    <w:rsid w:val="00744A82"/>
    <w:rsid w:val="0078616F"/>
    <w:rsid w:val="007A3559"/>
    <w:rsid w:val="007C47C9"/>
    <w:rsid w:val="007D3736"/>
    <w:rsid w:val="007D531C"/>
    <w:rsid w:val="007F5B0C"/>
    <w:rsid w:val="00802588"/>
    <w:rsid w:val="008164FF"/>
    <w:rsid w:val="00831A2B"/>
    <w:rsid w:val="00831AD5"/>
    <w:rsid w:val="00841C0D"/>
    <w:rsid w:val="00847417"/>
    <w:rsid w:val="008512AE"/>
    <w:rsid w:val="00861BEB"/>
    <w:rsid w:val="00876450"/>
    <w:rsid w:val="008823F7"/>
    <w:rsid w:val="00886FAA"/>
    <w:rsid w:val="00893AF4"/>
    <w:rsid w:val="008B4EC9"/>
    <w:rsid w:val="008C27C2"/>
    <w:rsid w:val="008D1083"/>
    <w:rsid w:val="008E7141"/>
    <w:rsid w:val="008F289F"/>
    <w:rsid w:val="008F57DA"/>
    <w:rsid w:val="0090606D"/>
    <w:rsid w:val="00914617"/>
    <w:rsid w:val="009173CA"/>
    <w:rsid w:val="0092424D"/>
    <w:rsid w:val="00927C6F"/>
    <w:rsid w:val="00937CC2"/>
    <w:rsid w:val="0094089A"/>
    <w:rsid w:val="00943F49"/>
    <w:rsid w:val="009520DF"/>
    <w:rsid w:val="009534D6"/>
    <w:rsid w:val="00954C9C"/>
    <w:rsid w:val="00961E3F"/>
    <w:rsid w:val="00962B25"/>
    <w:rsid w:val="0098747A"/>
    <w:rsid w:val="009A2994"/>
    <w:rsid w:val="009C0194"/>
    <w:rsid w:val="009E0662"/>
    <w:rsid w:val="009E0B38"/>
    <w:rsid w:val="009E1BEE"/>
    <w:rsid w:val="009F47CF"/>
    <w:rsid w:val="00A111D4"/>
    <w:rsid w:val="00A26885"/>
    <w:rsid w:val="00A35442"/>
    <w:rsid w:val="00A35C29"/>
    <w:rsid w:val="00A35E7D"/>
    <w:rsid w:val="00A5168C"/>
    <w:rsid w:val="00A66D21"/>
    <w:rsid w:val="00A80E45"/>
    <w:rsid w:val="00A85B91"/>
    <w:rsid w:val="00A95B67"/>
    <w:rsid w:val="00A9728B"/>
    <w:rsid w:val="00A97573"/>
    <w:rsid w:val="00AB13EC"/>
    <w:rsid w:val="00AB1DA6"/>
    <w:rsid w:val="00AB41E5"/>
    <w:rsid w:val="00AC3595"/>
    <w:rsid w:val="00AC590B"/>
    <w:rsid w:val="00AC741B"/>
    <w:rsid w:val="00AD0524"/>
    <w:rsid w:val="00B21085"/>
    <w:rsid w:val="00B4636B"/>
    <w:rsid w:val="00B56B04"/>
    <w:rsid w:val="00B82FB6"/>
    <w:rsid w:val="00B836E3"/>
    <w:rsid w:val="00BA2BBF"/>
    <w:rsid w:val="00BC4082"/>
    <w:rsid w:val="00BC4413"/>
    <w:rsid w:val="00BD5972"/>
    <w:rsid w:val="00BE4897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B3961"/>
    <w:rsid w:val="00CD6C29"/>
    <w:rsid w:val="00CE1CCA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D82621"/>
    <w:rsid w:val="00DE3544"/>
    <w:rsid w:val="00E170B3"/>
    <w:rsid w:val="00E354C0"/>
    <w:rsid w:val="00E61B0C"/>
    <w:rsid w:val="00E77468"/>
    <w:rsid w:val="00E85E7D"/>
    <w:rsid w:val="00EA67DF"/>
    <w:rsid w:val="00EC6962"/>
    <w:rsid w:val="00ED0B79"/>
    <w:rsid w:val="00ED4487"/>
    <w:rsid w:val="00ED5CA0"/>
    <w:rsid w:val="00ED70D6"/>
    <w:rsid w:val="00EE650E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935AD"/>
    <w:rsid w:val="00F94EC9"/>
    <w:rsid w:val="00FB26C0"/>
    <w:rsid w:val="00FB7109"/>
    <w:rsid w:val="00FC5CC1"/>
    <w:rsid w:val="00FC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obszary-inteligentnych-specjalizacj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AF74C-7B1E-40C8-BF38-6A649F94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1329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9288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magdalena.kaseja</cp:lastModifiedBy>
  <cp:revision>15</cp:revision>
  <cp:lastPrinted>2017-09-26T07:10:00Z</cp:lastPrinted>
  <dcterms:created xsi:type="dcterms:W3CDTF">2018-05-16T09:21:00Z</dcterms:created>
  <dcterms:modified xsi:type="dcterms:W3CDTF">2018-05-18T08:06:00Z</dcterms:modified>
</cp:coreProperties>
</file>