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FD" w:rsidRPr="009E42FD" w:rsidRDefault="009E42FD" w:rsidP="009E42FD">
      <w:pPr>
        <w:tabs>
          <w:tab w:val="left" w:pos="5520"/>
          <w:tab w:val="right" w:pos="9072"/>
        </w:tabs>
        <w:suppressAutoHyphens/>
        <w:spacing w:after="0" w:line="240" w:lineRule="auto"/>
        <w:ind w:left="5529" w:hanging="709"/>
        <w:rPr>
          <w:rFonts w:ascii="Calibri" w:eastAsia="Times New Roman" w:hAnsi="Calibri" w:cs="Calibri"/>
          <w:sz w:val="24"/>
          <w:szCs w:val="24"/>
          <w:lang w:eastAsia="ar-SA"/>
        </w:rPr>
      </w:pPr>
      <w:r w:rsidRPr="009E42FD">
        <w:rPr>
          <w:rFonts w:ascii="Calibri" w:eastAsia="Times New Roman" w:hAnsi="Calibri" w:cs="Calibri"/>
          <w:sz w:val="24"/>
          <w:szCs w:val="24"/>
          <w:lang w:eastAsia="ar-SA"/>
        </w:rPr>
        <w:t xml:space="preserve">Załącznik nr 1 do uchwały Nr </w:t>
      </w:r>
      <w:r w:rsidR="003B0A41">
        <w:rPr>
          <w:rFonts w:ascii="Calibri" w:eastAsia="Times New Roman" w:hAnsi="Calibri" w:cs="Calibri"/>
          <w:sz w:val="24"/>
          <w:szCs w:val="24"/>
          <w:lang w:eastAsia="ar-SA"/>
        </w:rPr>
        <w:t>7481</w:t>
      </w:r>
      <w:r w:rsidRPr="009E42FD">
        <w:rPr>
          <w:rFonts w:ascii="Calibri" w:eastAsia="Times New Roman" w:hAnsi="Calibri" w:cs="Calibri"/>
          <w:sz w:val="24"/>
          <w:szCs w:val="24"/>
          <w:lang w:eastAsia="ar-SA"/>
        </w:rPr>
        <w:t xml:space="preserve">/2023    </w:t>
      </w:r>
    </w:p>
    <w:p w:rsidR="009E42FD" w:rsidRPr="009E42FD" w:rsidRDefault="009E42FD" w:rsidP="009E42FD">
      <w:pPr>
        <w:keepNext/>
        <w:numPr>
          <w:ilvl w:val="1"/>
          <w:numId w:val="1"/>
        </w:numPr>
        <w:tabs>
          <w:tab w:val="left" w:pos="5580"/>
        </w:tabs>
        <w:suppressAutoHyphens/>
        <w:spacing w:after="0" w:line="240" w:lineRule="auto"/>
        <w:ind w:left="5529" w:right="-828" w:hanging="709"/>
        <w:outlineLvl w:val="1"/>
        <w:rPr>
          <w:rFonts w:ascii="Calibri" w:eastAsia="Times New Roman" w:hAnsi="Calibri" w:cs="Calibri"/>
          <w:sz w:val="24"/>
          <w:szCs w:val="24"/>
          <w:lang w:eastAsia="ar-SA"/>
        </w:rPr>
      </w:pPr>
      <w:r w:rsidRPr="009E42FD">
        <w:rPr>
          <w:rFonts w:ascii="Calibri" w:eastAsia="Times New Roman" w:hAnsi="Calibri" w:cs="Calibri"/>
          <w:sz w:val="24"/>
          <w:szCs w:val="24"/>
          <w:lang w:eastAsia="ar-SA"/>
        </w:rPr>
        <w:t>Zarządu Województwa Wielkopolskiego</w:t>
      </w:r>
    </w:p>
    <w:p w:rsidR="009E42FD" w:rsidRPr="009E42FD" w:rsidRDefault="009E42FD" w:rsidP="009E42FD">
      <w:pPr>
        <w:keepNext/>
        <w:suppressAutoHyphens/>
        <w:spacing w:after="0" w:line="240" w:lineRule="auto"/>
        <w:ind w:left="5529" w:hanging="709"/>
        <w:outlineLvl w:val="3"/>
        <w:rPr>
          <w:rFonts w:ascii="Calibri" w:eastAsia="Times New Roman" w:hAnsi="Calibri" w:cs="Calibri"/>
          <w:sz w:val="24"/>
          <w:szCs w:val="24"/>
          <w:lang w:eastAsia="ar-SA"/>
        </w:rPr>
      </w:pPr>
      <w:r w:rsidRPr="009E42FD">
        <w:rPr>
          <w:rFonts w:ascii="Calibri" w:eastAsia="Times New Roman" w:hAnsi="Calibri" w:cs="Calibri"/>
          <w:sz w:val="24"/>
          <w:szCs w:val="24"/>
          <w:lang w:eastAsia="ar-SA"/>
        </w:rPr>
        <w:t xml:space="preserve">z dnia </w:t>
      </w:r>
      <w:r w:rsidR="003B0A41">
        <w:rPr>
          <w:rFonts w:ascii="Calibri" w:eastAsia="Times New Roman" w:hAnsi="Calibri" w:cs="Calibri"/>
          <w:sz w:val="24"/>
          <w:szCs w:val="24"/>
          <w:lang w:eastAsia="ar-SA"/>
        </w:rPr>
        <w:t>23 listopada</w:t>
      </w:r>
      <w:bookmarkStart w:id="0" w:name="_GoBack"/>
      <w:bookmarkEnd w:id="0"/>
      <w:r w:rsidRPr="009E42FD">
        <w:rPr>
          <w:rFonts w:ascii="Calibri" w:eastAsia="Times New Roman" w:hAnsi="Calibri" w:cs="Calibri"/>
          <w:sz w:val="24"/>
          <w:szCs w:val="24"/>
          <w:lang w:eastAsia="ar-SA"/>
        </w:rPr>
        <w:t xml:space="preserve"> 2023 r.</w:t>
      </w:r>
    </w:p>
    <w:p w:rsidR="009E42FD" w:rsidRPr="009E42FD" w:rsidRDefault="009E42FD" w:rsidP="009E42FD">
      <w:pPr>
        <w:suppressAutoHyphens/>
        <w:spacing w:after="0" w:line="240" w:lineRule="auto"/>
        <w:ind w:right="284" w:firstLine="680"/>
        <w:jc w:val="both"/>
        <w:rPr>
          <w:rFonts w:ascii="Calibri" w:eastAsia="Times New Roman" w:hAnsi="Calibri" w:cs="Calibri"/>
          <w:sz w:val="24"/>
          <w:szCs w:val="24"/>
          <w:lang w:eastAsia="ar-SA"/>
        </w:rPr>
      </w:pPr>
    </w:p>
    <w:p w:rsidR="009E42FD" w:rsidRPr="009E42FD" w:rsidRDefault="009E42FD" w:rsidP="009E42FD">
      <w:pPr>
        <w:suppressAutoHyphens/>
        <w:spacing w:after="0" w:line="240" w:lineRule="auto"/>
        <w:ind w:right="284" w:firstLine="680"/>
        <w:jc w:val="both"/>
        <w:rPr>
          <w:rFonts w:ascii="Arial" w:eastAsia="Times New Roman" w:hAnsi="Arial" w:cs="Times New Roman"/>
          <w:sz w:val="24"/>
          <w:szCs w:val="24"/>
          <w:lang w:eastAsia="ar-SA"/>
        </w:rPr>
      </w:pPr>
    </w:p>
    <w:p w:rsidR="009E42FD" w:rsidRPr="009E42FD" w:rsidRDefault="009E42FD" w:rsidP="009E42FD">
      <w:pPr>
        <w:suppressAutoHyphens/>
        <w:spacing w:after="0" w:line="240" w:lineRule="auto"/>
        <w:jc w:val="center"/>
        <w:rPr>
          <w:rFonts w:ascii="Times New Roman" w:eastAsia="Times New Roman" w:hAnsi="Times New Roman" w:cs="Times New Roman"/>
          <w:b/>
          <w:caps/>
          <w:sz w:val="20"/>
          <w:szCs w:val="20"/>
          <w:lang w:eastAsia="ar-SA"/>
        </w:rPr>
      </w:pPr>
      <w:r w:rsidRPr="009E42FD">
        <w:rPr>
          <w:rFonts w:ascii="Times New Roman" w:eastAsia="Times New Roman" w:hAnsi="Times New Roman" w:cs="Times New Roman"/>
          <w:b/>
          <w:caps/>
          <w:szCs w:val="20"/>
          <w:lang w:eastAsia="ar-SA"/>
        </w:rPr>
        <w:t>Uchwała Nr ....................</w:t>
      </w:r>
      <w:r w:rsidRPr="009E42FD">
        <w:rPr>
          <w:rFonts w:ascii="Times New Roman" w:eastAsia="Times New Roman" w:hAnsi="Times New Roman" w:cs="Times New Roman"/>
          <w:b/>
          <w:caps/>
          <w:szCs w:val="20"/>
          <w:lang w:eastAsia="ar-SA"/>
        </w:rPr>
        <w:br/>
        <w:t>Sejmiku Województwa Wielkopolskiego</w:t>
      </w:r>
    </w:p>
    <w:p w:rsidR="009E42FD" w:rsidRPr="009E42FD" w:rsidRDefault="009E42FD" w:rsidP="009E42FD">
      <w:pPr>
        <w:suppressAutoHyphens/>
        <w:spacing w:before="280" w:after="280" w:line="240" w:lineRule="auto"/>
        <w:jc w:val="center"/>
        <w:rPr>
          <w:rFonts w:ascii="Times New Roman" w:eastAsia="Times New Roman" w:hAnsi="Times New Roman" w:cs="Times New Roman"/>
          <w:b/>
          <w:caps/>
          <w:sz w:val="20"/>
          <w:szCs w:val="20"/>
          <w:lang w:eastAsia="ar-SA"/>
        </w:rPr>
      </w:pPr>
      <w:r w:rsidRPr="009E42FD">
        <w:rPr>
          <w:rFonts w:ascii="Times New Roman" w:eastAsia="Times New Roman" w:hAnsi="Times New Roman" w:cs="Times New Roman"/>
          <w:szCs w:val="20"/>
          <w:lang w:eastAsia="ar-SA"/>
        </w:rPr>
        <w:t>z dnia .................... 2023 r.</w:t>
      </w:r>
    </w:p>
    <w:p w:rsidR="009E42FD" w:rsidRPr="009E42FD" w:rsidRDefault="009E42FD" w:rsidP="009E42FD">
      <w:pPr>
        <w:keepNext/>
        <w:suppressAutoHyphens/>
        <w:spacing w:after="480" w:line="240" w:lineRule="auto"/>
        <w:jc w:val="center"/>
        <w:rPr>
          <w:rFonts w:ascii="Times New Roman" w:eastAsia="Times New Roman" w:hAnsi="Times New Roman" w:cs="Times New Roman"/>
          <w:sz w:val="20"/>
          <w:szCs w:val="20"/>
          <w:lang w:eastAsia="ar-SA"/>
        </w:rPr>
      </w:pPr>
      <w:r w:rsidRPr="009E42FD">
        <w:rPr>
          <w:rFonts w:ascii="Times New Roman" w:eastAsia="Times New Roman" w:hAnsi="Times New Roman" w:cs="Times New Roman"/>
          <w:b/>
          <w:szCs w:val="20"/>
          <w:lang w:eastAsia="ar-SA"/>
        </w:rPr>
        <w:t>w sprawie: warunków udzielania bonifikat od ceny sprzedaży nieruchomości gruntowych na rzecz ich użytkowników wieczystych</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Na podstawie art. 18 pkt 20 ustawy z dnia 5 czerwca 1998 r. o samorządzie województwa (Dz. U. z 2022 r. poz. 2094 ze zm. ) w związku z art. 198k ust. 2 i 3 ustawy z dnia 21 sierpnia 1997 r. o gospodarce nieruchomościami (Dz. U. z 2023 r. poz. 344 ze zm.), Sejmik Województwa Wielkopolskiego uchwala, co następuje:</w:t>
      </w:r>
    </w:p>
    <w:p w:rsidR="009E42FD" w:rsidRPr="009E42FD" w:rsidRDefault="009E42FD" w:rsidP="009E42FD">
      <w:pPr>
        <w:keepNext/>
        <w:suppressAutoHyphens/>
        <w:spacing w:before="280" w:after="0" w:line="360" w:lineRule="auto"/>
        <w:jc w:val="center"/>
        <w:rPr>
          <w:rFonts w:ascii="Times New Roman" w:eastAsia="Times New Roman" w:hAnsi="Times New Roman" w:cs="Times New Roman"/>
          <w:b/>
          <w:szCs w:val="20"/>
          <w:lang w:eastAsia="ar-SA"/>
        </w:rPr>
      </w:pPr>
      <w:r w:rsidRPr="009E42FD">
        <w:rPr>
          <w:rFonts w:ascii="Times New Roman" w:eastAsia="Times New Roman" w:hAnsi="Times New Roman" w:cs="Times New Roman"/>
          <w:b/>
          <w:szCs w:val="20"/>
          <w:lang w:eastAsia="ar-SA"/>
        </w:rPr>
        <w:t>§ 1. </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1. Ustala się bonifikatę w wysokości 90% od ceny nieruchomości gruntowej sprzedawanej na rzecz użytkownika wieczystego będącego osobą fizyczną:</w:t>
      </w:r>
    </w:p>
    <w:p w:rsidR="009E42FD" w:rsidRPr="009E42FD" w:rsidRDefault="009E42FD" w:rsidP="009E42FD">
      <w:pPr>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1) w stosunku do której orzeczono niepełnosprawność:</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a) w stopniu umiarkowanym lub znacznym lub</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b) przed ukończeniem 16 roku życia lub</w:t>
      </w:r>
    </w:p>
    <w:p w:rsidR="009E42FD" w:rsidRPr="009E42FD" w:rsidRDefault="009E42FD" w:rsidP="009E42FD">
      <w:pPr>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2) zamieszkującą w dniu wystąpienia z żądaniem sprzedaży z osobami, o których mowa</w:t>
      </w:r>
      <w:r w:rsidRPr="009E42FD">
        <w:rPr>
          <w:rFonts w:ascii="Times New Roman" w:eastAsia="Times New Roman" w:hAnsi="Times New Roman" w:cs="Times New Roman"/>
          <w:szCs w:val="20"/>
          <w:lang w:eastAsia="ar-SA"/>
        </w:rPr>
        <w:br/>
        <w:t>w pkt. 1 lit. a lub b, będącą opiekunem prawnym lub przedstawicielem ustawowym tych osób.</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2. Ustala się bonifikatę w wysokości 80% od ceny nieruchomości gruntowej sprzedawanej na rzecz użytkownika wieczystego będącego osobą fizyczną, która jest członkiem rodziny wielodzietnej w rozumieniu art. 4 ust. 1 ustawy z dnia 5 grudnia 2014r. o Karcie Dużej Rodziny i uprawnioną                 do posiadania Karty Dużej Rodziny.</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3. Ustala się bonifikatę w wysokości 50% od ceny nieruchomości gruntowej sprzedawanej na rzecz użytkownika wieczystego będącego osobą fizyczną lub osobą prawną, która prowadzi działalność charytatywną, opiekuńczą, kulturalną, leczniczą, oświatową, naukową, badawczo – rozwojową, wychowawczą, sportową, na cele niezwiązane z działalnością zarobkową, a także organizacjom pożytku publicznego na cel prowadzonej działalności pożytku publicznego.</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4. Ustala się bonifikatę w wysokości 50% od ceny nieruchomości gruntowej sprzedawanej na rzecz użytkownika wieczystego będącego osobą fizyczną lub osobą prawną, w przypadku zrealizowania na nieruchomości, będącej przedmiotem sprzedaży, celu publicznego, budownictwa mieszkaniowego lub celu użyteczności publicznej bądź potrzeb społeczności lokalnej.</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5. Ustala się bonifikatę w wysokości 50% od ceny nieruchomości gruntowej sprzedawanej na rzecz użytkownika wieczystego będącego osobą fizyczną lub osobą prawną, jeśli okres użytkowania wieczystego nieruchomości wynosi co najmniej 30 lat.</w:t>
      </w:r>
    </w:p>
    <w:p w:rsidR="009E42FD" w:rsidRDefault="009E42FD" w:rsidP="009E42FD">
      <w:pPr>
        <w:keepLines/>
        <w:suppressAutoHyphens/>
        <w:spacing w:after="120" w:line="240" w:lineRule="auto"/>
        <w:rPr>
          <w:rFonts w:ascii="Times New Roman" w:eastAsia="Times New Roman" w:hAnsi="Times New Roman" w:cs="Times New Roman"/>
          <w:szCs w:val="20"/>
          <w:lang w:eastAsia="ar-SA"/>
        </w:rPr>
      </w:pPr>
      <w:r w:rsidRPr="009E42FD">
        <w:rPr>
          <w:rFonts w:ascii="Times New Roman" w:eastAsia="Times New Roman" w:hAnsi="Times New Roman" w:cs="Times New Roman"/>
          <w:szCs w:val="20"/>
          <w:lang w:eastAsia="ar-SA"/>
        </w:rPr>
        <w:t>6. Bonifikaty, o których mowa w ust. 1 – 5, udzielane są, jeśli użytkownik wieczysty zrealizował cel oddania nieruchomości gruntowej w użytkowanie wieczyste oraz nie posiada zaległości wobec Województwa Wielkopolskiego w stosunku do gruntu objętego sprzedażą z tytułu opłat rocznych             za użytkowanie wieczyste.</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lastRenderedPageBreak/>
        <w:t>7. Bonifikaty, o których mowa w ust. 1 – 5, udziela się na wniosek  użytkownika wieczystego. Ciężar dowodu, że istnieją przesłanki udzielenia bonifikaty spoczywa na użytkowniku wieczystym.</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8. W razie zbiegu praw do bonifikat z tytułów, o których mowa w ust. 1 – 5 stosuje się jedną bonifikatę korzystniejszą dla nabywcy.</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9. Do zabezpieczenia wierzytelności Województwa Wielkopolskiego z tytułu udzielonej bonifikaty mają zastosowanie przepisy art. 68 ustawy z dnia 21 sierpnia 1997r. o gospodarce nieruchomościami.</w:t>
      </w:r>
    </w:p>
    <w:p w:rsidR="009E42FD" w:rsidRPr="009E42FD" w:rsidRDefault="009E42FD" w:rsidP="009E42FD">
      <w:pPr>
        <w:keepNext/>
        <w:suppressAutoHyphens/>
        <w:spacing w:before="280" w:after="0" w:line="360" w:lineRule="auto"/>
        <w:jc w:val="center"/>
        <w:rPr>
          <w:rFonts w:ascii="Times New Roman" w:eastAsia="Times New Roman" w:hAnsi="Times New Roman" w:cs="Times New Roman"/>
          <w:sz w:val="20"/>
          <w:szCs w:val="20"/>
          <w:lang w:eastAsia="ar-SA"/>
        </w:rPr>
      </w:pPr>
      <w:r w:rsidRPr="009E42FD">
        <w:rPr>
          <w:rFonts w:ascii="Times New Roman" w:eastAsia="Times New Roman" w:hAnsi="Times New Roman" w:cs="Times New Roman"/>
          <w:b/>
          <w:szCs w:val="20"/>
          <w:lang w:eastAsia="ar-SA"/>
        </w:rPr>
        <w:t>§ 2. </w:t>
      </w:r>
    </w:p>
    <w:p w:rsidR="009E42FD" w:rsidRPr="009E42FD" w:rsidRDefault="009E42FD" w:rsidP="009E42FD">
      <w:pPr>
        <w:keepLines/>
        <w:suppressAutoHyphens/>
        <w:spacing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W przypadku nieruchomości gruntowej wykorzystywanej do prowadzenia działalności gospodarczej, sprzedawanej użytkownikowi wieczystemu, mają zastosowanie przepisy o pomocy publicznej ustalonej w oparciu o art. 69a ustawy z dnia 21 sierpnia 1997r. o gospodarce nieruchomościami.</w:t>
      </w:r>
    </w:p>
    <w:p w:rsidR="009E42FD" w:rsidRPr="009E42FD" w:rsidRDefault="009E42FD" w:rsidP="009E42FD">
      <w:pPr>
        <w:keepNext/>
        <w:suppressAutoHyphens/>
        <w:spacing w:before="280" w:after="0" w:line="240" w:lineRule="auto"/>
        <w:jc w:val="center"/>
        <w:rPr>
          <w:rFonts w:ascii="Times New Roman" w:eastAsia="Times New Roman" w:hAnsi="Times New Roman" w:cs="Times New Roman"/>
          <w:sz w:val="20"/>
          <w:szCs w:val="20"/>
          <w:lang w:eastAsia="ar-SA"/>
        </w:rPr>
      </w:pPr>
      <w:r w:rsidRPr="009E42FD">
        <w:rPr>
          <w:rFonts w:ascii="Times New Roman" w:eastAsia="Times New Roman" w:hAnsi="Times New Roman" w:cs="Times New Roman"/>
          <w:b/>
          <w:szCs w:val="20"/>
          <w:lang w:eastAsia="ar-SA"/>
        </w:rPr>
        <w:t>§ 3. </w:t>
      </w:r>
    </w:p>
    <w:p w:rsidR="009E42FD" w:rsidRPr="009E42FD" w:rsidRDefault="009E42FD" w:rsidP="009E42FD">
      <w:pPr>
        <w:keepLines/>
        <w:suppressAutoHyphens/>
        <w:spacing w:before="120"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Wykonanie uchwały powierza się Zarządowi Województwa Wielkopolskiego</w:t>
      </w:r>
    </w:p>
    <w:p w:rsidR="009E42FD" w:rsidRPr="009E42FD" w:rsidRDefault="009E42FD" w:rsidP="009E42FD">
      <w:pPr>
        <w:keepNext/>
        <w:suppressAutoHyphens/>
        <w:spacing w:before="280" w:after="0" w:line="240" w:lineRule="auto"/>
        <w:jc w:val="center"/>
        <w:rPr>
          <w:rFonts w:ascii="Times New Roman" w:eastAsia="Times New Roman" w:hAnsi="Times New Roman" w:cs="Times New Roman"/>
          <w:sz w:val="20"/>
          <w:szCs w:val="20"/>
          <w:lang w:eastAsia="ar-SA"/>
        </w:rPr>
      </w:pPr>
      <w:r w:rsidRPr="009E42FD">
        <w:rPr>
          <w:rFonts w:ascii="Times New Roman" w:eastAsia="Times New Roman" w:hAnsi="Times New Roman" w:cs="Times New Roman"/>
          <w:b/>
          <w:szCs w:val="20"/>
          <w:lang w:eastAsia="ar-SA"/>
        </w:rPr>
        <w:t>§ 4. </w:t>
      </w:r>
    </w:p>
    <w:p w:rsidR="009E42FD" w:rsidRPr="009E42FD" w:rsidRDefault="009E42FD" w:rsidP="009E42FD">
      <w:pPr>
        <w:keepLines/>
        <w:suppressAutoHyphens/>
        <w:spacing w:before="120" w:after="120" w:line="240" w:lineRule="auto"/>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Uchwała wchodzi w życie w terminie 14 dni od dnia ogłoszenia w Dzienniku Urzędowym Województwa Wielkopolskiego</w:t>
      </w: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zCs w:val="20"/>
          <w:lang w:eastAsia="ar-SA"/>
        </w:rPr>
      </w:pPr>
    </w:p>
    <w:p w:rsidR="009E42FD" w:rsidRPr="009E42FD" w:rsidRDefault="009E42FD" w:rsidP="009E42FD">
      <w:pPr>
        <w:keepLines/>
        <w:suppressAutoHyphens/>
        <w:spacing w:before="280" w:after="280" w:line="360" w:lineRule="auto"/>
        <w:ind w:firstLine="340"/>
        <w:jc w:val="center"/>
        <w:rPr>
          <w:rFonts w:ascii="Times New Roman" w:eastAsia="Times New Roman" w:hAnsi="Times New Roman" w:cs="Times New Roman"/>
          <w:spacing w:val="20"/>
          <w:sz w:val="20"/>
          <w:szCs w:val="20"/>
          <w:lang w:eastAsia="ar-SA"/>
        </w:rPr>
      </w:pPr>
      <w:r w:rsidRPr="009E42FD">
        <w:rPr>
          <w:rFonts w:ascii="Times New Roman" w:eastAsia="Times New Roman" w:hAnsi="Times New Roman" w:cs="Times New Roman"/>
          <w:szCs w:val="20"/>
          <w:lang w:eastAsia="ar-SA"/>
        </w:rPr>
        <w:lastRenderedPageBreak/>
        <w:t>Uzasadnienie do uchwały Nr ....................</w:t>
      </w:r>
      <w:r w:rsidRPr="009E42FD">
        <w:rPr>
          <w:rFonts w:ascii="Times New Roman" w:eastAsia="Times New Roman" w:hAnsi="Times New Roman" w:cs="Times New Roman"/>
          <w:spacing w:val="20"/>
          <w:szCs w:val="20"/>
          <w:lang w:eastAsia="ar-SA"/>
        </w:rPr>
        <w:br/>
      </w:r>
      <w:r w:rsidRPr="009E42FD">
        <w:rPr>
          <w:rFonts w:ascii="Times New Roman" w:eastAsia="Times New Roman" w:hAnsi="Times New Roman" w:cs="Times New Roman"/>
          <w:szCs w:val="20"/>
          <w:lang w:eastAsia="ar-SA"/>
        </w:rPr>
        <w:t>Sejmiku Województwa Wielkopolskiego</w:t>
      </w:r>
      <w:r w:rsidRPr="009E42FD">
        <w:rPr>
          <w:rFonts w:ascii="Times New Roman" w:eastAsia="Times New Roman" w:hAnsi="Times New Roman" w:cs="Times New Roman"/>
          <w:spacing w:val="20"/>
          <w:szCs w:val="20"/>
          <w:lang w:eastAsia="ar-SA"/>
        </w:rPr>
        <w:br/>
      </w:r>
      <w:r w:rsidRPr="009E42FD">
        <w:rPr>
          <w:rFonts w:ascii="Times New Roman" w:eastAsia="Times New Roman" w:hAnsi="Times New Roman" w:cs="Times New Roman"/>
          <w:szCs w:val="20"/>
          <w:lang w:eastAsia="ar-SA"/>
        </w:rPr>
        <w:t>z dnia .................... 2023 r.</w:t>
      </w:r>
    </w:p>
    <w:p w:rsidR="009E42FD" w:rsidRPr="009E42FD" w:rsidRDefault="009E42FD" w:rsidP="009E42FD">
      <w:pPr>
        <w:suppressAutoHyphens/>
        <w:spacing w:before="120" w:after="120" w:line="240" w:lineRule="auto"/>
        <w:ind w:left="283"/>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Zgodnie z art. 198k ust. 2 i 3 ustawy z dnia 21 sierpnia 1997 r. o gospodarce nieruchomościami (Dz. U. z 2023 r. poz. 344 ze zm.), przyjętym ustawą z dnia 26 maja 2023 r. o zmianie ustawy o samorządzie gminnym, ustawy o społecznych formach rozwoju mieszkalnictwa, ustawy o gospodarce nieruchomościami, ustawy o podatku od czynności cywilnoprawnych oraz niektórych innych ustaw (Dz. U. z 2023 r. poz. 1463), sejmik województwa zobowiązany został  do określenia w drodze uchwały warunków udzielania bonifikat od ceny sprzedaży i wysokości stawek procentowych w odniesieniu do nieruchomości stanowiących własność województwa, zbywanych na rzecz ich użytkowników wieczystych.</w:t>
      </w:r>
    </w:p>
    <w:p w:rsidR="009E42FD" w:rsidRPr="009E42FD" w:rsidRDefault="009E42FD" w:rsidP="009E42FD">
      <w:pPr>
        <w:suppressAutoHyphens/>
        <w:spacing w:before="120" w:after="120" w:line="240" w:lineRule="auto"/>
        <w:ind w:left="283"/>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W myśl wspomnianego przepisu, przy ustalaniu ww. warunków, sejmik winien się kierować        m. in. realizacją przez użytkownika wieczystego celów publicznych, budownictwa mieszkaniowego lub celów użyteczności publicznej oraz potrzeb społeczności lokalnej, długością okresu trwania użytkowania wieczystego, terminową realizacją celu, na który nieruchomość została oddana w użytkowanie wieczyste.</w:t>
      </w:r>
    </w:p>
    <w:p w:rsidR="009E42FD" w:rsidRPr="009E42FD" w:rsidRDefault="009E42FD" w:rsidP="009E42FD">
      <w:pPr>
        <w:suppressAutoHyphens/>
        <w:spacing w:before="120" w:after="120" w:line="240" w:lineRule="auto"/>
        <w:ind w:left="284"/>
        <w:rPr>
          <w:rFonts w:ascii="Times New Roman" w:eastAsia="Times New Roman" w:hAnsi="Times New Roman" w:cs="Times New Roman"/>
          <w:sz w:val="20"/>
          <w:szCs w:val="20"/>
          <w:lang w:eastAsia="ar-SA"/>
        </w:rPr>
      </w:pPr>
      <w:r w:rsidRPr="009E42FD">
        <w:rPr>
          <w:rFonts w:ascii="Times New Roman" w:eastAsia="Times New Roman" w:hAnsi="Times New Roman" w:cs="Times New Roman"/>
          <w:szCs w:val="20"/>
          <w:lang w:eastAsia="ar-SA"/>
        </w:rPr>
        <w:t>Wobec powyższego podjęcie uchwały jest w pełni uzasadnione.</w:t>
      </w: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9E42FD" w:rsidRPr="009E42FD" w:rsidRDefault="009E42FD" w:rsidP="009E42FD">
      <w:pPr>
        <w:suppressAutoHyphens/>
        <w:spacing w:after="0" w:line="240" w:lineRule="auto"/>
        <w:ind w:right="284"/>
        <w:jc w:val="both"/>
        <w:rPr>
          <w:rFonts w:ascii="Times New Roman" w:eastAsia="Times New Roman" w:hAnsi="Times New Roman" w:cs="Times New Roman"/>
          <w:sz w:val="24"/>
          <w:szCs w:val="24"/>
          <w:lang w:eastAsia="ar-SA"/>
        </w:rPr>
      </w:pPr>
    </w:p>
    <w:p w:rsidR="00FC6EFB" w:rsidRDefault="00FC6EFB"/>
    <w:sectPr w:rsidR="00FC6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FD"/>
    <w:rsid w:val="003B0A41"/>
    <w:rsid w:val="009E42FD"/>
    <w:rsid w:val="00FC6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1A78"/>
  <w15:chartTrackingRefBased/>
  <w15:docId w15:val="{B290C497-4D61-446E-A30F-58A4B009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4334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Pawlak Izabela</dc:creator>
  <cp:keywords/>
  <dc:description/>
  <cp:lastModifiedBy>Pawlak Izabela</cp:lastModifiedBy>
  <cp:revision>2</cp:revision>
  <dcterms:created xsi:type="dcterms:W3CDTF">2023-11-21T09:05:00Z</dcterms:created>
  <dcterms:modified xsi:type="dcterms:W3CDTF">2023-11-23T12:05:00Z</dcterms:modified>
</cp:coreProperties>
</file>